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000" w:firstRow="0" w:lastRow="0" w:firstColumn="0" w:lastColumn="0" w:noHBand="0" w:noVBand="0"/>
      </w:tblPr>
      <w:tblGrid>
        <w:gridCol w:w="4536"/>
        <w:gridCol w:w="5103"/>
      </w:tblGrid>
      <w:tr w:rsidR="00A72FF7" w:rsidRPr="00AF4696" w:rsidTr="003C2D6B">
        <w:tc>
          <w:tcPr>
            <w:tcW w:w="4536" w:type="dxa"/>
            <w:vAlign w:val="center"/>
          </w:tcPr>
          <w:p w:rsidR="00A72FF7" w:rsidRPr="00AF4696" w:rsidRDefault="00A72FF7" w:rsidP="003C2D6B">
            <w:pPr>
              <w:spacing w:after="0"/>
              <w:ind w:right="67"/>
              <w:jc w:val="both"/>
              <w:rPr>
                <w:rFonts w:ascii="Times New Roman" w:hAnsi="Times New Roman" w:cs="Times New Roman"/>
                <w:sz w:val="20"/>
                <w:szCs w:val="20"/>
                <w:lang w:eastAsia="ar-SA"/>
              </w:rPr>
            </w:pPr>
            <w:r w:rsidRPr="00AF4696">
              <w:rPr>
                <w:rFonts w:ascii="Times New Roman" w:hAnsi="Times New Roman" w:cs="Times New Roman"/>
                <w:sz w:val="20"/>
                <w:szCs w:val="20"/>
              </w:rPr>
              <w:t xml:space="preserve">Transmitted by the </w:t>
            </w:r>
            <w:r w:rsidRPr="00AF4696">
              <w:rPr>
                <w:rFonts w:ascii="Times New Roman" w:hAnsi="Times New Roman" w:cs="Times New Roman"/>
                <w:sz w:val="20"/>
                <w:szCs w:val="20"/>
                <w:lang w:eastAsia="ja-JP"/>
              </w:rPr>
              <w:t>experts from</w:t>
            </w:r>
            <w:r w:rsidRPr="00AF4696">
              <w:rPr>
                <w:rFonts w:ascii="Times New Roman" w:hAnsi="Times New Roman" w:cs="Times New Roman"/>
                <w:sz w:val="20"/>
                <w:szCs w:val="20"/>
              </w:rPr>
              <w:t xml:space="preserve"> The International Automotive Lighting and Light Signalling Expert Group (GTB</w:t>
            </w:r>
            <w:r w:rsidR="00673288">
              <w:rPr>
                <w:rFonts w:ascii="Times New Roman" w:hAnsi="Times New Roman" w:cs="Times New Roman"/>
                <w:sz w:val="20"/>
                <w:szCs w:val="20"/>
              </w:rPr>
              <w:t>)</w:t>
            </w:r>
            <w:bookmarkStart w:id="0" w:name="_GoBack"/>
            <w:bookmarkEnd w:id="0"/>
          </w:p>
        </w:tc>
        <w:tc>
          <w:tcPr>
            <w:tcW w:w="5103" w:type="dxa"/>
          </w:tcPr>
          <w:p w:rsidR="00A72FF7" w:rsidRPr="00AF4696" w:rsidRDefault="00A72FF7" w:rsidP="003C2D6B">
            <w:pPr>
              <w:spacing w:after="0"/>
              <w:ind w:left="1418"/>
              <w:rPr>
                <w:rFonts w:ascii="Times New Roman" w:hAnsi="Times New Roman" w:cs="Times New Roman"/>
                <w:b/>
                <w:bCs/>
                <w:color w:val="000000"/>
                <w:sz w:val="20"/>
                <w:szCs w:val="20"/>
                <w:lang w:eastAsia="ar-SA"/>
              </w:rPr>
            </w:pPr>
            <w:r w:rsidRPr="00AF4696">
              <w:rPr>
                <w:rFonts w:ascii="Times New Roman" w:hAnsi="Times New Roman" w:cs="Times New Roman"/>
                <w:sz w:val="20"/>
                <w:szCs w:val="20"/>
                <w:u w:val="single"/>
                <w:lang w:eastAsia="ar-SA"/>
              </w:rPr>
              <w:t>Informal document</w:t>
            </w:r>
            <w:r w:rsidRPr="00AF4696">
              <w:rPr>
                <w:rFonts w:ascii="Times New Roman" w:hAnsi="Times New Roman" w:cs="Times New Roman"/>
                <w:sz w:val="20"/>
                <w:szCs w:val="20"/>
                <w:lang w:eastAsia="ar-SA"/>
              </w:rPr>
              <w:t xml:space="preserve"> </w:t>
            </w:r>
            <w:r w:rsidRPr="00C41D2D">
              <w:rPr>
                <w:rFonts w:ascii="Times New Roman" w:hAnsi="Times New Roman" w:cs="Times New Roman"/>
                <w:b/>
                <w:bCs/>
                <w:sz w:val="20"/>
                <w:szCs w:val="20"/>
                <w:lang w:eastAsia="ar-SA"/>
              </w:rPr>
              <w:t>GRE-76</w:t>
            </w:r>
            <w:r w:rsidRPr="00C41D2D">
              <w:rPr>
                <w:rFonts w:ascii="Times New Roman" w:hAnsi="Times New Roman" w:cs="Times New Roman"/>
                <w:b/>
                <w:bCs/>
                <w:color w:val="000000"/>
                <w:sz w:val="20"/>
                <w:szCs w:val="20"/>
                <w:lang w:eastAsia="ar-SA"/>
              </w:rPr>
              <w:t>-</w:t>
            </w:r>
            <w:r w:rsidR="00C41D2D" w:rsidRPr="00C41D2D">
              <w:rPr>
                <w:rFonts w:ascii="Times New Roman" w:hAnsi="Times New Roman" w:cs="Times New Roman"/>
                <w:b/>
                <w:bCs/>
                <w:color w:val="000000"/>
                <w:sz w:val="20"/>
                <w:szCs w:val="20"/>
                <w:lang w:eastAsia="ar-SA"/>
              </w:rPr>
              <w:t>04</w:t>
            </w:r>
            <w:r w:rsidR="00673288">
              <w:rPr>
                <w:rFonts w:ascii="Times New Roman" w:hAnsi="Times New Roman" w:cs="Times New Roman"/>
                <w:b/>
                <w:bCs/>
                <w:color w:val="000000"/>
                <w:sz w:val="20"/>
                <w:szCs w:val="20"/>
                <w:lang w:eastAsia="ar-SA"/>
              </w:rPr>
              <w:t>-Rev</w:t>
            </w:r>
            <w:r w:rsidR="00C41D2D" w:rsidRPr="00C41D2D">
              <w:rPr>
                <w:rFonts w:ascii="Times New Roman" w:hAnsi="Times New Roman" w:cs="Times New Roman"/>
                <w:b/>
                <w:bCs/>
                <w:color w:val="000000"/>
                <w:sz w:val="20"/>
                <w:szCs w:val="20"/>
                <w:lang w:eastAsia="ar-SA"/>
              </w:rPr>
              <w:t>.1</w:t>
            </w:r>
          </w:p>
          <w:p w:rsidR="00A72FF7" w:rsidRPr="00AF4696" w:rsidRDefault="00A72FF7" w:rsidP="003C2D6B">
            <w:pPr>
              <w:tabs>
                <w:tab w:val="center" w:pos="4677"/>
                <w:tab w:val="right" w:pos="9355"/>
              </w:tabs>
              <w:spacing w:after="0"/>
              <w:ind w:left="1418"/>
              <w:rPr>
                <w:rFonts w:ascii="Times New Roman" w:hAnsi="Times New Roman" w:cs="Times New Roman"/>
                <w:sz w:val="20"/>
                <w:szCs w:val="20"/>
                <w:lang w:eastAsia="ar-SA"/>
              </w:rPr>
            </w:pPr>
            <w:r w:rsidRPr="00AF4696">
              <w:rPr>
                <w:rFonts w:ascii="Times New Roman" w:hAnsi="Times New Roman" w:cs="Times New Roman"/>
                <w:sz w:val="20"/>
                <w:szCs w:val="20"/>
                <w:lang w:eastAsia="ar-SA"/>
              </w:rPr>
              <w:t>(7</w:t>
            </w:r>
            <w:r>
              <w:rPr>
                <w:rFonts w:ascii="Times New Roman" w:hAnsi="Times New Roman" w:cs="Times New Roman"/>
                <w:sz w:val="20"/>
                <w:szCs w:val="20"/>
                <w:lang w:eastAsia="ar-SA"/>
              </w:rPr>
              <w:t>6th</w:t>
            </w:r>
            <w:r w:rsidRPr="00AF4696">
              <w:rPr>
                <w:rFonts w:ascii="Times New Roman" w:hAnsi="Times New Roman" w:cs="Times New Roman"/>
                <w:sz w:val="20"/>
                <w:szCs w:val="20"/>
                <w:lang w:eastAsia="ar-SA"/>
              </w:rPr>
              <w:t xml:space="preserve"> GRE, </w:t>
            </w:r>
            <w:r>
              <w:rPr>
                <w:rFonts w:ascii="Times New Roman" w:hAnsi="Times New Roman" w:cs="Times New Roman"/>
                <w:sz w:val="20"/>
                <w:szCs w:val="20"/>
                <w:lang w:eastAsia="ar-SA"/>
              </w:rPr>
              <w:t>25-28 October 2016</w:t>
            </w:r>
          </w:p>
          <w:p w:rsidR="00A72FF7" w:rsidRPr="00AF4696" w:rsidRDefault="00A72FF7" w:rsidP="00673288">
            <w:pPr>
              <w:tabs>
                <w:tab w:val="center" w:pos="4677"/>
                <w:tab w:val="right" w:pos="9355"/>
              </w:tabs>
              <w:spacing w:after="0"/>
              <w:ind w:left="1418"/>
              <w:rPr>
                <w:rFonts w:ascii="Times New Roman" w:hAnsi="Times New Roman" w:cs="Times New Roman"/>
                <w:sz w:val="20"/>
                <w:szCs w:val="20"/>
                <w:lang w:eastAsia="ar-SA"/>
              </w:rPr>
            </w:pPr>
            <w:r w:rsidRPr="00AF4696">
              <w:rPr>
                <w:rFonts w:ascii="Times New Roman" w:hAnsi="Times New Roman" w:cs="Times New Roman"/>
                <w:sz w:val="20"/>
                <w:szCs w:val="20"/>
                <w:lang w:eastAsia="ar-SA"/>
              </w:rPr>
              <w:t xml:space="preserve">agenda item </w:t>
            </w:r>
            <w:r w:rsidR="00C41D2D">
              <w:rPr>
                <w:rFonts w:ascii="Times New Roman" w:hAnsi="Times New Roman" w:cs="Times New Roman"/>
                <w:sz w:val="20"/>
                <w:szCs w:val="20"/>
                <w:lang w:eastAsia="ar-SA"/>
              </w:rPr>
              <w:t>4</w:t>
            </w:r>
            <w:r>
              <w:rPr>
                <w:rFonts w:ascii="Times New Roman" w:hAnsi="Times New Roman" w:cs="Times New Roman"/>
                <w:sz w:val="20"/>
                <w:szCs w:val="20"/>
                <w:lang w:eastAsia="ar-SA"/>
              </w:rPr>
              <w:t>)</w:t>
            </w:r>
          </w:p>
        </w:tc>
      </w:tr>
    </w:tbl>
    <w:p w:rsidR="00A72FF7" w:rsidRDefault="00A72FF7" w:rsidP="00A72FF7">
      <w:pPr>
        <w:contextualSpacing/>
        <w:jc w:val="center"/>
        <w:rPr>
          <w:rFonts w:ascii="Times New Roman" w:hAnsi="Times New Roman" w:cs="Times New Roman"/>
          <w:sz w:val="28"/>
          <w:szCs w:val="28"/>
        </w:rPr>
      </w:pPr>
    </w:p>
    <w:p w:rsidR="00A72FF7" w:rsidRDefault="00A72FF7" w:rsidP="00A72FF7">
      <w:pPr>
        <w:contextualSpacing/>
        <w:jc w:val="center"/>
        <w:rPr>
          <w:rFonts w:ascii="Times New Roman" w:hAnsi="Times New Roman" w:cs="Times New Roman"/>
          <w:sz w:val="28"/>
          <w:szCs w:val="28"/>
        </w:rPr>
      </w:pPr>
      <w:r>
        <w:rPr>
          <w:rFonts w:ascii="Times New Roman" w:hAnsi="Times New Roman" w:cs="Times New Roman"/>
          <w:sz w:val="28"/>
          <w:szCs w:val="28"/>
        </w:rPr>
        <w:t xml:space="preserve">Proposal for </w:t>
      </w:r>
      <w:r w:rsidRPr="00AF4696">
        <w:rPr>
          <w:rFonts w:ascii="Times New Roman" w:hAnsi="Times New Roman" w:cs="Times New Roman"/>
          <w:sz w:val="28"/>
          <w:szCs w:val="28"/>
        </w:rPr>
        <w:t>S</w:t>
      </w:r>
      <w:r>
        <w:rPr>
          <w:rFonts w:ascii="Times New Roman" w:hAnsi="Times New Roman" w:cs="Times New Roman"/>
          <w:sz w:val="28"/>
          <w:szCs w:val="28"/>
        </w:rPr>
        <w:t xml:space="preserve">upplement 7 to the 01 series of </w:t>
      </w:r>
      <w:r w:rsidRPr="00AF4696">
        <w:rPr>
          <w:rFonts w:ascii="Times New Roman" w:hAnsi="Times New Roman" w:cs="Times New Roman"/>
          <w:sz w:val="28"/>
          <w:szCs w:val="28"/>
        </w:rPr>
        <w:t>Regulation No. 112</w:t>
      </w:r>
    </w:p>
    <w:p w:rsidR="00A72FF7" w:rsidRDefault="00A72FF7" w:rsidP="00A72FF7">
      <w:pPr>
        <w:contextualSpacing/>
        <w:jc w:val="center"/>
        <w:rPr>
          <w:rFonts w:ascii="Times New Roman" w:hAnsi="Times New Roman" w:cs="Times New Roman"/>
          <w:sz w:val="20"/>
          <w:szCs w:val="20"/>
          <w:lang w:eastAsia="en-GB"/>
        </w:rPr>
      </w:pPr>
    </w:p>
    <w:p w:rsidR="00C41D2D" w:rsidRDefault="00A72FF7" w:rsidP="00A72FF7">
      <w:pPr>
        <w:ind w:left="567" w:right="1088" w:hanging="567"/>
        <w:contextualSpacing/>
        <w:jc w:val="both"/>
        <w:rPr>
          <w:rFonts w:ascii="Times New Roman" w:hAnsi="Times New Roman" w:cs="Times New Roman"/>
          <w:sz w:val="20"/>
          <w:szCs w:val="20"/>
          <w:lang w:eastAsia="en-GB"/>
        </w:rPr>
      </w:pPr>
      <w:r>
        <w:rPr>
          <w:rFonts w:ascii="Times New Roman" w:hAnsi="Times New Roman" w:cs="Times New Roman"/>
          <w:sz w:val="20"/>
          <w:szCs w:val="20"/>
          <w:lang w:eastAsia="en-GB"/>
        </w:rPr>
        <w:t>Note</w:t>
      </w:r>
      <w:r w:rsidR="00C41D2D">
        <w:rPr>
          <w:rFonts w:ascii="Times New Roman" w:hAnsi="Times New Roman" w:cs="Times New Roman"/>
          <w:sz w:val="20"/>
          <w:szCs w:val="20"/>
          <w:lang w:eastAsia="en-GB"/>
        </w:rPr>
        <w:t>s</w:t>
      </w:r>
      <w:r>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ab/>
      </w:r>
    </w:p>
    <w:p w:rsidR="00C41D2D" w:rsidRPr="00ED32ED" w:rsidRDefault="00C41D2D" w:rsidP="00ED32ED">
      <w:pPr>
        <w:pStyle w:val="ListParagraph"/>
        <w:numPr>
          <w:ilvl w:val="0"/>
          <w:numId w:val="27"/>
        </w:numPr>
        <w:ind w:left="714" w:hanging="357"/>
        <w:contextualSpacing w:val="0"/>
        <w:rPr>
          <w:rFonts w:ascii="Times New Roman" w:hAnsi="Times New Roman" w:cs="Times New Roman"/>
          <w:sz w:val="20"/>
          <w:szCs w:val="20"/>
        </w:rPr>
      </w:pPr>
      <w:r w:rsidRPr="00ED32ED">
        <w:rPr>
          <w:rFonts w:ascii="Times New Roman" w:hAnsi="Times New Roman" w:cs="Times New Roman"/>
          <w:sz w:val="20"/>
          <w:szCs w:val="20"/>
        </w:rPr>
        <w:t xml:space="preserve">This revision 1 </w:t>
      </w:r>
      <w:r w:rsidR="001A7C96">
        <w:rPr>
          <w:rFonts w:ascii="Times New Roman" w:hAnsi="Times New Roman" w:cs="Times New Roman"/>
          <w:sz w:val="20"/>
          <w:szCs w:val="20"/>
        </w:rPr>
        <w:t xml:space="preserve">of GRE-76-04 </w:t>
      </w:r>
      <w:r w:rsidRPr="00ED32ED">
        <w:rPr>
          <w:rFonts w:ascii="Times New Roman" w:hAnsi="Times New Roman" w:cs="Times New Roman"/>
          <w:sz w:val="20"/>
          <w:szCs w:val="20"/>
        </w:rPr>
        <w:t xml:space="preserve">introduces a reference in paragraph 6.2.9. </w:t>
      </w:r>
      <w:proofErr w:type="gramStart"/>
      <w:r w:rsidRPr="00ED32ED">
        <w:rPr>
          <w:rFonts w:ascii="Times New Roman" w:hAnsi="Times New Roman" w:cs="Times New Roman"/>
          <w:sz w:val="20"/>
          <w:szCs w:val="20"/>
        </w:rPr>
        <w:t>to</w:t>
      </w:r>
      <w:proofErr w:type="gramEnd"/>
      <w:r w:rsidRPr="00ED32ED">
        <w:rPr>
          <w:rFonts w:ascii="Times New Roman" w:hAnsi="Times New Roman" w:cs="Times New Roman"/>
          <w:sz w:val="20"/>
          <w:szCs w:val="20"/>
        </w:rPr>
        <w:t xml:space="preserve"> “</w:t>
      </w:r>
      <w:r w:rsidRPr="00ED32ED">
        <w:rPr>
          <w:rFonts w:ascii="Times New Roman" w:hAnsi="Times New Roman" w:cs="Times New Roman"/>
          <w:bCs/>
          <w:color w:val="000000" w:themeColor="text1"/>
          <w:sz w:val="20"/>
          <w:szCs w:val="20"/>
          <w:shd w:val="clear" w:color="auto" w:fill="FFFFFF"/>
        </w:rPr>
        <w:t xml:space="preserve">zones a), and b), as specified in the table below” and amends figure b) of annex 3. </w:t>
      </w:r>
    </w:p>
    <w:p w:rsidR="00A72FF7" w:rsidRPr="00ED32ED" w:rsidRDefault="001A7C96" w:rsidP="00ED32ED">
      <w:pPr>
        <w:pStyle w:val="ListParagraph"/>
        <w:numPr>
          <w:ilvl w:val="0"/>
          <w:numId w:val="27"/>
        </w:numPr>
        <w:ind w:left="714" w:right="1088" w:hanging="357"/>
        <w:contextualSpacing w:val="0"/>
        <w:rPr>
          <w:rFonts w:ascii="Times New Roman" w:hAnsi="Times New Roman" w:cs="Times New Roman"/>
          <w:sz w:val="20"/>
          <w:szCs w:val="20"/>
          <w:lang w:eastAsia="en-GB"/>
        </w:rPr>
      </w:pPr>
      <w:r>
        <w:rPr>
          <w:rFonts w:ascii="Times New Roman" w:hAnsi="Times New Roman" w:cs="Times New Roman"/>
          <w:sz w:val="20"/>
          <w:szCs w:val="20"/>
          <w:lang w:eastAsia="en-GB"/>
        </w:rPr>
        <w:t>If</w:t>
      </w:r>
      <w:r w:rsidR="00A72FF7" w:rsidRPr="00ED32ED">
        <w:rPr>
          <w:rFonts w:ascii="Times New Roman" w:hAnsi="Times New Roman" w:cs="Times New Roman"/>
          <w:sz w:val="20"/>
          <w:szCs w:val="20"/>
          <w:lang w:eastAsia="en-GB"/>
        </w:rPr>
        <w:t xml:space="preserve"> adopted, </w:t>
      </w:r>
      <w:r>
        <w:rPr>
          <w:rFonts w:ascii="Times New Roman" w:hAnsi="Times New Roman" w:cs="Times New Roman"/>
          <w:sz w:val="20"/>
          <w:szCs w:val="20"/>
          <w:lang w:eastAsia="en-GB"/>
        </w:rPr>
        <w:t xml:space="preserve">this proposal </w:t>
      </w:r>
      <w:r w:rsidR="00A72FF7" w:rsidRPr="00ED32ED">
        <w:rPr>
          <w:rFonts w:ascii="Times New Roman" w:hAnsi="Times New Roman" w:cs="Times New Roman"/>
          <w:sz w:val="20"/>
          <w:szCs w:val="20"/>
          <w:lang w:eastAsia="en-GB"/>
        </w:rPr>
        <w:t xml:space="preserve">will update the proposal for amendments to Regulation 112 </w:t>
      </w:r>
      <w:r w:rsidR="00FE7628" w:rsidRPr="00ED32ED">
        <w:rPr>
          <w:rFonts w:ascii="Times New Roman" w:hAnsi="Times New Roman" w:cs="Times New Roman"/>
          <w:sz w:val="20"/>
          <w:szCs w:val="20"/>
          <w:lang w:eastAsia="en-GB"/>
        </w:rPr>
        <w:t xml:space="preserve">presented </w:t>
      </w:r>
      <w:r w:rsidR="00A72FF7" w:rsidRPr="00ED32ED">
        <w:rPr>
          <w:rFonts w:ascii="Times New Roman" w:hAnsi="Times New Roman" w:cs="Times New Roman"/>
          <w:sz w:val="20"/>
          <w:szCs w:val="20"/>
          <w:lang w:eastAsia="en-GB"/>
        </w:rPr>
        <w:t xml:space="preserve">in </w:t>
      </w:r>
      <w:r w:rsidR="006B77AA" w:rsidRPr="00ED32ED">
        <w:rPr>
          <w:rFonts w:ascii="Times New Roman" w:hAnsi="Times New Roman" w:cs="Times New Roman"/>
          <w:sz w:val="20"/>
          <w:szCs w:val="20"/>
          <w:lang w:eastAsia="en-GB"/>
        </w:rPr>
        <w:t>ECE-TRANS-WP29-GRE-2016-34e.</w:t>
      </w:r>
    </w:p>
    <w:p w:rsidR="00A72FF7" w:rsidRPr="00BB4BA2" w:rsidRDefault="00A72FF7" w:rsidP="00A72FF7">
      <w:pPr>
        <w:contextualSpacing/>
        <w:jc w:val="both"/>
        <w:rPr>
          <w:rFonts w:ascii="Times New Roman" w:hAnsi="Times New Roman" w:cs="Times New Roman"/>
          <w:sz w:val="20"/>
          <w:szCs w:val="20"/>
          <w:lang w:eastAsia="en-GB"/>
        </w:rPr>
      </w:pPr>
    </w:p>
    <w:p w:rsidR="00A72FF7" w:rsidRPr="00132634" w:rsidRDefault="00A72FF7" w:rsidP="00A72FF7">
      <w:pPr>
        <w:ind w:left="284" w:right="521" w:hanging="284"/>
        <w:jc w:val="both"/>
        <w:rPr>
          <w:rFonts w:ascii="Times New Roman" w:hAnsi="Times New Roman" w:cs="Times New Roman"/>
          <w:b/>
          <w:sz w:val="28"/>
          <w:szCs w:val="28"/>
        </w:rPr>
      </w:pPr>
      <w:r w:rsidRPr="009C1F78">
        <w:rPr>
          <w:rFonts w:ascii="Times New Roman" w:hAnsi="Times New Roman" w:cs="Times New Roman"/>
          <w:b/>
          <w:sz w:val="28"/>
          <w:szCs w:val="28"/>
          <w:lang w:val="en-US"/>
        </w:rPr>
        <w:t>I.</w:t>
      </w:r>
      <w:r w:rsidRPr="009C1F78">
        <w:rPr>
          <w:rFonts w:ascii="Times New Roman" w:hAnsi="Times New Roman" w:cs="Times New Roman"/>
          <w:b/>
          <w:sz w:val="28"/>
          <w:szCs w:val="28"/>
          <w:lang w:val="en-US"/>
        </w:rPr>
        <w:tab/>
        <w:t>Proposal</w:t>
      </w:r>
      <w:r>
        <w:rPr>
          <w:rFonts w:ascii="Times New Roman" w:hAnsi="Times New Roman" w:cs="Times New Roman"/>
          <w:b/>
          <w:sz w:val="28"/>
          <w:szCs w:val="28"/>
        </w:rPr>
        <w:t xml:space="preserve"> </w:t>
      </w:r>
    </w:p>
    <w:p w:rsidR="00A72FF7" w:rsidRPr="00132634" w:rsidRDefault="00A72FF7" w:rsidP="00A72FF7">
      <w:pPr>
        <w:ind w:left="2268" w:right="521" w:hanging="1134"/>
        <w:jc w:val="both"/>
        <w:rPr>
          <w:rFonts w:ascii="Times New Roman" w:hAnsi="Times New Roman" w:cs="Times New Roman"/>
          <w:sz w:val="20"/>
          <w:szCs w:val="20"/>
          <w:lang w:val="en-US"/>
        </w:rPr>
      </w:pPr>
      <w:r w:rsidRPr="00132634">
        <w:rPr>
          <w:rFonts w:ascii="Times New Roman" w:hAnsi="Times New Roman" w:cs="Times New Roman"/>
          <w:i/>
          <w:sz w:val="20"/>
          <w:szCs w:val="20"/>
          <w:lang w:val="en-US"/>
        </w:rPr>
        <w:t xml:space="preserve">Paragraph 5.3.2.3., </w:t>
      </w:r>
      <w:r w:rsidRPr="00132634">
        <w:rPr>
          <w:rFonts w:ascii="Times New Roman" w:hAnsi="Times New Roman" w:cs="Times New Roman"/>
          <w:sz w:val="20"/>
          <w:szCs w:val="20"/>
          <w:lang w:val="en-US"/>
        </w:rPr>
        <w:t>delete:</w:t>
      </w:r>
    </w:p>
    <w:p w:rsidR="00A72FF7" w:rsidRPr="00132634" w:rsidRDefault="00A72FF7" w:rsidP="00A72FF7">
      <w:pPr>
        <w:ind w:left="2268" w:right="521" w:hanging="1134"/>
        <w:jc w:val="both"/>
        <w:rPr>
          <w:rFonts w:ascii="Times New Roman" w:hAnsi="Times New Roman" w:cs="Times New Roman"/>
          <w:sz w:val="20"/>
          <w:szCs w:val="20"/>
        </w:rPr>
      </w:pPr>
      <w:r w:rsidRPr="00132634">
        <w:rPr>
          <w:rFonts w:ascii="Times New Roman" w:hAnsi="Times New Roman" w:cs="Times New Roman"/>
          <w:sz w:val="20"/>
          <w:szCs w:val="20"/>
        </w:rPr>
        <w:t>“</w:t>
      </w:r>
      <w:r w:rsidRPr="00132634">
        <w:rPr>
          <w:rFonts w:ascii="Times New Roman" w:hAnsi="Times New Roman" w:cs="Times New Roman"/>
          <w:strike/>
          <w:sz w:val="20"/>
          <w:szCs w:val="20"/>
        </w:rPr>
        <w:t>5.3.2.3.</w:t>
      </w:r>
      <w:r w:rsidRPr="00132634">
        <w:rPr>
          <w:rFonts w:ascii="Times New Roman" w:hAnsi="Times New Roman" w:cs="Times New Roman"/>
          <w:strike/>
          <w:sz w:val="20"/>
          <w:szCs w:val="20"/>
        </w:rPr>
        <w:tab/>
        <w:t xml:space="preserve">The total objective luminous flux of all LED modules producing the principal passing-beam and measured as described in paragraph 5. </w:t>
      </w:r>
      <w:proofErr w:type="gramStart"/>
      <w:r w:rsidRPr="00132634">
        <w:rPr>
          <w:rFonts w:ascii="Times New Roman" w:hAnsi="Times New Roman" w:cs="Times New Roman"/>
          <w:strike/>
          <w:sz w:val="20"/>
          <w:szCs w:val="20"/>
        </w:rPr>
        <w:t>of</w:t>
      </w:r>
      <w:proofErr w:type="gramEnd"/>
      <w:r w:rsidRPr="00132634">
        <w:rPr>
          <w:rFonts w:ascii="Times New Roman" w:hAnsi="Times New Roman" w:cs="Times New Roman"/>
          <w:strike/>
          <w:sz w:val="20"/>
          <w:szCs w:val="20"/>
        </w:rPr>
        <w:t xml:space="preserve"> Annex 10 shall be equal or greater than 1,000 lumens</w:t>
      </w:r>
      <w:r w:rsidRPr="00132634">
        <w:rPr>
          <w:rFonts w:ascii="Times New Roman" w:hAnsi="Times New Roman" w:cs="Times New Roman"/>
          <w:sz w:val="20"/>
          <w:szCs w:val="20"/>
        </w:rPr>
        <w:t>.”</w:t>
      </w:r>
    </w:p>
    <w:p w:rsidR="00A72FF7" w:rsidRPr="00132634" w:rsidRDefault="00A72FF7" w:rsidP="00A72FF7">
      <w:pPr>
        <w:autoSpaceDE w:val="0"/>
        <w:autoSpaceDN w:val="0"/>
        <w:adjustRightInd w:val="0"/>
        <w:ind w:left="2268" w:right="521" w:hanging="1134"/>
        <w:rPr>
          <w:rFonts w:ascii="Times New Roman" w:hAnsi="Times New Roman" w:cs="Times New Roman"/>
          <w:i/>
          <w:sz w:val="20"/>
          <w:szCs w:val="20"/>
          <w:lang w:val="en-US"/>
        </w:rPr>
      </w:pPr>
      <w:r w:rsidRPr="00132634">
        <w:rPr>
          <w:rFonts w:ascii="Times New Roman" w:hAnsi="Times New Roman" w:cs="Times New Roman"/>
          <w:i/>
          <w:sz w:val="20"/>
          <w:szCs w:val="20"/>
          <w:lang w:val="en-US"/>
        </w:rPr>
        <w:t xml:space="preserve">Paragraph 5.3.2.4., </w:t>
      </w:r>
      <w:r w:rsidRPr="00132634">
        <w:rPr>
          <w:rFonts w:ascii="Times New Roman" w:hAnsi="Times New Roman" w:cs="Times New Roman"/>
          <w:sz w:val="20"/>
          <w:szCs w:val="20"/>
          <w:lang w:val="en-US"/>
        </w:rPr>
        <w:t>renumber as paragraph 5.3.2.3.</w:t>
      </w:r>
      <w:r w:rsidRPr="00132634">
        <w:rPr>
          <w:rFonts w:ascii="Times New Roman" w:hAnsi="Times New Roman" w:cs="Times New Roman"/>
          <w:i/>
          <w:sz w:val="20"/>
          <w:szCs w:val="20"/>
          <w:lang w:val="en-US"/>
        </w:rPr>
        <w:t xml:space="preserve"> </w:t>
      </w:r>
    </w:p>
    <w:p w:rsidR="00A72FF7" w:rsidRPr="00132634" w:rsidRDefault="00A72FF7" w:rsidP="00A72FF7">
      <w:pPr>
        <w:autoSpaceDE w:val="0"/>
        <w:autoSpaceDN w:val="0"/>
        <w:adjustRightInd w:val="0"/>
        <w:ind w:left="2268" w:right="521" w:hanging="1134"/>
        <w:rPr>
          <w:rFonts w:ascii="Times New Roman" w:hAnsi="Times New Roman" w:cs="Times New Roman"/>
          <w:color w:val="000000" w:themeColor="text1"/>
          <w:sz w:val="20"/>
          <w:szCs w:val="20"/>
          <w:lang w:val="en-US" w:eastAsia="fr-FR"/>
        </w:rPr>
      </w:pPr>
      <w:r w:rsidRPr="00132634">
        <w:rPr>
          <w:rFonts w:ascii="Times New Roman" w:hAnsi="Times New Roman" w:cs="Times New Roman"/>
          <w:i/>
          <w:color w:val="000000" w:themeColor="text1"/>
          <w:sz w:val="20"/>
          <w:szCs w:val="20"/>
          <w:lang w:val="en-US" w:eastAsia="fr-FR"/>
        </w:rPr>
        <w:t>Insert a new paragraph 6.2.9.</w:t>
      </w:r>
      <w:r w:rsidRPr="00132634">
        <w:rPr>
          <w:rFonts w:ascii="Times New Roman" w:hAnsi="Times New Roman" w:cs="Times New Roman"/>
          <w:color w:val="000000" w:themeColor="text1"/>
          <w:sz w:val="20"/>
          <w:szCs w:val="20"/>
          <w:lang w:val="en-US" w:eastAsia="fr-FR"/>
        </w:rPr>
        <w:t>, to read:</w:t>
      </w:r>
    </w:p>
    <w:p w:rsidR="00A72FF7" w:rsidRPr="00363F98" w:rsidRDefault="00A72FF7" w:rsidP="00363F98">
      <w:pPr>
        <w:autoSpaceDE w:val="0"/>
        <w:autoSpaceDN w:val="0"/>
        <w:adjustRightInd w:val="0"/>
        <w:ind w:left="2268" w:right="522" w:hanging="1134"/>
        <w:jc w:val="both"/>
        <w:rPr>
          <w:rFonts w:ascii="Times New Roman" w:hAnsi="Times New Roman" w:cs="Times New Roman"/>
          <w:b/>
          <w:color w:val="000000" w:themeColor="text1"/>
          <w:sz w:val="20"/>
          <w:szCs w:val="20"/>
          <w:lang w:val="en-US" w:eastAsia="fr-FR"/>
        </w:rPr>
      </w:pPr>
      <w:r w:rsidRPr="00132634">
        <w:rPr>
          <w:rFonts w:ascii="Times New Roman" w:hAnsi="Times New Roman" w:cs="Times New Roman"/>
          <w:b/>
          <w:color w:val="000000" w:themeColor="text1"/>
          <w:sz w:val="20"/>
          <w:szCs w:val="20"/>
          <w:lang w:val="en-US" w:eastAsia="fr-FR"/>
        </w:rPr>
        <w:t xml:space="preserve">“6.2.9. </w:t>
      </w:r>
      <w:r w:rsidRPr="00132634">
        <w:rPr>
          <w:rFonts w:ascii="Times New Roman" w:hAnsi="Times New Roman" w:cs="Times New Roman"/>
          <w:b/>
          <w:color w:val="000000" w:themeColor="text1"/>
          <w:sz w:val="20"/>
          <w:szCs w:val="20"/>
          <w:lang w:val="en-US" w:eastAsia="fr-FR"/>
        </w:rPr>
        <w:tab/>
      </w:r>
      <w:r w:rsidRPr="00363F98">
        <w:rPr>
          <w:rFonts w:ascii="Times New Roman" w:hAnsi="Times New Roman" w:cs="Times New Roman"/>
          <w:b/>
          <w:color w:val="000000" w:themeColor="text1"/>
          <w:sz w:val="20"/>
          <w:szCs w:val="20"/>
          <w:lang w:val="en-US" w:eastAsia="fr-FR"/>
        </w:rPr>
        <w:t xml:space="preserve">The total objective luminous flux of the filament light source as defined in Regulation 37 or the total objective luminous flux, measured as described in paragraph 5 of annex 10, of all </w:t>
      </w:r>
      <w:r w:rsidR="00363F98" w:rsidRPr="00363F98">
        <w:rPr>
          <w:rFonts w:ascii="Times New Roman" w:hAnsi="Times New Roman" w:cs="Times New Roman"/>
          <w:b/>
          <w:bCs/>
          <w:color w:val="000000"/>
          <w:sz w:val="20"/>
          <w:szCs w:val="20"/>
        </w:rPr>
        <w:t xml:space="preserve">LED light sources approved according to Regulation No. 128 and / or  LED modules </w:t>
      </w:r>
      <w:r w:rsidRPr="00363F98">
        <w:rPr>
          <w:rFonts w:ascii="Times New Roman" w:hAnsi="Times New Roman" w:cs="Times New Roman"/>
          <w:b/>
          <w:color w:val="000000" w:themeColor="text1"/>
          <w:sz w:val="20"/>
          <w:szCs w:val="20"/>
          <w:lang w:val="en-US" w:eastAsia="fr-FR"/>
        </w:rPr>
        <w:t xml:space="preserve"> LED modules producing the principal passing beam shall be equal or greater than 1,000 lm. </w:t>
      </w:r>
    </w:p>
    <w:p w:rsidR="00A72FF7" w:rsidRPr="00363F98" w:rsidRDefault="00A72FF7" w:rsidP="00363F98">
      <w:pPr>
        <w:ind w:left="2268" w:right="522"/>
        <w:jc w:val="both"/>
        <w:rPr>
          <w:rFonts w:ascii="Times New Roman" w:hAnsi="Times New Roman" w:cs="Times New Roman"/>
          <w:b/>
          <w:bCs/>
          <w:color w:val="000000" w:themeColor="text1"/>
          <w:sz w:val="20"/>
          <w:szCs w:val="20"/>
          <w:shd w:val="clear" w:color="auto" w:fill="FFFFFF"/>
        </w:rPr>
      </w:pPr>
      <w:r w:rsidRPr="00363F98">
        <w:rPr>
          <w:rFonts w:ascii="Times New Roman" w:hAnsi="Times New Roman" w:cs="Times New Roman"/>
          <w:b/>
          <w:color w:val="000000" w:themeColor="text1"/>
          <w:sz w:val="20"/>
          <w:szCs w:val="20"/>
          <w:lang w:val="en-US" w:eastAsia="fr-FR"/>
        </w:rPr>
        <w:t xml:space="preserve">If this requirement is not satisfied, the luminous </w:t>
      </w:r>
      <w:r w:rsidRPr="00363F98">
        <w:rPr>
          <w:rFonts w:ascii="Times New Roman" w:hAnsi="Times New Roman" w:cs="Times New Roman"/>
          <w:b/>
          <w:bCs/>
          <w:color w:val="000000" w:themeColor="text1"/>
          <w:sz w:val="20"/>
          <w:szCs w:val="20"/>
          <w:shd w:val="clear" w:color="auto" w:fill="FFFFFF"/>
        </w:rPr>
        <w:t xml:space="preserve">flux </w:t>
      </w:r>
      <w:r w:rsidRPr="00363F98">
        <w:rPr>
          <w:rFonts w:ascii="Times New Roman" w:hAnsi="Times New Roman" w:cs="Times New Roman"/>
          <w:b/>
          <w:color w:val="000000" w:themeColor="text1"/>
          <w:sz w:val="20"/>
          <w:szCs w:val="20"/>
          <w:lang w:val="en-US" w:eastAsia="fr-FR"/>
        </w:rPr>
        <w:t xml:space="preserve">in the </w:t>
      </w:r>
      <w:r w:rsidRPr="00363F98">
        <w:rPr>
          <w:rFonts w:ascii="Times New Roman" w:hAnsi="Times New Roman" w:cs="Times New Roman"/>
          <w:b/>
          <w:color w:val="000000" w:themeColor="text1"/>
          <w:sz w:val="20"/>
          <w:szCs w:val="20"/>
          <w:lang w:val="en-US"/>
        </w:rPr>
        <w:t>principal passing beam shall meet the requirements</w:t>
      </w:r>
      <w:r w:rsidRPr="00363F98">
        <w:rPr>
          <w:rFonts w:ascii="Times New Roman" w:hAnsi="Times New Roman" w:cs="Times New Roman"/>
          <w:b/>
          <w:bCs/>
          <w:color w:val="000000" w:themeColor="text1"/>
          <w:sz w:val="20"/>
          <w:szCs w:val="20"/>
          <w:shd w:val="clear" w:color="auto" w:fill="FFFFFF"/>
        </w:rPr>
        <w:t xml:space="preserve"> </w:t>
      </w:r>
      <w:r w:rsidR="00A70B67">
        <w:rPr>
          <w:rFonts w:ascii="Times New Roman" w:hAnsi="Times New Roman" w:cs="Times New Roman"/>
          <w:b/>
          <w:bCs/>
          <w:color w:val="000000" w:themeColor="text1"/>
          <w:sz w:val="20"/>
          <w:szCs w:val="20"/>
          <w:shd w:val="clear" w:color="auto" w:fill="FFFFFF"/>
        </w:rPr>
        <w:t>in zones a) and b)</w:t>
      </w:r>
      <w:r w:rsidR="008F0729">
        <w:rPr>
          <w:rFonts w:ascii="Times New Roman" w:hAnsi="Times New Roman" w:cs="Times New Roman"/>
          <w:b/>
          <w:bCs/>
          <w:color w:val="000000" w:themeColor="text1"/>
          <w:sz w:val="20"/>
          <w:szCs w:val="20"/>
          <w:shd w:val="clear" w:color="auto" w:fill="FFFFFF"/>
        </w:rPr>
        <w:t>,</w:t>
      </w:r>
      <w:r w:rsidR="00A70B67">
        <w:rPr>
          <w:rFonts w:ascii="Times New Roman" w:hAnsi="Times New Roman" w:cs="Times New Roman"/>
          <w:b/>
          <w:bCs/>
          <w:color w:val="000000" w:themeColor="text1"/>
          <w:sz w:val="20"/>
          <w:szCs w:val="20"/>
          <w:shd w:val="clear" w:color="auto" w:fill="FFFFFF"/>
        </w:rPr>
        <w:t xml:space="preserve"> </w:t>
      </w:r>
      <w:r w:rsidR="008F0729">
        <w:rPr>
          <w:rFonts w:ascii="Times New Roman" w:hAnsi="Times New Roman" w:cs="Times New Roman"/>
          <w:b/>
          <w:bCs/>
          <w:color w:val="000000" w:themeColor="text1"/>
          <w:sz w:val="20"/>
          <w:szCs w:val="20"/>
          <w:shd w:val="clear" w:color="auto" w:fill="FFFFFF"/>
        </w:rPr>
        <w:t xml:space="preserve">as specified in the table below, </w:t>
      </w:r>
      <w:r w:rsidRPr="00363F98">
        <w:rPr>
          <w:rFonts w:ascii="Times New Roman" w:hAnsi="Times New Roman" w:cs="Times New Roman"/>
          <w:b/>
          <w:bCs/>
          <w:color w:val="000000" w:themeColor="text1"/>
          <w:sz w:val="20"/>
          <w:szCs w:val="20"/>
          <w:shd w:val="clear" w:color="auto" w:fill="FFFFFF"/>
        </w:rPr>
        <w:t xml:space="preserve">when aimed according to paragraph 6.2.2. </w:t>
      </w:r>
      <w:proofErr w:type="gramStart"/>
      <w:r w:rsidRPr="00363F98">
        <w:rPr>
          <w:rFonts w:ascii="Times New Roman" w:hAnsi="Times New Roman" w:cs="Times New Roman"/>
          <w:b/>
          <w:bCs/>
          <w:color w:val="000000" w:themeColor="text1"/>
          <w:sz w:val="20"/>
          <w:szCs w:val="20"/>
          <w:shd w:val="clear" w:color="auto" w:fill="FFFFFF"/>
        </w:rPr>
        <w:t>and</w:t>
      </w:r>
      <w:proofErr w:type="gramEnd"/>
      <w:r w:rsidRPr="00363F98">
        <w:rPr>
          <w:rFonts w:ascii="Times New Roman" w:hAnsi="Times New Roman" w:cs="Times New Roman"/>
          <w:b/>
          <w:bCs/>
          <w:color w:val="000000" w:themeColor="text1"/>
          <w:sz w:val="20"/>
          <w:szCs w:val="20"/>
          <w:shd w:val="clear" w:color="auto" w:fill="FFFFFF"/>
        </w:rPr>
        <w:t xml:space="preserve"> measured after photometric stability has occurred:</w:t>
      </w:r>
    </w:p>
    <w:tbl>
      <w:tblPr>
        <w:tblStyle w:val="TableGrid"/>
        <w:tblW w:w="0" w:type="auto"/>
        <w:tblInd w:w="237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709"/>
        <w:gridCol w:w="2977"/>
        <w:gridCol w:w="2551"/>
      </w:tblGrid>
      <w:tr w:rsidR="00A72FF7" w:rsidTr="00320AC2">
        <w:tc>
          <w:tcPr>
            <w:tcW w:w="709" w:type="dxa"/>
          </w:tcPr>
          <w:p w:rsidR="00A72FF7" w:rsidRDefault="00A72FF7" w:rsidP="003C2D6B">
            <w:pPr>
              <w:spacing w:before="120"/>
              <w:ind w:right="34"/>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Zone</w:t>
            </w:r>
          </w:p>
        </w:tc>
        <w:tc>
          <w:tcPr>
            <w:tcW w:w="2977" w:type="dxa"/>
          </w:tcPr>
          <w:p w:rsidR="00A72FF7" w:rsidRDefault="00A72FF7" w:rsidP="003C2D6B">
            <w:pPr>
              <w:spacing w:before="120" w:after="120" w:line="240" w:lineRule="atLeast"/>
              <w:ind w:right="34"/>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Forward field</w:t>
            </w:r>
          </w:p>
        </w:tc>
        <w:tc>
          <w:tcPr>
            <w:tcW w:w="2551" w:type="dxa"/>
          </w:tcPr>
          <w:p w:rsidR="00A72FF7" w:rsidRDefault="00A72FF7" w:rsidP="006B77AA">
            <w:pPr>
              <w:spacing w:before="120" w:after="120" w:line="240" w:lineRule="atLeast"/>
              <w:ind w:left="34" w:right="33"/>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L</w:t>
            </w:r>
            <w:r w:rsidRPr="00867EC0">
              <w:rPr>
                <w:rFonts w:ascii="Times New Roman" w:hAnsi="Times New Roman" w:cs="Times New Roman"/>
                <w:b/>
                <w:bCs/>
                <w:color w:val="000000" w:themeColor="text1"/>
                <w:sz w:val="20"/>
                <w:szCs w:val="20"/>
                <w:shd w:val="clear" w:color="auto" w:fill="FFFFFF"/>
              </w:rPr>
              <w:t>uminous flux in the principal passing beam</w:t>
            </w:r>
          </w:p>
        </w:tc>
      </w:tr>
      <w:tr w:rsidR="00A72FF7" w:rsidTr="00320AC2">
        <w:tc>
          <w:tcPr>
            <w:tcW w:w="709" w:type="dxa"/>
          </w:tcPr>
          <w:p w:rsidR="00A72FF7" w:rsidRDefault="00A72FF7" w:rsidP="003C2D6B">
            <w:pPr>
              <w:spacing w:before="120"/>
              <w:ind w:right="34"/>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a</w:t>
            </w:r>
          </w:p>
        </w:tc>
        <w:tc>
          <w:tcPr>
            <w:tcW w:w="2977" w:type="dxa"/>
          </w:tcPr>
          <w:p w:rsidR="00A72FF7" w:rsidRDefault="00A72FF7" w:rsidP="003C2D6B">
            <w:pPr>
              <w:spacing w:before="120" w:after="120" w:line="240" w:lineRule="atLeast"/>
              <w:ind w:right="34"/>
              <w:rPr>
                <w:rFonts w:ascii="Times New Roman" w:hAnsi="Times New Roman" w:cs="Times New Roman"/>
                <w:b/>
                <w:bCs/>
                <w:color w:val="000000" w:themeColor="text1"/>
                <w:sz w:val="20"/>
                <w:szCs w:val="20"/>
                <w:shd w:val="clear" w:color="auto" w:fill="FFFFFF"/>
              </w:rPr>
            </w:pPr>
            <w:r>
              <w:rPr>
                <w:rFonts w:ascii="Times New Roman" w:hAnsi="Times New Roman" w:cs="Times New Roman"/>
                <w:b/>
                <w:color w:val="000000" w:themeColor="text1"/>
                <w:sz w:val="20"/>
                <w:szCs w:val="20"/>
                <w:lang w:val="en-US"/>
              </w:rPr>
              <w:t xml:space="preserve">30°L to 30°R </w:t>
            </w:r>
            <w:r w:rsidRPr="00132634">
              <w:rPr>
                <w:rFonts w:ascii="Times New Roman" w:hAnsi="Times New Roman" w:cs="Times New Roman"/>
                <w:b/>
                <w:color w:val="000000" w:themeColor="text1"/>
                <w:sz w:val="20"/>
                <w:szCs w:val="20"/>
                <w:lang w:val="en-US"/>
              </w:rPr>
              <w:t xml:space="preserve"> </w:t>
            </w:r>
            <w:r>
              <w:rPr>
                <w:rFonts w:ascii="Times New Roman" w:hAnsi="Times New Roman" w:cs="Times New Roman"/>
                <w:b/>
                <w:color w:val="000000" w:themeColor="text1"/>
                <w:sz w:val="20"/>
                <w:szCs w:val="20"/>
                <w:lang w:val="en-US"/>
              </w:rPr>
              <w:t xml:space="preserve">and </w:t>
            </w:r>
            <w:r w:rsidRPr="00132634">
              <w:rPr>
                <w:rFonts w:ascii="Times New Roman" w:hAnsi="Times New Roman" w:cs="Times New Roman"/>
                <w:b/>
                <w:color w:val="000000" w:themeColor="text1"/>
                <w:sz w:val="20"/>
                <w:szCs w:val="20"/>
                <w:lang w:val="en-US"/>
              </w:rPr>
              <w:t>15°D to1°U</w:t>
            </w:r>
          </w:p>
        </w:tc>
        <w:tc>
          <w:tcPr>
            <w:tcW w:w="2551" w:type="dxa"/>
            <w:vAlign w:val="center"/>
          </w:tcPr>
          <w:p w:rsidR="00A72FF7" w:rsidRPr="00CD6BC7" w:rsidRDefault="00A72FF7" w:rsidP="003C2D6B">
            <w:pPr>
              <w:spacing w:before="120"/>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 xml:space="preserve">≥ </w:t>
            </w:r>
            <w:r w:rsidRPr="00CD6BC7">
              <w:rPr>
                <w:rFonts w:ascii="Times New Roman" w:hAnsi="Times New Roman" w:cs="Times New Roman"/>
                <w:b/>
                <w:bCs/>
                <w:color w:val="000000" w:themeColor="text1"/>
                <w:sz w:val="20"/>
                <w:szCs w:val="20"/>
                <w:shd w:val="clear" w:color="auto" w:fill="FFFFFF"/>
              </w:rPr>
              <w:t>400 lm</w:t>
            </w:r>
          </w:p>
        </w:tc>
      </w:tr>
      <w:tr w:rsidR="00A72FF7" w:rsidTr="00320AC2">
        <w:tc>
          <w:tcPr>
            <w:tcW w:w="709" w:type="dxa"/>
          </w:tcPr>
          <w:p w:rsidR="00A72FF7" w:rsidRDefault="00A72FF7" w:rsidP="003C2D6B">
            <w:pPr>
              <w:spacing w:before="120"/>
              <w:ind w:right="34"/>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b</w:t>
            </w:r>
          </w:p>
        </w:tc>
        <w:tc>
          <w:tcPr>
            <w:tcW w:w="2977" w:type="dxa"/>
          </w:tcPr>
          <w:p w:rsidR="00A72FF7" w:rsidRPr="00320AC2" w:rsidRDefault="00A72FF7" w:rsidP="003C2D6B">
            <w:pPr>
              <w:spacing w:before="120" w:after="120" w:line="240" w:lineRule="atLeast"/>
              <w:ind w:right="34"/>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 30°L to 30°R </w:t>
            </w:r>
            <w:r w:rsidRPr="00132634">
              <w:rPr>
                <w:rFonts w:ascii="Times New Roman" w:hAnsi="Times New Roman" w:cs="Times New Roman"/>
                <w:b/>
                <w:color w:val="000000" w:themeColor="text1"/>
                <w:sz w:val="20"/>
                <w:szCs w:val="20"/>
                <w:lang w:val="en-US"/>
              </w:rPr>
              <w:t xml:space="preserve"> </w:t>
            </w:r>
            <w:r>
              <w:rPr>
                <w:rFonts w:ascii="Times New Roman" w:hAnsi="Times New Roman" w:cs="Times New Roman"/>
                <w:b/>
                <w:color w:val="000000" w:themeColor="text1"/>
                <w:sz w:val="20"/>
                <w:szCs w:val="20"/>
                <w:lang w:val="en-US"/>
              </w:rPr>
              <w:t xml:space="preserve">and  </w:t>
            </w:r>
            <w:r w:rsidR="00320AC2">
              <w:rPr>
                <w:rFonts w:ascii="Times New Roman" w:hAnsi="Times New Roman" w:cs="Times New Roman"/>
                <w:b/>
                <w:color w:val="000000" w:themeColor="text1"/>
                <w:sz w:val="20"/>
                <w:szCs w:val="20"/>
                <w:lang w:val="en-US"/>
              </w:rPr>
              <w:t>3.</w:t>
            </w:r>
            <w:r w:rsidRPr="00132634">
              <w:rPr>
                <w:rFonts w:ascii="Times New Roman" w:hAnsi="Times New Roman" w:cs="Times New Roman"/>
                <w:b/>
                <w:color w:val="000000" w:themeColor="text1"/>
                <w:sz w:val="20"/>
                <w:szCs w:val="20"/>
                <w:lang w:val="en-US"/>
              </w:rPr>
              <w:t>5°D to1°U</w:t>
            </w:r>
          </w:p>
        </w:tc>
        <w:tc>
          <w:tcPr>
            <w:tcW w:w="2551" w:type="dxa"/>
            <w:vAlign w:val="center"/>
          </w:tcPr>
          <w:p w:rsidR="00A72FF7" w:rsidRDefault="00A72FF7" w:rsidP="003C2D6B">
            <w:pPr>
              <w:spacing w:before="120" w:after="120" w:line="240" w:lineRule="atLeast"/>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 200 lm</w:t>
            </w:r>
          </w:p>
        </w:tc>
      </w:tr>
    </w:tbl>
    <w:p w:rsidR="00A72FF7" w:rsidRDefault="00A72FF7" w:rsidP="00A72FF7">
      <w:pPr>
        <w:autoSpaceDE w:val="0"/>
        <w:autoSpaceDN w:val="0"/>
        <w:adjustRightInd w:val="0"/>
        <w:spacing w:after="0"/>
        <w:ind w:left="2268" w:right="522" w:hanging="1134"/>
        <w:jc w:val="right"/>
        <w:rPr>
          <w:rFonts w:ascii="Times New Roman" w:hAnsi="Times New Roman" w:cs="Times New Roman"/>
          <w:i/>
          <w:sz w:val="20"/>
          <w:szCs w:val="20"/>
          <w:lang w:val="en-US"/>
        </w:rPr>
      </w:pPr>
      <w:r>
        <w:rPr>
          <w:rFonts w:ascii="Times New Roman" w:hAnsi="Times New Roman" w:cs="Times New Roman"/>
          <w:i/>
          <w:sz w:val="20"/>
          <w:szCs w:val="20"/>
          <w:lang w:val="en-US"/>
        </w:rPr>
        <w:t>”</w:t>
      </w:r>
    </w:p>
    <w:p w:rsidR="00A72FF7" w:rsidRPr="00132634" w:rsidRDefault="00A72FF7" w:rsidP="008F0729">
      <w:pPr>
        <w:autoSpaceDE w:val="0"/>
        <w:autoSpaceDN w:val="0"/>
        <w:adjustRightInd w:val="0"/>
        <w:ind w:left="2268" w:right="521" w:hanging="1134"/>
        <w:rPr>
          <w:rFonts w:ascii="Times New Roman" w:hAnsi="Times New Roman" w:cs="Times New Roman"/>
          <w:color w:val="000000" w:themeColor="text1"/>
          <w:sz w:val="20"/>
          <w:szCs w:val="20"/>
          <w:lang w:val="en-US" w:eastAsia="fr-FR"/>
        </w:rPr>
      </w:pPr>
      <w:r w:rsidRPr="00132634">
        <w:rPr>
          <w:rFonts w:ascii="Times New Roman" w:hAnsi="Times New Roman" w:cs="Times New Roman"/>
          <w:i/>
          <w:sz w:val="20"/>
          <w:szCs w:val="20"/>
          <w:lang w:val="en-US"/>
        </w:rPr>
        <w:t xml:space="preserve">Paragraph 10.7., </w:t>
      </w:r>
      <w:r w:rsidRPr="00132634">
        <w:rPr>
          <w:rFonts w:ascii="Times New Roman" w:hAnsi="Times New Roman" w:cs="Times New Roman"/>
          <w:sz w:val="20"/>
          <w:szCs w:val="20"/>
          <w:lang w:val="en-US"/>
        </w:rPr>
        <w:t>amend to read:</w:t>
      </w:r>
    </w:p>
    <w:p w:rsidR="0003526C" w:rsidRDefault="00A72FF7" w:rsidP="0003526C">
      <w:pPr>
        <w:ind w:left="2268" w:right="521" w:hanging="1134"/>
        <w:jc w:val="both"/>
        <w:rPr>
          <w:rFonts w:ascii="Times New Roman" w:hAnsi="Times New Roman" w:cs="Times New Roman"/>
          <w:color w:val="000000" w:themeColor="text1"/>
          <w:sz w:val="20"/>
          <w:szCs w:val="20"/>
          <w:lang w:val="en-US"/>
        </w:rPr>
      </w:pPr>
      <w:r w:rsidRPr="00132634">
        <w:rPr>
          <w:rFonts w:ascii="Times New Roman" w:hAnsi="Times New Roman" w:cs="Times New Roman"/>
          <w:color w:val="000000" w:themeColor="text1"/>
          <w:sz w:val="20"/>
          <w:szCs w:val="20"/>
          <w:lang w:val="en-US"/>
        </w:rPr>
        <w:t xml:space="preserve">“10.7 </w:t>
      </w:r>
      <w:r w:rsidRPr="00132634">
        <w:rPr>
          <w:rFonts w:ascii="Times New Roman" w:hAnsi="Times New Roman" w:cs="Times New Roman"/>
          <w:color w:val="000000" w:themeColor="text1"/>
          <w:sz w:val="20"/>
          <w:szCs w:val="20"/>
          <w:lang w:val="en-US"/>
        </w:rPr>
        <w:tab/>
        <w:t xml:space="preserve">The measuring points 1 to 8 from paragraph 6.2.4 </w:t>
      </w:r>
      <w:r w:rsidRPr="00132634">
        <w:rPr>
          <w:rFonts w:ascii="Times New Roman" w:hAnsi="Times New Roman" w:cs="Times New Roman"/>
          <w:b/>
          <w:color w:val="000000" w:themeColor="text1"/>
          <w:sz w:val="20"/>
          <w:szCs w:val="20"/>
          <w:lang w:val="en-US"/>
        </w:rPr>
        <w:t xml:space="preserve">and the measurement of the luminous flux according to paragraph 6.2.9 </w:t>
      </w:r>
      <w:r w:rsidRPr="00132634">
        <w:rPr>
          <w:rFonts w:ascii="Times New Roman" w:hAnsi="Times New Roman" w:cs="Times New Roman"/>
          <w:color w:val="000000" w:themeColor="text1"/>
          <w:sz w:val="20"/>
          <w:szCs w:val="20"/>
          <w:lang w:val="en-US"/>
        </w:rPr>
        <w:t>are disregarded.”</w:t>
      </w:r>
    </w:p>
    <w:p w:rsidR="008F0729" w:rsidRPr="00132634" w:rsidRDefault="008F0729" w:rsidP="0003526C">
      <w:pPr>
        <w:ind w:left="2268" w:right="521" w:hanging="1134"/>
        <w:jc w:val="both"/>
        <w:rPr>
          <w:rFonts w:ascii="Times New Roman" w:hAnsi="Times New Roman" w:cs="Times New Roman"/>
          <w:color w:val="000000" w:themeColor="text1"/>
          <w:sz w:val="20"/>
          <w:szCs w:val="20"/>
          <w:lang w:val="en-US" w:eastAsia="fr-FR"/>
        </w:rPr>
      </w:pPr>
      <w:r>
        <w:rPr>
          <w:rFonts w:ascii="Times New Roman" w:hAnsi="Times New Roman" w:cs="Times New Roman"/>
          <w:i/>
          <w:sz w:val="20"/>
          <w:szCs w:val="20"/>
          <w:lang w:val="en-US"/>
        </w:rPr>
        <w:t xml:space="preserve">Annex </w:t>
      </w:r>
      <w:proofErr w:type="gramStart"/>
      <w:r>
        <w:rPr>
          <w:rFonts w:ascii="Times New Roman" w:hAnsi="Times New Roman" w:cs="Times New Roman"/>
          <w:i/>
          <w:sz w:val="20"/>
          <w:szCs w:val="20"/>
          <w:lang w:val="en-US"/>
        </w:rPr>
        <w:t>3</w:t>
      </w:r>
      <w:r w:rsidRPr="00132634">
        <w:rPr>
          <w:rFonts w:ascii="Times New Roman" w:hAnsi="Times New Roman" w:cs="Times New Roman"/>
          <w:i/>
          <w:sz w:val="20"/>
          <w:szCs w:val="20"/>
          <w:lang w:val="en-US"/>
        </w:rPr>
        <w:t>,</w:t>
      </w:r>
      <w:proofErr w:type="gramEnd"/>
      <w:r w:rsidRPr="00132634">
        <w:rPr>
          <w:rFonts w:ascii="Times New Roman" w:hAnsi="Times New Roman" w:cs="Times New Roman"/>
          <w:i/>
          <w:sz w:val="20"/>
          <w:szCs w:val="20"/>
          <w:lang w:val="en-US"/>
        </w:rPr>
        <w:t xml:space="preserve"> </w:t>
      </w:r>
      <w:r>
        <w:rPr>
          <w:rFonts w:ascii="Times New Roman" w:hAnsi="Times New Roman" w:cs="Times New Roman"/>
          <w:sz w:val="20"/>
          <w:szCs w:val="20"/>
          <w:lang w:val="en-US"/>
        </w:rPr>
        <w:t>replace the existing figure b)</w:t>
      </w:r>
      <w:r w:rsidRPr="00132634">
        <w:rPr>
          <w:rFonts w:ascii="Times New Roman" w:hAnsi="Times New Roman" w:cs="Times New Roman"/>
          <w:sz w:val="20"/>
          <w:szCs w:val="20"/>
          <w:lang w:val="en-US"/>
        </w:rPr>
        <w:t xml:space="preserve"> to read:</w:t>
      </w:r>
    </w:p>
    <w:p w:rsidR="008F0729" w:rsidRPr="008F0729" w:rsidRDefault="0003526C" w:rsidP="008F0729">
      <w:pPr>
        <w:pStyle w:val="Heading1"/>
        <w:spacing w:after="120" w:line="240" w:lineRule="atLeast"/>
      </w:pPr>
      <w:r>
        <w:t>“</w:t>
      </w:r>
      <w:r w:rsidR="008F0729" w:rsidRPr="008F0729">
        <w:t>Figure B</w:t>
      </w:r>
    </w:p>
    <w:p w:rsidR="008F0729" w:rsidRPr="008F0729" w:rsidRDefault="008F0729" w:rsidP="008F0729">
      <w:pPr>
        <w:pStyle w:val="Heading1"/>
        <w:spacing w:after="120" w:line="240" w:lineRule="atLeast"/>
        <w:rPr>
          <w:b/>
        </w:rPr>
      </w:pPr>
      <w:r w:rsidRPr="008F0729">
        <w:rPr>
          <w:b/>
        </w:rPr>
        <w:t>Passing-beam for right-hand traffic</w:t>
      </w:r>
    </w:p>
    <w:p w:rsidR="008F0729" w:rsidRPr="008F0729" w:rsidRDefault="008F0729" w:rsidP="008F0729">
      <w:pPr>
        <w:widowControl w:val="0"/>
        <w:tabs>
          <w:tab w:val="center" w:pos="4736"/>
        </w:tabs>
        <w:jc w:val="center"/>
        <w:rPr>
          <w:rFonts w:ascii="Times New Roman" w:hAnsi="Times New Roman" w:cs="Times New Roman"/>
          <w:sz w:val="20"/>
          <w:szCs w:val="20"/>
          <w:highlight w:val="yellow"/>
          <w:u w:val="single"/>
        </w:rPr>
      </w:pPr>
      <w:r w:rsidRPr="008F0729">
        <w:rPr>
          <w:rFonts w:ascii="Times New Roman" w:hAnsi="Times New Roman" w:cs="Times New Roman"/>
          <w:noProof/>
          <w:sz w:val="20"/>
          <w:szCs w:val="20"/>
          <w:u w:val="single"/>
          <w:lang w:val="en-US"/>
        </w:rPr>
        <w:lastRenderedPageBreak/>
        <w:drawing>
          <wp:inline distT="0" distB="0" distL="0" distR="0">
            <wp:extent cx="5731510" cy="4300124"/>
            <wp:effectExtent l="19050" t="19050" r="21590" b="24226"/>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4300124"/>
                    </a:xfrm>
                    <a:prstGeom prst="rect">
                      <a:avLst/>
                    </a:prstGeom>
                    <a:noFill/>
                    <a:ln w="9525">
                      <a:solidFill>
                        <a:schemeClr val="accent1"/>
                      </a:solidFill>
                      <a:miter lim="800000"/>
                      <a:headEnd/>
                      <a:tailEnd/>
                    </a:ln>
                  </pic:spPr>
                </pic:pic>
              </a:graphicData>
            </a:graphic>
          </wp:inline>
        </w:drawing>
      </w:r>
    </w:p>
    <w:p w:rsidR="008F0729" w:rsidRPr="008F0729" w:rsidRDefault="008F0729" w:rsidP="008F0729">
      <w:pPr>
        <w:widowControl w:val="0"/>
        <w:tabs>
          <w:tab w:val="center" w:pos="4736"/>
        </w:tabs>
        <w:jc w:val="center"/>
        <w:rPr>
          <w:rFonts w:ascii="Times New Roman" w:hAnsi="Times New Roman" w:cs="Times New Roman"/>
          <w:sz w:val="20"/>
          <w:szCs w:val="20"/>
        </w:rPr>
      </w:pPr>
      <w:proofErr w:type="gramStart"/>
      <w:r w:rsidRPr="008F0729">
        <w:rPr>
          <w:rFonts w:ascii="Times New Roman" w:hAnsi="Times New Roman" w:cs="Times New Roman"/>
          <w:sz w:val="20"/>
          <w:szCs w:val="20"/>
        </w:rPr>
        <w:t>h-h</w:t>
      </w:r>
      <w:proofErr w:type="gramEnd"/>
      <w:r w:rsidRPr="008F0729">
        <w:rPr>
          <w:rFonts w:ascii="Times New Roman" w:hAnsi="Times New Roman" w:cs="Times New Roman"/>
          <w:sz w:val="20"/>
          <w:szCs w:val="20"/>
        </w:rPr>
        <w:t xml:space="preserve"> = horizontal plane , v-v = vertical plane  passing through the optical axis of the headlamp</w:t>
      </w:r>
    </w:p>
    <w:p w:rsidR="008F0729" w:rsidRDefault="008F0729" w:rsidP="008F0729">
      <w:pPr>
        <w:widowControl w:val="0"/>
        <w:tabs>
          <w:tab w:val="left" w:pos="891"/>
          <w:tab w:val="left" w:pos="1851"/>
          <w:tab w:val="left" w:pos="2475"/>
          <w:tab w:val="left" w:pos="3627"/>
          <w:tab w:val="left" w:pos="4779"/>
          <w:tab w:val="left" w:pos="5931"/>
          <w:tab w:val="left" w:pos="7083"/>
          <w:tab w:val="left" w:pos="8235"/>
        </w:tabs>
        <w:jc w:val="center"/>
        <w:rPr>
          <w:rFonts w:ascii="Times New Roman" w:hAnsi="Times New Roman" w:cs="Times New Roman"/>
          <w:sz w:val="20"/>
          <w:szCs w:val="20"/>
        </w:rPr>
      </w:pPr>
      <w:r w:rsidRPr="008F0729">
        <w:rPr>
          <w:rFonts w:ascii="Times New Roman" w:hAnsi="Times New Roman" w:cs="Times New Roman"/>
          <w:sz w:val="20"/>
          <w:szCs w:val="20"/>
        </w:rPr>
        <w:t>The test point locations for left-hand traffic are mirrored about the VV line</w:t>
      </w:r>
      <w:r w:rsidR="0003526C">
        <w:rPr>
          <w:rFonts w:ascii="Times New Roman" w:hAnsi="Times New Roman" w:cs="Times New Roman"/>
          <w:sz w:val="20"/>
          <w:szCs w:val="20"/>
        </w:rPr>
        <w:t>”</w:t>
      </w:r>
    </w:p>
    <w:p w:rsidR="0003526C" w:rsidRPr="008F0729" w:rsidRDefault="0003526C" w:rsidP="0003526C">
      <w:pPr>
        <w:widowControl w:val="0"/>
        <w:tabs>
          <w:tab w:val="left" w:pos="891"/>
          <w:tab w:val="left" w:pos="1851"/>
          <w:tab w:val="left" w:pos="2475"/>
          <w:tab w:val="left" w:pos="3627"/>
          <w:tab w:val="left" w:pos="4779"/>
          <w:tab w:val="left" w:pos="5931"/>
          <w:tab w:val="left" w:pos="7083"/>
          <w:tab w:val="left" w:pos="8235"/>
        </w:tabs>
        <w:rPr>
          <w:rFonts w:ascii="Times New Roman" w:hAnsi="Times New Roman" w:cs="Times New Roman"/>
          <w:sz w:val="20"/>
          <w:szCs w:val="20"/>
        </w:rPr>
      </w:pPr>
    </w:p>
    <w:p w:rsidR="00A72FF7" w:rsidRPr="00132634" w:rsidRDefault="00A72FF7" w:rsidP="00A72FF7">
      <w:pPr>
        <w:ind w:left="284" w:right="521" w:hanging="284"/>
        <w:jc w:val="both"/>
        <w:rPr>
          <w:rFonts w:ascii="Times New Roman" w:hAnsi="Times New Roman" w:cs="Times New Roman"/>
          <w:b/>
          <w:sz w:val="28"/>
          <w:szCs w:val="28"/>
        </w:rPr>
      </w:pPr>
      <w:r w:rsidRPr="009C1F78">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9C1F78">
        <w:rPr>
          <w:rFonts w:ascii="Times New Roman" w:hAnsi="Times New Roman" w:cs="Times New Roman"/>
          <w:b/>
          <w:sz w:val="28"/>
          <w:szCs w:val="28"/>
          <w:lang w:val="en-US"/>
        </w:rPr>
        <w:t>.</w:t>
      </w:r>
      <w:r w:rsidRPr="009C1F78">
        <w:rPr>
          <w:rFonts w:ascii="Times New Roman" w:hAnsi="Times New Roman" w:cs="Times New Roman"/>
          <w:b/>
          <w:sz w:val="28"/>
          <w:szCs w:val="28"/>
          <w:lang w:val="en-US"/>
        </w:rPr>
        <w:tab/>
      </w:r>
      <w:r>
        <w:rPr>
          <w:rFonts w:ascii="Times New Roman" w:hAnsi="Times New Roman" w:cs="Times New Roman"/>
          <w:b/>
          <w:sz w:val="28"/>
          <w:szCs w:val="28"/>
          <w:lang w:val="en-US"/>
        </w:rPr>
        <w:t>Justification</w:t>
      </w:r>
    </w:p>
    <w:p w:rsidR="00A72FF7" w:rsidRPr="009C1F78" w:rsidRDefault="00A72FF7" w:rsidP="00A72FF7">
      <w:pPr>
        <w:pStyle w:val="ListParagraph"/>
        <w:numPr>
          <w:ilvl w:val="0"/>
          <w:numId w:val="21"/>
        </w:numPr>
        <w:ind w:right="521" w:hanging="11"/>
        <w:contextualSpacing w:val="0"/>
        <w:jc w:val="both"/>
        <w:rPr>
          <w:rFonts w:ascii="Times New Roman" w:hAnsi="Times New Roman" w:cs="Times New Roman"/>
          <w:sz w:val="20"/>
          <w:szCs w:val="20"/>
        </w:rPr>
      </w:pPr>
      <w:r w:rsidRPr="009C1F78">
        <w:rPr>
          <w:rFonts w:ascii="Times New Roman" w:hAnsi="Times New Roman" w:cs="Times New Roman"/>
          <w:sz w:val="20"/>
          <w:szCs w:val="20"/>
        </w:rPr>
        <w:t>At its 73</w:t>
      </w:r>
      <w:r w:rsidRPr="009C1F78">
        <w:rPr>
          <w:rFonts w:ascii="Times New Roman" w:hAnsi="Times New Roman" w:cs="Times New Roman"/>
          <w:sz w:val="20"/>
          <w:szCs w:val="20"/>
          <w:vertAlign w:val="superscript"/>
        </w:rPr>
        <w:t>rd</w:t>
      </w:r>
      <w:r w:rsidRPr="009C1F78">
        <w:rPr>
          <w:rFonts w:ascii="Times New Roman" w:hAnsi="Times New Roman" w:cs="Times New Roman"/>
          <w:sz w:val="20"/>
          <w:szCs w:val="20"/>
        </w:rPr>
        <w:t xml:space="preserve"> session</w:t>
      </w:r>
      <w:r>
        <w:rPr>
          <w:rFonts w:ascii="Times New Roman" w:hAnsi="Times New Roman" w:cs="Times New Roman"/>
          <w:sz w:val="20"/>
          <w:szCs w:val="20"/>
        </w:rPr>
        <w:t>,</w:t>
      </w:r>
      <w:r w:rsidRPr="009C1F78">
        <w:rPr>
          <w:rFonts w:ascii="Times New Roman" w:hAnsi="Times New Roman" w:cs="Times New Roman"/>
          <w:sz w:val="20"/>
          <w:szCs w:val="20"/>
        </w:rPr>
        <w:t xml:space="preserve"> the </w:t>
      </w:r>
      <w:r>
        <w:rPr>
          <w:rFonts w:ascii="Times New Roman" w:hAnsi="Times New Roman" w:cs="Times New Roman"/>
          <w:sz w:val="20"/>
          <w:szCs w:val="20"/>
        </w:rPr>
        <w:t>expert</w:t>
      </w:r>
      <w:r w:rsidRPr="009C1F78">
        <w:rPr>
          <w:rFonts w:ascii="Times New Roman" w:hAnsi="Times New Roman" w:cs="Times New Roman"/>
          <w:sz w:val="20"/>
          <w:szCs w:val="20"/>
        </w:rPr>
        <w:t xml:space="preserve"> from France proposed to delete a design restrictive requirement (ECE/TRANS/WP.29/GRE/2015/22 and GRE-73-26) which is not clearly justified in the Regulation. This proposal received comments from the experts of Germany and the Netherlands. The expert from Poland suggested a different approach on this issue (GRE-73-21). The Chair invited the experts from France, Germany, Netherlands, Poland, CLEPA and IEC to prepare a revised proposal for the next session.</w:t>
      </w:r>
    </w:p>
    <w:p w:rsidR="00A72FF7" w:rsidRPr="009C1F78" w:rsidRDefault="00A72FF7" w:rsidP="00A72FF7">
      <w:pPr>
        <w:pStyle w:val="ListParagraph"/>
        <w:numPr>
          <w:ilvl w:val="0"/>
          <w:numId w:val="21"/>
        </w:numPr>
        <w:ind w:right="521" w:hanging="11"/>
        <w:contextualSpacing w:val="0"/>
        <w:jc w:val="both"/>
        <w:rPr>
          <w:rFonts w:ascii="Times New Roman" w:hAnsi="Times New Roman" w:cs="Times New Roman"/>
          <w:sz w:val="20"/>
          <w:szCs w:val="20"/>
        </w:rPr>
      </w:pPr>
      <w:r w:rsidRPr="009C1F78">
        <w:rPr>
          <w:rFonts w:ascii="Times New Roman" w:hAnsi="Times New Roman" w:cs="Times New Roman"/>
          <w:sz w:val="20"/>
          <w:szCs w:val="20"/>
        </w:rPr>
        <w:t xml:space="preserve">Subsequently, at the request of </w:t>
      </w:r>
      <w:r>
        <w:rPr>
          <w:rFonts w:ascii="Times New Roman" w:hAnsi="Times New Roman" w:cs="Times New Roman"/>
          <w:sz w:val="20"/>
          <w:szCs w:val="20"/>
        </w:rPr>
        <w:t>its</w:t>
      </w:r>
      <w:r w:rsidRPr="009C1F78">
        <w:rPr>
          <w:rFonts w:ascii="Times New Roman" w:hAnsi="Times New Roman" w:cs="Times New Roman"/>
          <w:sz w:val="20"/>
          <w:szCs w:val="20"/>
        </w:rPr>
        <w:t xml:space="preserve"> French experts, GTB carried out a study with the objective of developing a solution based upon the broad experience of its members producing principal passing beam headlamps type approved to UN Regulation No. 112.</w:t>
      </w:r>
    </w:p>
    <w:p w:rsidR="00A72FF7" w:rsidRPr="009C1F78" w:rsidRDefault="00A72FF7" w:rsidP="00A72FF7">
      <w:pPr>
        <w:pStyle w:val="ListParagraph"/>
        <w:numPr>
          <w:ilvl w:val="0"/>
          <w:numId w:val="21"/>
        </w:numPr>
        <w:ind w:right="521" w:hanging="11"/>
        <w:contextualSpacing w:val="0"/>
        <w:jc w:val="both"/>
        <w:rPr>
          <w:rFonts w:ascii="Times New Roman" w:hAnsi="Times New Roman" w:cs="Times New Roman"/>
          <w:sz w:val="20"/>
          <w:szCs w:val="20"/>
        </w:rPr>
      </w:pPr>
      <w:r w:rsidRPr="009C1F78">
        <w:rPr>
          <w:rFonts w:ascii="Times New Roman" w:hAnsi="Times New Roman" w:cs="Times New Roman"/>
          <w:sz w:val="20"/>
          <w:szCs w:val="20"/>
        </w:rPr>
        <w:t>The current requirement in paragraph 5.3.2.3 states</w:t>
      </w:r>
    </w:p>
    <w:p w:rsidR="00A72FF7" w:rsidRPr="006B77AA" w:rsidRDefault="00A72FF7" w:rsidP="006B77AA">
      <w:pPr>
        <w:ind w:left="2268" w:right="521" w:hanging="1145"/>
        <w:jc w:val="both"/>
        <w:rPr>
          <w:rFonts w:ascii="Times New Roman" w:hAnsi="Times New Roman" w:cs="Times New Roman"/>
          <w:i/>
          <w:sz w:val="20"/>
          <w:szCs w:val="20"/>
        </w:rPr>
      </w:pPr>
      <w:r w:rsidRPr="006B77AA">
        <w:rPr>
          <w:rFonts w:ascii="Times New Roman" w:hAnsi="Times New Roman" w:cs="Times New Roman"/>
          <w:i/>
          <w:sz w:val="20"/>
          <w:szCs w:val="20"/>
        </w:rPr>
        <w:t>“5.3.2.3.</w:t>
      </w:r>
      <w:r w:rsidRPr="006B77AA">
        <w:rPr>
          <w:rFonts w:ascii="Times New Roman" w:hAnsi="Times New Roman" w:cs="Times New Roman"/>
          <w:i/>
          <w:sz w:val="20"/>
          <w:szCs w:val="20"/>
        </w:rPr>
        <w:tab/>
        <w:t xml:space="preserve">The total objective luminous flux of all LED modules producing the principal passing-beam and measured as described in paragraph 5. </w:t>
      </w:r>
      <w:proofErr w:type="gramStart"/>
      <w:r w:rsidRPr="006B77AA">
        <w:rPr>
          <w:rFonts w:ascii="Times New Roman" w:hAnsi="Times New Roman" w:cs="Times New Roman"/>
          <w:i/>
          <w:sz w:val="20"/>
          <w:szCs w:val="20"/>
        </w:rPr>
        <w:t>of</w:t>
      </w:r>
      <w:proofErr w:type="gramEnd"/>
      <w:r w:rsidRPr="006B77AA">
        <w:rPr>
          <w:rFonts w:ascii="Times New Roman" w:hAnsi="Times New Roman" w:cs="Times New Roman"/>
          <w:i/>
          <w:sz w:val="20"/>
          <w:szCs w:val="20"/>
        </w:rPr>
        <w:t xml:space="preserve"> Annex 10 shall be equal or greater than 1,000 lumens.”</w:t>
      </w:r>
    </w:p>
    <w:p w:rsidR="00A72FF7" w:rsidRPr="009C1F78" w:rsidRDefault="00A72FF7" w:rsidP="00A72FF7">
      <w:pPr>
        <w:pStyle w:val="ListParagraph"/>
        <w:numPr>
          <w:ilvl w:val="0"/>
          <w:numId w:val="21"/>
        </w:numPr>
        <w:ind w:right="521" w:hanging="11"/>
        <w:contextualSpacing w:val="0"/>
        <w:jc w:val="both"/>
        <w:rPr>
          <w:rFonts w:ascii="Times New Roman" w:hAnsi="Times New Roman" w:cs="Times New Roman"/>
          <w:sz w:val="20"/>
          <w:szCs w:val="20"/>
        </w:rPr>
      </w:pPr>
      <w:r w:rsidRPr="009C1F78">
        <w:rPr>
          <w:rFonts w:ascii="Times New Roman" w:hAnsi="Times New Roman" w:cs="Times New Roman"/>
          <w:sz w:val="20"/>
          <w:szCs w:val="20"/>
        </w:rPr>
        <w:t xml:space="preserve">This requirement was introduced by ECE/TRANS/WP.29/2007/77 and was intended to ensure that headlamps equipped with LED modules would produce performances at least equivalent to those equipped with filament light sources producing an objective flux of 1000 </w:t>
      </w:r>
      <w:r>
        <w:rPr>
          <w:rFonts w:ascii="Times New Roman" w:hAnsi="Times New Roman" w:cs="Times New Roman"/>
          <w:sz w:val="20"/>
          <w:szCs w:val="20"/>
        </w:rPr>
        <w:t xml:space="preserve">lm </w:t>
      </w:r>
      <w:r w:rsidRPr="009C1F78">
        <w:rPr>
          <w:rFonts w:ascii="Times New Roman" w:hAnsi="Times New Roman" w:cs="Times New Roman"/>
          <w:sz w:val="20"/>
          <w:szCs w:val="20"/>
        </w:rPr>
        <w:t xml:space="preserve"> (in the case of an H4). In 2007 when headlamps equipped with LED modules were in their early stages of development it was not apparent that more efficient optical systems would evolve to increase the utilisation of the available flux </w:t>
      </w:r>
      <w:r>
        <w:rPr>
          <w:rFonts w:ascii="Times New Roman" w:hAnsi="Times New Roman" w:cs="Times New Roman"/>
          <w:sz w:val="20"/>
          <w:szCs w:val="20"/>
        </w:rPr>
        <w:t>not achievable</w:t>
      </w:r>
      <w:r w:rsidRPr="009C1F78">
        <w:rPr>
          <w:rFonts w:ascii="Times New Roman" w:hAnsi="Times New Roman" w:cs="Times New Roman"/>
          <w:sz w:val="20"/>
          <w:szCs w:val="20"/>
        </w:rPr>
        <w:t xml:space="preserve"> with </w:t>
      </w:r>
      <w:r w:rsidR="00564E4C">
        <w:rPr>
          <w:rFonts w:ascii="Times New Roman" w:hAnsi="Times New Roman" w:cs="Times New Roman"/>
          <w:sz w:val="20"/>
          <w:szCs w:val="20"/>
        </w:rPr>
        <w:t xml:space="preserve">headlamps equipped with </w:t>
      </w:r>
      <w:r w:rsidRPr="009C1F78">
        <w:rPr>
          <w:rFonts w:ascii="Times New Roman" w:hAnsi="Times New Roman" w:cs="Times New Roman"/>
          <w:sz w:val="20"/>
          <w:szCs w:val="20"/>
        </w:rPr>
        <w:t>filament light sources.</w:t>
      </w:r>
    </w:p>
    <w:p w:rsidR="00A72FF7" w:rsidRPr="009C1F78" w:rsidRDefault="00A72FF7" w:rsidP="00A72FF7">
      <w:pPr>
        <w:pStyle w:val="ListParagraph"/>
        <w:numPr>
          <w:ilvl w:val="0"/>
          <w:numId w:val="21"/>
        </w:numPr>
        <w:ind w:right="521" w:hanging="11"/>
        <w:contextualSpacing w:val="0"/>
        <w:jc w:val="both"/>
        <w:rPr>
          <w:rFonts w:ascii="Times New Roman" w:hAnsi="Times New Roman" w:cs="Times New Roman"/>
          <w:sz w:val="20"/>
          <w:szCs w:val="20"/>
        </w:rPr>
      </w:pPr>
      <w:r w:rsidRPr="009C1F78">
        <w:rPr>
          <w:rFonts w:ascii="Times New Roman" w:hAnsi="Times New Roman" w:cs="Times New Roman"/>
          <w:sz w:val="20"/>
          <w:szCs w:val="20"/>
        </w:rPr>
        <w:t xml:space="preserve">With the experience of producing many millions of LED headlamps it is clear that </w:t>
      </w:r>
      <w:r>
        <w:rPr>
          <w:rFonts w:ascii="Times New Roman" w:hAnsi="Times New Roman" w:cs="Times New Roman"/>
          <w:sz w:val="20"/>
          <w:szCs w:val="20"/>
        </w:rPr>
        <w:t>passing beams</w:t>
      </w:r>
      <w:r w:rsidRPr="009C1F78">
        <w:rPr>
          <w:rFonts w:ascii="Times New Roman" w:hAnsi="Times New Roman" w:cs="Times New Roman"/>
          <w:sz w:val="20"/>
          <w:szCs w:val="20"/>
        </w:rPr>
        <w:t xml:space="preserve"> can be designed to use LEDs having an objective luminous flux of less than 1,000 Lm</w:t>
      </w:r>
      <w:r>
        <w:rPr>
          <w:rFonts w:ascii="Times New Roman" w:hAnsi="Times New Roman" w:cs="Times New Roman"/>
          <w:sz w:val="20"/>
          <w:szCs w:val="20"/>
        </w:rPr>
        <w:t>.</w:t>
      </w:r>
      <w:r w:rsidRPr="009C1F78">
        <w:rPr>
          <w:rFonts w:ascii="Times New Roman" w:hAnsi="Times New Roman" w:cs="Times New Roman"/>
          <w:sz w:val="20"/>
          <w:szCs w:val="20"/>
        </w:rPr>
        <w:t xml:space="preserve"> </w:t>
      </w:r>
      <w:r>
        <w:rPr>
          <w:rFonts w:ascii="Times New Roman" w:hAnsi="Times New Roman" w:cs="Times New Roman"/>
          <w:sz w:val="20"/>
          <w:szCs w:val="20"/>
        </w:rPr>
        <w:t xml:space="preserve">These can </w:t>
      </w:r>
      <w:r w:rsidRPr="009C1F78">
        <w:rPr>
          <w:rFonts w:ascii="Times New Roman" w:hAnsi="Times New Roman" w:cs="Times New Roman"/>
          <w:sz w:val="20"/>
          <w:szCs w:val="20"/>
        </w:rPr>
        <w:t xml:space="preserve">provide an inexpensive solution for energy saving vehicles (e.g. the electrical </w:t>
      </w:r>
      <w:r w:rsidRPr="009C1F78">
        <w:rPr>
          <w:rFonts w:ascii="Times New Roman" w:hAnsi="Times New Roman" w:cs="Times New Roman"/>
          <w:sz w:val="20"/>
          <w:szCs w:val="20"/>
        </w:rPr>
        <w:lastRenderedPageBreak/>
        <w:t>urban vehicles), while giving at least the same luminous intensity as other light sources. However, at previous sessions of GRE, some experts pointed out that this modification could lead to headlamps producing marginal performance despite the fact that they achieve the current photometric requirements of the Regulation. The current prescriptions of Regulation No. 112 in combination with approved filament light sources producing a minimum objective flux of 800 lm (H8) ensure</w:t>
      </w:r>
      <w:r>
        <w:rPr>
          <w:rFonts w:ascii="Times New Roman" w:hAnsi="Times New Roman" w:cs="Times New Roman"/>
          <w:sz w:val="20"/>
          <w:szCs w:val="20"/>
        </w:rPr>
        <w:t>s</w:t>
      </w:r>
      <w:r w:rsidRPr="009C1F78">
        <w:rPr>
          <w:rFonts w:ascii="Times New Roman" w:hAnsi="Times New Roman" w:cs="Times New Roman"/>
          <w:sz w:val="20"/>
          <w:szCs w:val="20"/>
        </w:rPr>
        <w:t xml:space="preserve"> that the </w:t>
      </w:r>
      <w:r>
        <w:rPr>
          <w:rFonts w:ascii="Times New Roman" w:hAnsi="Times New Roman" w:cs="Times New Roman"/>
          <w:sz w:val="20"/>
          <w:szCs w:val="20"/>
        </w:rPr>
        <w:t>passing beam</w:t>
      </w:r>
      <w:r w:rsidRPr="009C1F78">
        <w:rPr>
          <w:rFonts w:ascii="Times New Roman" w:hAnsi="Times New Roman" w:cs="Times New Roman"/>
          <w:sz w:val="20"/>
          <w:szCs w:val="20"/>
        </w:rPr>
        <w:t xml:space="preserve"> produces a satisfactory level of illumination of the road</w:t>
      </w:r>
    </w:p>
    <w:p w:rsidR="00A72FF7" w:rsidRPr="009C1F78" w:rsidRDefault="00A72FF7" w:rsidP="00A72FF7">
      <w:pPr>
        <w:pStyle w:val="ListParagraph"/>
        <w:numPr>
          <w:ilvl w:val="0"/>
          <w:numId w:val="21"/>
        </w:numPr>
        <w:ind w:right="521" w:hanging="11"/>
        <w:contextualSpacing w:val="0"/>
        <w:jc w:val="both"/>
        <w:rPr>
          <w:rFonts w:ascii="Times New Roman" w:hAnsi="Times New Roman" w:cs="Times New Roman"/>
          <w:sz w:val="20"/>
          <w:szCs w:val="20"/>
        </w:rPr>
      </w:pPr>
      <w:r w:rsidRPr="009C1F78">
        <w:rPr>
          <w:rFonts w:ascii="Times New Roman" w:hAnsi="Times New Roman" w:cs="Times New Roman"/>
          <w:sz w:val="20"/>
          <w:szCs w:val="20"/>
        </w:rPr>
        <w:t xml:space="preserve">Based upon the approach proposed in GRE/2015/22 and GRE-73-26, GTB has investigated the </w:t>
      </w:r>
      <w:r w:rsidR="00564E4C">
        <w:rPr>
          <w:rFonts w:ascii="Times New Roman" w:hAnsi="Times New Roman" w:cs="Times New Roman"/>
          <w:sz w:val="20"/>
          <w:szCs w:val="20"/>
        </w:rPr>
        <w:t>specification of</w:t>
      </w:r>
      <w:r w:rsidRPr="009C1F78">
        <w:rPr>
          <w:rFonts w:ascii="Times New Roman" w:hAnsi="Times New Roman" w:cs="Times New Roman"/>
          <w:sz w:val="20"/>
          <w:szCs w:val="20"/>
        </w:rPr>
        <w:t xml:space="preserve"> minimum levels of flux projected in critical zones of the passing beam distribution. This approach offers the possibility to remove the design specific requirement of </w:t>
      </w:r>
      <w:r>
        <w:rPr>
          <w:rFonts w:ascii="Times New Roman" w:hAnsi="Times New Roman" w:cs="Times New Roman"/>
          <w:sz w:val="20"/>
          <w:szCs w:val="20"/>
        </w:rPr>
        <w:t xml:space="preserve">a minimum objective flux </w:t>
      </w:r>
      <w:r w:rsidRPr="009C1F78">
        <w:rPr>
          <w:rFonts w:ascii="Times New Roman" w:hAnsi="Times New Roman" w:cs="Times New Roman"/>
          <w:sz w:val="20"/>
          <w:szCs w:val="20"/>
        </w:rPr>
        <w:t>and replace it with a technology neutral performance based requirement.</w:t>
      </w:r>
    </w:p>
    <w:p w:rsidR="00A72FF7" w:rsidRPr="009C1F78" w:rsidRDefault="00A72FF7" w:rsidP="00A72FF7">
      <w:pPr>
        <w:pStyle w:val="ListParagraph"/>
        <w:numPr>
          <w:ilvl w:val="0"/>
          <w:numId w:val="21"/>
        </w:numPr>
        <w:ind w:right="521" w:hanging="11"/>
        <w:contextualSpacing w:val="0"/>
        <w:jc w:val="both"/>
        <w:rPr>
          <w:rFonts w:ascii="Times New Roman" w:hAnsi="Times New Roman" w:cs="Times New Roman"/>
          <w:sz w:val="20"/>
          <w:szCs w:val="20"/>
        </w:rPr>
      </w:pPr>
      <w:r w:rsidRPr="009C1F78">
        <w:rPr>
          <w:rFonts w:ascii="Times New Roman" w:hAnsi="Times New Roman" w:cs="Times New Roman"/>
          <w:sz w:val="20"/>
          <w:szCs w:val="20"/>
        </w:rPr>
        <w:t xml:space="preserve">The result of the GTB study is to propose minimum projected flux requirements in two zones: </w:t>
      </w:r>
    </w:p>
    <w:p w:rsidR="00A72FF7" w:rsidRDefault="00A72FF7" w:rsidP="00A72FF7">
      <w:pPr>
        <w:pStyle w:val="ListParagraph"/>
        <w:numPr>
          <w:ilvl w:val="0"/>
          <w:numId w:val="19"/>
        </w:numPr>
        <w:ind w:left="1134" w:right="521" w:hanging="11"/>
        <w:contextualSpacing w:val="0"/>
        <w:jc w:val="both"/>
        <w:rPr>
          <w:rFonts w:ascii="Times New Roman" w:hAnsi="Times New Roman" w:cs="Times New Roman"/>
          <w:sz w:val="20"/>
          <w:szCs w:val="20"/>
        </w:rPr>
      </w:pPr>
      <w:r w:rsidRPr="002F2923">
        <w:rPr>
          <w:rFonts w:ascii="Times New Roman" w:hAnsi="Times New Roman" w:cs="Times New Roman"/>
          <w:sz w:val="20"/>
          <w:szCs w:val="20"/>
        </w:rPr>
        <w:t>15°D-1°U/30°L-30°R</w:t>
      </w:r>
      <w:r>
        <w:rPr>
          <w:rFonts w:ascii="Times New Roman" w:hAnsi="Times New Roman" w:cs="Times New Roman"/>
          <w:sz w:val="20"/>
          <w:szCs w:val="20"/>
        </w:rPr>
        <w:t xml:space="preserve"> to ensure overall adequate illumination of the road and </w:t>
      </w:r>
      <w:r w:rsidRPr="002F2923">
        <w:rPr>
          <w:rFonts w:ascii="Times New Roman" w:hAnsi="Times New Roman" w:cs="Times New Roman"/>
          <w:sz w:val="20"/>
          <w:szCs w:val="20"/>
        </w:rPr>
        <w:t xml:space="preserve"> </w:t>
      </w:r>
    </w:p>
    <w:p w:rsidR="00A72FF7" w:rsidRDefault="00A72FF7" w:rsidP="00A72FF7">
      <w:pPr>
        <w:pStyle w:val="ListParagraph"/>
        <w:numPr>
          <w:ilvl w:val="0"/>
          <w:numId w:val="19"/>
        </w:numPr>
        <w:ind w:left="1134" w:right="521" w:hanging="11"/>
        <w:contextualSpacing w:val="0"/>
        <w:jc w:val="both"/>
        <w:rPr>
          <w:rFonts w:ascii="Times New Roman" w:hAnsi="Times New Roman" w:cs="Times New Roman"/>
          <w:sz w:val="20"/>
          <w:szCs w:val="20"/>
        </w:rPr>
      </w:pPr>
      <w:r>
        <w:rPr>
          <w:rFonts w:ascii="Times New Roman" w:hAnsi="Times New Roman" w:cs="Times New Roman"/>
          <w:sz w:val="20"/>
          <w:szCs w:val="20"/>
        </w:rPr>
        <w:t>3.</w:t>
      </w:r>
      <w:r w:rsidRPr="002F2923">
        <w:rPr>
          <w:rFonts w:ascii="Times New Roman" w:hAnsi="Times New Roman" w:cs="Times New Roman"/>
          <w:sz w:val="20"/>
          <w:szCs w:val="20"/>
        </w:rPr>
        <w:t>5°D-1°U/30°L-30°R</w:t>
      </w:r>
      <w:r>
        <w:rPr>
          <w:rFonts w:ascii="Times New Roman" w:hAnsi="Times New Roman" w:cs="Times New Roman"/>
          <w:sz w:val="20"/>
          <w:szCs w:val="20"/>
        </w:rPr>
        <w:t xml:space="preserve"> to ensure sufficient range.</w:t>
      </w:r>
    </w:p>
    <w:p w:rsidR="00A72FF7" w:rsidRDefault="00A72FF7" w:rsidP="00A72FF7">
      <w:pPr>
        <w:ind w:left="709" w:right="521" w:hanging="11"/>
        <w:jc w:val="both"/>
        <w:rPr>
          <w:rFonts w:ascii="Times New Roman" w:hAnsi="Times New Roman" w:cs="Times New Roman"/>
          <w:sz w:val="20"/>
          <w:szCs w:val="20"/>
        </w:rPr>
      </w:pPr>
      <w:r>
        <w:rPr>
          <w:rFonts w:ascii="Times New Roman" w:hAnsi="Times New Roman" w:cs="Times New Roman"/>
          <w:sz w:val="20"/>
          <w:szCs w:val="20"/>
        </w:rPr>
        <w:t>These zones are shown superimposed on the figure B of Annex 3 in the diagram below.</w:t>
      </w:r>
    </w:p>
    <w:p w:rsidR="0003526C" w:rsidRPr="004F544E" w:rsidRDefault="0003526C" w:rsidP="00A72FF7">
      <w:pPr>
        <w:ind w:left="709" w:right="521" w:hanging="11"/>
        <w:jc w:val="both"/>
        <w:rPr>
          <w:rFonts w:ascii="Times New Roman" w:hAnsi="Times New Roman" w:cs="Times New Roman"/>
          <w:sz w:val="20"/>
          <w:szCs w:val="20"/>
        </w:rPr>
      </w:pPr>
    </w:p>
    <w:p w:rsidR="00A72FF7" w:rsidRDefault="00B0175D" w:rsidP="00A72FF7">
      <w:pPr>
        <w:pStyle w:val="ListParagraph"/>
        <w:ind w:left="-567" w:right="521" w:hanging="11"/>
        <w:contextualSpacing w:val="0"/>
        <w:jc w:val="both"/>
        <w:rPr>
          <w:rFonts w:ascii="Times New Roman" w:hAnsi="Times New Roman" w:cs="Times New Roman"/>
          <w:sz w:val="20"/>
          <w:szCs w:val="20"/>
        </w:rPr>
      </w:pPr>
      <w:r w:rsidRPr="00B0175D">
        <w:rPr>
          <w:noProof/>
          <w:lang w:val="en-US"/>
        </w:rPr>
        <w:drawing>
          <wp:inline distT="0" distB="0" distL="0" distR="0">
            <wp:extent cx="6210949" cy="46598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11753" cy="4660431"/>
                    </a:xfrm>
                    <a:prstGeom prst="rect">
                      <a:avLst/>
                    </a:prstGeom>
                    <a:noFill/>
                    <a:ln w="9525">
                      <a:noFill/>
                      <a:miter lim="800000"/>
                      <a:headEnd/>
                      <a:tailEnd/>
                    </a:ln>
                  </pic:spPr>
                </pic:pic>
              </a:graphicData>
            </a:graphic>
          </wp:inline>
        </w:drawing>
      </w:r>
    </w:p>
    <w:p w:rsidR="00A72FF7" w:rsidRDefault="00A72FF7" w:rsidP="00A72FF7">
      <w:pPr>
        <w:ind w:left="709" w:right="521" w:hanging="11"/>
        <w:jc w:val="both"/>
        <w:rPr>
          <w:rFonts w:ascii="Times New Roman" w:hAnsi="Times New Roman" w:cs="Times New Roman"/>
          <w:sz w:val="20"/>
          <w:szCs w:val="20"/>
        </w:rPr>
      </w:pPr>
      <w:r>
        <w:rPr>
          <w:rFonts w:ascii="Times New Roman" w:hAnsi="Times New Roman" w:cs="Times New Roman"/>
          <w:sz w:val="20"/>
          <w:szCs w:val="20"/>
        </w:rPr>
        <w:t xml:space="preserve">These </w:t>
      </w:r>
      <w:r w:rsidR="00564E4C">
        <w:rPr>
          <w:rFonts w:ascii="Times New Roman" w:hAnsi="Times New Roman" w:cs="Times New Roman"/>
          <w:sz w:val="20"/>
          <w:szCs w:val="20"/>
        </w:rPr>
        <w:t xml:space="preserve">two </w:t>
      </w:r>
      <w:r>
        <w:rPr>
          <w:rFonts w:ascii="Times New Roman" w:hAnsi="Times New Roman" w:cs="Times New Roman"/>
          <w:sz w:val="20"/>
          <w:szCs w:val="20"/>
        </w:rPr>
        <w:t>zones have been chosen as a compromise between ensuring a safe minimum level of performance and the need to find a solution that does not invalidate any headlamp</w:t>
      </w:r>
      <w:r w:rsidR="00564E4C">
        <w:rPr>
          <w:rFonts w:ascii="Times New Roman" w:hAnsi="Times New Roman" w:cs="Times New Roman"/>
          <w:sz w:val="20"/>
          <w:szCs w:val="20"/>
        </w:rPr>
        <w:t xml:space="preserve"> </w:t>
      </w:r>
      <w:proofErr w:type="gramStart"/>
      <w:r w:rsidR="00564E4C">
        <w:rPr>
          <w:rFonts w:ascii="Times New Roman" w:hAnsi="Times New Roman" w:cs="Times New Roman"/>
          <w:sz w:val="20"/>
          <w:szCs w:val="20"/>
        </w:rPr>
        <w:t xml:space="preserve">technologies </w:t>
      </w:r>
      <w:r>
        <w:rPr>
          <w:rFonts w:ascii="Times New Roman" w:hAnsi="Times New Roman" w:cs="Times New Roman"/>
          <w:sz w:val="20"/>
          <w:szCs w:val="20"/>
        </w:rPr>
        <w:t xml:space="preserve"> type</w:t>
      </w:r>
      <w:proofErr w:type="gramEnd"/>
      <w:r>
        <w:rPr>
          <w:rFonts w:ascii="Times New Roman" w:hAnsi="Times New Roman" w:cs="Times New Roman"/>
          <w:sz w:val="20"/>
          <w:szCs w:val="20"/>
        </w:rPr>
        <w:t xml:space="preserve"> approved according to the current regulation</w:t>
      </w:r>
    </w:p>
    <w:p w:rsidR="00B0175D" w:rsidRPr="00E8776F" w:rsidRDefault="00A72FF7" w:rsidP="00E8776F">
      <w:pPr>
        <w:pStyle w:val="ListParagraph"/>
        <w:numPr>
          <w:ilvl w:val="0"/>
          <w:numId w:val="21"/>
        </w:numPr>
        <w:ind w:left="-567" w:right="521" w:hanging="11"/>
        <w:contextualSpacing w:val="0"/>
        <w:jc w:val="both"/>
        <w:rPr>
          <w:rFonts w:ascii="Times New Roman" w:hAnsi="Times New Roman" w:cs="Times New Roman"/>
          <w:sz w:val="20"/>
          <w:szCs w:val="20"/>
        </w:rPr>
      </w:pPr>
      <w:r w:rsidRPr="00E8776F">
        <w:rPr>
          <w:rFonts w:ascii="Times New Roman" w:hAnsi="Times New Roman" w:cs="Times New Roman"/>
          <w:sz w:val="20"/>
          <w:szCs w:val="20"/>
        </w:rPr>
        <w:t xml:space="preserve">A range of </w:t>
      </w:r>
      <w:r w:rsidR="00A67D44" w:rsidRPr="00E8776F">
        <w:rPr>
          <w:rFonts w:ascii="Times New Roman" w:hAnsi="Times New Roman" w:cs="Times New Roman"/>
          <w:sz w:val="20"/>
          <w:szCs w:val="20"/>
        </w:rPr>
        <w:t>60 passing beam headlamps equipped with various light sources</w:t>
      </w:r>
      <w:r w:rsidRPr="00E8776F">
        <w:rPr>
          <w:rFonts w:ascii="Times New Roman" w:hAnsi="Times New Roman" w:cs="Times New Roman"/>
          <w:sz w:val="20"/>
          <w:szCs w:val="20"/>
        </w:rPr>
        <w:t>, all in production and type approved to the provisions of Regulation No. 112, was measured to determine the actual flux projected into the zones a) and b) with the following result:</w:t>
      </w:r>
    </w:p>
    <w:p w:rsidR="00A72FF7" w:rsidRDefault="00A72FF7" w:rsidP="00A72FF7">
      <w:pPr>
        <w:ind w:left="-567" w:right="95"/>
        <w:jc w:val="center"/>
        <w:rPr>
          <w:rFonts w:ascii="Times New Roman" w:hAnsi="Times New Roman" w:cs="Times New Roman"/>
          <w:sz w:val="20"/>
          <w:szCs w:val="20"/>
        </w:rPr>
      </w:pPr>
      <w:r w:rsidRPr="00A15AC1">
        <w:rPr>
          <w:noProof/>
          <w:lang w:val="en-US"/>
        </w:rPr>
        <w:lastRenderedPageBreak/>
        <w:drawing>
          <wp:inline distT="0" distB="0" distL="0" distR="0">
            <wp:extent cx="6272587" cy="3634563"/>
            <wp:effectExtent l="19050" t="19050" r="13913" b="23037"/>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65242" cy="3630307"/>
                    </a:xfrm>
                    <a:prstGeom prst="rect">
                      <a:avLst/>
                    </a:prstGeom>
                    <a:noFill/>
                    <a:ln w="9525">
                      <a:solidFill>
                        <a:schemeClr val="accent1"/>
                      </a:solidFill>
                      <a:miter lim="800000"/>
                      <a:headEnd/>
                      <a:tailEnd/>
                    </a:ln>
                  </pic:spPr>
                </pic:pic>
              </a:graphicData>
            </a:graphic>
          </wp:inline>
        </w:drawing>
      </w:r>
    </w:p>
    <w:p w:rsidR="00A72FF7" w:rsidRDefault="00E8776F" w:rsidP="00A72FF7">
      <w:pPr>
        <w:ind w:left="-567" w:right="521"/>
        <w:jc w:val="center"/>
        <w:rPr>
          <w:rFonts w:ascii="Times New Roman" w:hAnsi="Times New Roman" w:cs="Times New Roman"/>
          <w:sz w:val="20"/>
          <w:szCs w:val="20"/>
        </w:rPr>
      </w:pPr>
      <w:r w:rsidRPr="00E8776F">
        <w:rPr>
          <w:noProof/>
          <w:lang w:val="en-US"/>
        </w:rPr>
        <w:drawing>
          <wp:inline distT="0" distB="0" distL="0" distR="0">
            <wp:extent cx="6273413" cy="3581969"/>
            <wp:effectExtent l="19050" t="19050" r="13087" b="18481"/>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70879" cy="3580522"/>
                    </a:xfrm>
                    <a:prstGeom prst="rect">
                      <a:avLst/>
                    </a:prstGeom>
                    <a:noFill/>
                    <a:ln w="9525">
                      <a:solidFill>
                        <a:schemeClr val="accent1"/>
                      </a:solidFill>
                      <a:miter lim="800000"/>
                      <a:headEnd/>
                      <a:tailEnd/>
                    </a:ln>
                  </pic:spPr>
                </pic:pic>
              </a:graphicData>
            </a:graphic>
          </wp:inline>
        </w:drawing>
      </w:r>
    </w:p>
    <w:p w:rsidR="00A67D44" w:rsidRDefault="00A72FF7" w:rsidP="00A67D44">
      <w:pPr>
        <w:ind w:left="709" w:right="521"/>
        <w:jc w:val="both"/>
        <w:rPr>
          <w:rFonts w:ascii="Times New Roman" w:hAnsi="Times New Roman" w:cs="Times New Roman"/>
          <w:sz w:val="20"/>
          <w:szCs w:val="20"/>
        </w:rPr>
      </w:pPr>
      <w:r>
        <w:rPr>
          <w:rFonts w:ascii="Times New Roman" w:hAnsi="Times New Roman" w:cs="Times New Roman"/>
          <w:sz w:val="20"/>
          <w:szCs w:val="20"/>
        </w:rPr>
        <w:t>It can be seen that a small percentage of the passing beams tested will not comply with the 400 lm and 200 lm requirements but the GTB experts concluded that this would not present problems for manufacturers</w:t>
      </w:r>
      <w:r w:rsidR="00A67D44">
        <w:rPr>
          <w:rFonts w:ascii="Times New Roman" w:hAnsi="Times New Roman" w:cs="Times New Roman"/>
          <w:sz w:val="20"/>
          <w:szCs w:val="20"/>
        </w:rPr>
        <w:t>.</w:t>
      </w:r>
      <w:r>
        <w:rPr>
          <w:rFonts w:ascii="Times New Roman" w:hAnsi="Times New Roman" w:cs="Times New Roman"/>
          <w:sz w:val="20"/>
          <w:szCs w:val="20"/>
        </w:rPr>
        <w:t xml:space="preserve"> </w:t>
      </w:r>
    </w:p>
    <w:p w:rsidR="00A72FF7" w:rsidRPr="009C1F78" w:rsidRDefault="00A72FF7" w:rsidP="00A67D44">
      <w:pPr>
        <w:ind w:left="709" w:right="521"/>
        <w:jc w:val="both"/>
        <w:rPr>
          <w:rFonts w:ascii="Times New Roman" w:hAnsi="Times New Roman" w:cs="Times New Roman"/>
          <w:sz w:val="20"/>
          <w:szCs w:val="20"/>
        </w:rPr>
      </w:pPr>
      <w:r w:rsidRPr="009C1F78">
        <w:rPr>
          <w:rFonts w:ascii="Times New Roman" w:hAnsi="Times New Roman" w:cs="Times New Roman"/>
          <w:sz w:val="20"/>
          <w:szCs w:val="20"/>
        </w:rPr>
        <w:t>Th</w:t>
      </w:r>
      <w:r>
        <w:rPr>
          <w:rFonts w:ascii="Times New Roman" w:hAnsi="Times New Roman" w:cs="Times New Roman"/>
          <w:sz w:val="20"/>
          <w:szCs w:val="20"/>
        </w:rPr>
        <w:t>ese</w:t>
      </w:r>
      <w:r w:rsidRPr="009C1F78">
        <w:rPr>
          <w:rFonts w:ascii="Times New Roman" w:hAnsi="Times New Roman" w:cs="Times New Roman"/>
          <w:sz w:val="20"/>
          <w:szCs w:val="20"/>
        </w:rPr>
        <w:t xml:space="preserve"> result</w:t>
      </w:r>
      <w:r>
        <w:rPr>
          <w:rFonts w:ascii="Times New Roman" w:hAnsi="Times New Roman" w:cs="Times New Roman"/>
          <w:sz w:val="20"/>
          <w:szCs w:val="20"/>
        </w:rPr>
        <w:t>s show</w:t>
      </w:r>
      <w:r w:rsidRPr="009C1F78">
        <w:rPr>
          <w:rFonts w:ascii="Times New Roman" w:hAnsi="Times New Roman" w:cs="Times New Roman"/>
          <w:sz w:val="20"/>
          <w:szCs w:val="20"/>
        </w:rPr>
        <w:t xml:space="preserve"> that whilst all the LED passing beams meet the 1000</w:t>
      </w:r>
      <w:r>
        <w:rPr>
          <w:rFonts w:ascii="Times New Roman" w:hAnsi="Times New Roman" w:cs="Times New Roman"/>
          <w:sz w:val="20"/>
          <w:szCs w:val="20"/>
        </w:rPr>
        <w:t xml:space="preserve"> lm</w:t>
      </w:r>
      <w:r w:rsidRPr="009C1F78">
        <w:rPr>
          <w:rFonts w:ascii="Times New Roman" w:hAnsi="Times New Roman" w:cs="Times New Roman"/>
          <w:sz w:val="20"/>
          <w:szCs w:val="20"/>
        </w:rPr>
        <w:t xml:space="preserve"> objective flux requirement this </w:t>
      </w:r>
      <w:r w:rsidR="00A67D44">
        <w:rPr>
          <w:rFonts w:ascii="Times New Roman" w:hAnsi="Times New Roman" w:cs="Times New Roman"/>
          <w:sz w:val="20"/>
          <w:szCs w:val="20"/>
        </w:rPr>
        <w:t xml:space="preserve">criterion </w:t>
      </w:r>
      <w:r w:rsidRPr="009C1F78">
        <w:rPr>
          <w:rFonts w:ascii="Times New Roman" w:hAnsi="Times New Roman" w:cs="Times New Roman"/>
          <w:sz w:val="20"/>
          <w:szCs w:val="20"/>
        </w:rPr>
        <w:t xml:space="preserve">has no significant influence upon the actual photometric performance of the headlamp. This design specific requirement in the context of current LED headlamps should therefore not be perpetuated. </w:t>
      </w:r>
    </w:p>
    <w:p w:rsidR="00A72FF7" w:rsidRDefault="00A72FF7" w:rsidP="00A72FF7">
      <w:pPr>
        <w:pStyle w:val="ListParagraph"/>
        <w:numPr>
          <w:ilvl w:val="0"/>
          <w:numId w:val="21"/>
        </w:numPr>
        <w:ind w:right="521"/>
        <w:contextualSpacing w:val="0"/>
        <w:jc w:val="both"/>
        <w:rPr>
          <w:rFonts w:ascii="Times New Roman" w:hAnsi="Times New Roman" w:cs="Times New Roman"/>
          <w:sz w:val="20"/>
          <w:szCs w:val="20"/>
        </w:rPr>
      </w:pPr>
      <w:r w:rsidRPr="006E0FFF">
        <w:rPr>
          <w:rFonts w:ascii="Times New Roman" w:hAnsi="Times New Roman" w:cs="Times New Roman"/>
          <w:sz w:val="20"/>
          <w:szCs w:val="20"/>
        </w:rPr>
        <w:t>The minimum projected flux requirements in Zones</w:t>
      </w:r>
      <w:r>
        <w:rPr>
          <w:rFonts w:ascii="Times New Roman" w:hAnsi="Times New Roman" w:cs="Times New Roman"/>
          <w:sz w:val="20"/>
          <w:szCs w:val="20"/>
        </w:rPr>
        <w:t xml:space="preserve"> a</w:t>
      </w:r>
      <w:r w:rsidRPr="006E0FFF">
        <w:rPr>
          <w:rFonts w:ascii="Times New Roman" w:hAnsi="Times New Roman" w:cs="Times New Roman"/>
          <w:sz w:val="20"/>
          <w:szCs w:val="20"/>
        </w:rPr>
        <w:t xml:space="preserve"> and </w:t>
      </w:r>
      <w:r>
        <w:rPr>
          <w:rFonts w:ascii="Times New Roman" w:hAnsi="Times New Roman" w:cs="Times New Roman"/>
          <w:sz w:val="20"/>
          <w:szCs w:val="20"/>
        </w:rPr>
        <w:t>b</w:t>
      </w:r>
      <w:r w:rsidRPr="006E0FFF">
        <w:rPr>
          <w:rFonts w:ascii="Times New Roman" w:hAnsi="Times New Roman" w:cs="Times New Roman"/>
          <w:sz w:val="20"/>
          <w:szCs w:val="20"/>
        </w:rPr>
        <w:t xml:space="preserve"> can be adopted as a technology neutral</w:t>
      </w:r>
      <w:r w:rsidR="00A67D44">
        <w:rPr>
          <w:rFonts w:ascii="Times New Roman" w:hAnsi="Times New Roman" w:cs="Times New Roman"/>
          <w:sz w:val="20"/>
          <w:szCs w:val="20"/>
        </w:rPr>
        <w:t>,</w:t>
      </w:r>
      <w:r w:rsidRPr="006E0FFF">
        <w:rPr>
          <w:rFonts w:ascii="Times New Roman" w:hAnsi="Times New Roman" w:cs="Times New Roman"/>
          <w:sz w:val="20"/>
          <w:szCs w:val="20"/>
        </w:rPr>
        <w:t xml:space="preserve"> performance based</w:t>
      </w:r>
      <w:r w:rsidR="00A67D44">
        <w:rPr>
          <w:rFonts w:ascii="Times New Roman" w:hAnsi="Times New Roman" w:cs="Times New Roman"/>
          <w:sz w:val="20"/>
          <w:szCs w:val="20"/>
        </w:rPr>
        <w:t>,</w:t>
      </w:r>
      <w:r w:rsidRPr="006E0FFF">
        <w:rPr>
          <w:rFonts w:ascii="Times New Roman" w:hAnsi="Times New Roman" w:cs="Times New Roman"/>
          <w:sz w:val="20"/>
          <w:szCs w:val="20"/>
        </w:rPr>
        <w:t xml:space="preserve"> requirement that will assure that the current performance levels achieved by type approved headlamps with filament light sources can be also assured with LED sources.</w:t>
      </w:r>
    </w:p>
    <w:p w:rsidR="00A72FF7" w:rsidRDefault="00A72FF7" w:rsidP="00A72FF7">
      <w:pPr>
        <w:pStyle w:val="ListParagraph"/>
        <w:numPr>
          <w:ilvl w:val="0"/>
          <w:numId w:val="21"/>
        </w:numPr>
        <w:ind w:right="521"/>
        <w:contextualSpacing w:val="0"/>
        <w:jc w:val="both"/>
        <w:rPr>
          <w:rFonts w:ascii="Times New Roman" w:hAnsi="Times New Roman" w:cs="Times New Roman"/>
          <w:sz w:val="20"/>
          <w:szCs w:val="20"/>
        </w:rPr>
      </w:pPr>
      <w:r w:rsidRPr="006E0FFF">
        <w:rPr>
          <w:rFonts w:ascii="Times New Roman" w:hAnsi="Times New Roman" w:cs="Times New Roman"/>
          <w:sz w:val="20"/>
          <w:szCs w:val="20"/>
        </w:rPr>
        <w:lastRenderedPageBreak/>
        <w:t>As part of the investigation</w:t>
      </w:r>
      <w:r>
        <w:rPr>
          <w:rFonts w:ascii="Times New Roman" w:hAnsi="Times New Roman" w:cs="Times New Roman"/>
          <w:sz w:val="20"/>
          <w:szCs w:val="20"/>
        </w:rPr>
        <w:t>,</w:t>
      </w:r>
      <w:r w:rsidRPr="006E0FFF">
        <w:rPr>
          <w:rFonts w:ascii="Times New Roman" w:hAnsi="Times New Roman" w:cs="Times New Roman"/>
          <w:sz w:val="20"/>
          <w:szCs w:val="20"/>
        </w:rPr>
        <w:t xml:space="preserve"> the same </w:t>
      </w:r>
      <w:r>
        <w:rPr>
          <w:rFonts w:ascii="Times New Roman" w:hAnsi="Times New Roman" w:cs="Times New Roman"/>
          <w:sz w:val="20"/>
          <w:szCs w:val="20"/>
        </w:rPr>
        <w:t>range of passing beams</w:t>
      </w:r>
      <w:r w:rsidRPr="006E0FFF">
        <w:rPr>
          <w:rFonts w:ascii="Times New Roman" w:hAnsi="Times New Roman" w:cs="Times New Roman"/>
          <w:sz w:val="20"/>
          <w:szCs w:val="20"/>
        </w:rPr>
        <w:t xml:space="preserve"> all in production and type approved to the provisions of Regulation No. 112, was measured to determine the actual flux projected into a smaller zone, </w:t>
      </w:r>
      <w:r>
        <w:rPr>
          <w:rFonts w:ascii="Times New Roman" w:hAnsi="Times New Roman" w:cs="Times New Roman"/>
          <w:sz w:val="20"/>
          <w:szCs w:val="20"/>
        </w:rPr>
        <w:t>2</w:t>
      </w:r>
      <w:r w:rsidRPr="006E0FFF">
        <w:rPr>
          <w:rFonts w:ascii="Times New Roman" w:hAnsi="Times New Roman" w:cs="Times New Roman"/>
          <w:sz w:val="20"/>
          <w:szCs w:val="20"/>
        </w:rPr>
        <w:t>.5°D-1°U/30°L-30°R,</w:t>
      </w:r>
      <w:r w:rsidR="00A67D44">
        <w:rPr>
          <w:rFonts w:ascii="Times New Roman" w:hAnsi="Times New Roman" w:cs="Times New Roman"/>
          <w:sz w:val="20"/>
          <w:szCs w:val="20"/>
        </w:rPr>
        <w:t>. This smaller zone, requiring</w:t>
      </w:r>
      <w:r w:rsidRPr="006E0FFF">
        <w:rPr>
          <w:rFonts w:ascii="Times New Roman" w:hAnsi="Times New Roman" w:cs="Times New Roman"/>
          <w:sz w:val="20"/>
          <w:szCs w:val="20"/>
        </w:rPr>
        <w:t xml:space="preserve"> the same minimum requirement of 200 lm</w:t>
      </w:r>
      <w:r w:rsidR="00A67D44">
        <w:rPr>
          <w:rFonts w:ascii="Times New Roman" w:hAnsi="Times New Roman" w:cs="Times New Roman"/>
          <w:sz w:val="20"/>
          <w:szCs w:val="20"/>
        </w:rPr>
        <w:t>,</w:t>
      </w:r>
      <w:r w:rsidRPr="006E0FFF">
        <w:rPr>
          <w:rFonts w:ascii="Times New Roman" w:hAnsi="Times New Roman" w:cs="Times New Roman"/>
          <w:sz w:val="20"/>
          <w:szCs w:val="20"/>
        </w:rPr>
        <w:t xml:space="preserve"> would result in more light closer to the passing beam cut</w:t>
      </w:r>
      <w:r>
        <w:rPr>
          <w:rFonts w:ascii="Times New Roman" w:hAnsi="Times New Roman" w:cs="Times New Roman"/>
          <w:sz w:val="20"/>
          <w:szCs w:val="20"/>
        </w:rPr>
        <w:t>-</w:t>
      </w:r>
      <w:r w:rsidRPr="006E0FFF">
        <w:rPr>
          <w:rFonts w:ascii="Times New Roman" w:hAnsi="Times New Roman" w:cs="Times New Roman"/>
          <w:sz w:val="20"/>
          <w:szCs w:val="20"/>
        </w:rPr>
        <w:t>off and therefore producing an improved visibility range. The following diagram shows the effect of reducing the size of this zone upon the compliance of the passing beams currently type approved and in production. It can be clearly seen that approximately 20% would not achieve the 200 lm requir</w:t>
      </w:r>
      <w:r w:rsidR="00A67D44">
        <w:rPr>
          <w:rFonts w:ascii="Times New Roman" w:hAnsi="Times New Roman" w:cs="Times New Roman"/>
          <w:sz w:val="20"/>
          <w:szCs w:val="20"/>
        </w:rPr>
        <w:t>ement in the smaller zone</w:t>
      </w:r>
      <w:r w:rsidRPr="006E0FFF">
        <w:rPr>
          <w:rFonts w:ascii="Times New Roman" w:hAnsi="Times New Roman" w:cs="Times New Roman"/>
          <w:sz w:val="20"/>
          <w:szCs w:val="20"/>
        </w:rPr>
        <w:t>.</w:t>
      </w:r>
    </w:p>
    <w:p w:rsidR="00A72FF7" w:rsidRDefault="00E20F8A" w:rsidP="00A72FF7">
      <w:pPr>
        <w:pStyle w:val="ListParagraph"/>
        <w:ind w:left="-567" w:right="521"/>
        <w:contextualSpacing w:val="0"/>
        <w:jc w:val="both"/>
        <w:rPr>
          <w:rFonts w:ascii="Times New Roman" w:hAnsi="Times New Roman" w:cs="Times New Roman"/>
          <w:sz w:val="20"/>
          <w:szCs w:val="20"/>
        </w:rPr>
      </w:pPr>
      <w:r w:rsidRPr="00E20F8A">
        <w:rPr>
          <w:noProof/>
          <w:lang w:val="en-US"/>
        </w:rPr>
        <w:drawing>
          <wp:inline distT="0" distB="0" distL="0" distR="0">
            <wp:extent cx="6205986" cy="4695454"/>
            <wp:effectExtent l="19050" t="19050" r="23364" b="9896"/>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06790" cy="4696062"/>
                    </a:xfrm>
                    <a:prstGeom prst="rect">
                      <a:avLst/>
                    </a:prstGeom>
                    <a:noFill/>
                    <a:ln w="9525">
                      <a:solidFill>
                        <a:schemeClr val="accent1"/>
                      </a:solidFill>
                      <a:miter lim="800000"/>
                      <a:headEnd/>
                      <a:tailEnd/>
                    </a:ln>
                  </pic:spPr>
                </pic:pic>
              </a:graphicData>
            </a:graphic>
          </wp:inline>
        </w:drawing>
      </w:r>
    </w:p>
    <w:p w:rsidR="00A72FF7" w:rsidRDefault="00A72FF7" w:rsidP="00A72FF7">
      <w:pPr>
        <w:pStyle w:val="ListParagraph"/>
        <w:numPr>
          <w:ilvl w:val="0"/>
          <w:numId w:val="21"/>
        </w:numPr>
        <w:ind w:right="521"/>
        <w:contextualSpacing w:val="0"/>
        <w:jc w:val="both"/>
        <w:rPr>
          <w:rFonts w:ascii="Times New Roman" w:hAnsi="Times New Roman" w:cs="Times New Roman"/>
          <w:sz w:val="20"/>
          <w:szCs w:val="20"/>
        </w:rPr>
      </w:pPr>
      <w:r w:rsidRPr="006E0FFF">
        <w:rPr>
          <w:rFonts w:ascii="Times New Roman" w:hAnsi="Times New Roman" w:cs="Times New Roman"/>
          <w:sz w:val="20"/>
          <w:szCs w:val="20"/>
        </w:rPr>
        <w:t xml:space="preserve">It should be emphasised that this study and its conclusions has the objective of introducing a solution assuring current levels of passing beam performance </w:t>
      </w:r>
      <w:r>
        <w:rPr>
          <w:rFonts w:ascii="Times New Roman" w:hAnsi="Times New Roman" w:cs="Times New Roman"/>
          <w:sz w:val="20"/>
          <w:szCs w:val="20"/>
        </w:rPr>
        <w:t>as an alternative to</w:t>
      </w:r>
      <w:r w:rsidRPr="006E0FFF">
        <w:rPr>
          <w:rFonts w:ascii="Times New Roman" w:hAnsi="Times New Roman" w:cs="Times New Roman"/>
          <w:sz w:val="20"/>
          <w:szCs w:val="20"/>
        </w:rPr>
        <w:t xml:space="preserve"> t</w:t>
      </w:r>
      <w:r>
        <w:rPr>
          <w:rFonts w:ascii="Times New Roman" w:hAnsi="Times New Roman" w:cs="Times New Roman"/>
          <w:sz w:val="20"/>
          <w:szCs w:val="20"/>
        </w:rPr>
        <w:t xml:space="preserve">he </w:t>
      </w:r>
      <w:r w:rsidRPr="006E0FFF">
        <w:rPr>
          <w:rFonts w:ascii="Times New Roman" w:hAnsi="Times New Roman" w:cs="Times New Roman"/>
          <w:sz w:val="20"/>
          <w:szCs w:val="20"/>
        </w:rPr>
        <w:t>design restrictive requirement of the 1000 lm minimum objective flux. This will ensure equal treatment of all headlamp technologies and encourage a wider application of the efficient LED technologies.</w:t>
      </w:r>
    </w:p>
    <w:p w:rsidR="00A72FF7" w:rsidRDefault="00A72FF7" w:rsidP="00A72FF7">
      <w:pPr>
        <w:pStyle w:val="ListParagraph"/>
        <w:numPr>
          <w:ilvl w:val="0"/>
          <w:numId w:val="21"/>
        </w:numPr>
        <w:ind w:right="521"/>
        <w:contextualSpacing w:val="0"/>
        <w:jc w:val="both"/>
        <w:rPr>
          <w:rFonts w:ascii="Times New Roman" w:hAnsi="Times New Roman" w:cs="Times New Roman"/>
          <w:sz w:val="20"/>
          <w:szCs w:val="20"/>
        </w:rPr>
      </w:pPr>
      <w:r w:rsidRPr="006E0FFF">
        <w:rPr>
          <w:rFonts w:ascii="Times New Roman" w:hAnsi="Times New Roman" w:cs="Times New Roman"/>
          <w:sz w:val="20"/>
          <w:szCs w:val="20"/>
        </w:rPr>
        <w:t xml:space="preserve">To address concerns expressed in GRE, that the minimum requirements for photometric performance in the current regulations may not be sufficient under modern traffic conditions, a more comprehensive study is required and this should be considered in the context of the Stage 2 of the GRE simplification plan. </w:t>
      </w:r>
    </w:p>
    <w:p w:rsidR="00A72FF7" w:rsidRPr="009C1F78" w:rsidRDefault="00A72FF7" w:rsidP="00A72FF7">
      <w:pPr>
        <w:jc w:val="center"/>
        <w:rPr>
          <w:rFonts w:ascii="Times New Roman" w:hAnsi="Times New Roman" w:cs="Times New Roman"/>
          <w:sz w:val="20"/>
          <w:szCs w:val="20"/>
        </w:rPr>
      </w:pPr>
      <w:r>
        <w:rPr>
          <w:rFonts w:ascii="Times New Roman" w:hAnsi="Times New Roman" w:cs="Times New Roman"/>
          <w:sz w:val="20"/>
          <w:szCs w:val="20"/>
        </w:rPr>
        <w:t>----------------------------------------</w:t>
      </w:r>
    </w:p>
    <w:p w:rsidR="007620D8" w:rsidRPr="00A72FF7" w:rsidRDefault="007620D8" w:rsidP="00A72FF7">
      <w:pPr>
        <w:rPr>
          <w:szCs w:val="20"/>
        </w:rPr>
      </w:pPr>
    </w:p>
    <w:sectPr w:rsidR="007620D8" w:rsidRPr="00A72FF7" w:rsidSect="007620D8">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6C" w:rsidRDefault="008B546C" w:rsidP="00495922">
      <w:pPr>
        <w:spacing w:after="0" w:line="240" w:lineRule="auto"/>
      </w:pPr>
      <w:r>
        <w:separator/>
      </w:r>
    </w:p>
  </w:endnote>
  <w:endnote w:type="continuationSeparator" w:id="0">
    <w:p w:rsidR="008B546C" w:rsidRDefault="008B546C"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7" w:rsidRDefault="00A72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7" w:rsidRDefault="00A72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7" w:rsidRDefault="00A72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6C" w:rsidRDefault="008B546C" w:rsidP="00495922">
      <w:pPr>
        <w:spacing w:after="0" w:line="240" w:lineRule="auto"/>
      </w:pPr>
      <w:r>
        <w:separator/>
      </w:r>
    </w:p>
  </w:footnote>
  <w:footnote w:type="continuationSeparator" w:id="0">
    <w:p w:rsidR="008B546C" w:rsidRDefault="008B546C" w:rsidP="0049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3E" w:rsidRDefault="00AF6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3E" w:rsidRDefault="00AF6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7" w:rsidRDefault="00A72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1DB"/>
    <w:multiLevelType w:val="hybridMultilevel"/>
    <w:tmpl w:val="274C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884ED3"/>
    <w:multiLevelType w:val="hybridMultilevel"/>
    <w:tmpl w:val="D2301452"/>
    <w:lvl w:ilvl="0" w:tplc="91AC091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nsid w:val="2C4A3DEE"/>
    <w:multiLevelType w:val="hybridMultilevel"/>
    <w:tmpl w:val="AC14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8">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D06D78"/>
    <w:multiLevelType w:val="hybridMultilevel"/>
    <w:tmpl w:val="12349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EE5151"/>
    <w:multiLevelType w:val="hybridMultilevel"/>
    <w:tmpl w:val="5A56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0285E"/>
    <w:multiLevelType w:val="hybridMultilevel"/>
    <w:tmpl w:val="96BEA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8C1661"/>
    <w:multiLevelType w:val="hybridMultilevel"/>
    <w:tmpl w:val="5A56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E36056"/>
    <w:multiLevelType w:val="hybridMultilevel"/>
    <w:tmpl w:val="E544F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25B09"/>
    <w:multiLevelType w:val="hybridMultilevel"/>
    <w:tmpl w:val="CDBC479C"/>
    <w:lvl w:ilvl="0" w:tplc="C2DABA8A">
      <w:start w:val="2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C74F2"/>
    <w:multiLevelType w:val="hybridMultilevel"/>
    <w:tmpl w:val="699E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8"/>
  </w:num>
  <w:num w:numId="4">
    <w:abstractNumId w:val="13"/>
  </w:num>
  <w:num w:numId="5">
    <w:abstractNumId w:val="1"/>
  </w:num>
  <w:num w:numId="6">
    <w:abstractNumId w:val="15"/>
  </w:num>
  <w:num w:numId="7">
    <w:abstractNumId w:val="7"/>
  </w:num>
  <w:num w:numId="8">
    <w:abstractNumId w:val="14"/>
  </w:num>
  <w:num w:numId="9">
    <w:abstractNumId w:val="2"/>
  </w:num>
  <w:num w:numId="10">
    <w:abstractNumId w:val="23"/>
  </w:num>
  <w:num w:numId="11">
    <w:abstractNumId w:val="17"/>
  </w:num>
  <w:num w:numId="12">
    <w:abstractNumId w:val="22"/>
  </w:num>
  <w:num w:numId="13">
    <w:abstractNumId w:val="9"/>
  </w:num>
  <w:num w:numId="14">
    <w:abstractNumId w:val="12"/>
  </w:num>
  <w:num w:numId="15">
    <w:abstractNumId w:val="10"/>
  </w:num>
  <w:num w:numId="16">
    <w:abstractNumId w:val="21"/>
  </w:num>
  <w:num w:numId="17">
    <w:abstractNumId w:val="3"/>
  </w:num>
  <w:num w:numId="18">
    <w:abstractNumId w:val="24"/>
  </w:num>
  <w:num w:numId="19">
    <w:abstractNumId w:val="11"/>
  </w:num>
  <w:num w:numId="20">
    <w:abstractNumId w:val="5"/>
  </w:num>
  <w:num w:numId="21">
    <w:abstractNumId w:val="20"/>
  </w:num>
  <w:num w:numId="22">
    <w:abstractNumId w:val="6"/>
  </w:num>
  <w:num w:numId="23">
    <w:abstractNumId w:val="26"/>
  </w:num>
  <w:num w:numId="24">
    <w:abstractNumId w:val="0"/>
  </w:num>
  <w:num w:numId="25">
    <w:abstractNumId w:val="25"/>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EE"/>
    <w:rsid w:val="00002EB2"/>
    <w:rsid w:val="0001423F"/>
    <w:rsid w:val="00017FE9"/>
    <w:rsid w:val="0003526C"/>
    <w:rsid w:val="00045D27"/>
    <w:rsid w:val="00051C83"/>
    <w:rsid w:val="00081A77"/>
    <w:rsid w:val="000A1128"/>
    <w:rsid w:val="000A1FC8"/>
    <w:rsid w:val="000B7673"/>
    <w:rsid w:val="000C613B"/>
    <w:rsid w:val="000D28F7"/>
    <w:rsid w:val="000D767E"/>
    <w:rsid w:val="000D7C97"/>
    <w:rsid w:val="000E04EA"/>
    <w:rsid w:val="00103DA7"/>
    <w:rsid w:val="00104A5D"/>
    <w:rsid w:val="00104B70"/>
    <w:rsid w:val="0010645E"/>
    <w:rsid w:val="00110C8D"/>
    <w:rsid w:val="00132634"/>
    <w:rsid w:val="00133420"/>
    <w:rsid w:val="001438A2"/>
    <w:rsid w:val="0017295E"/>
    <w:rsid w:val="001842A6"/>
    <w:rsid w:val="00186746"/>
    <w:rsid w:val="001A2878"/>
    <w:rsid w:val="001A7C96"/>
    <w:rsid w:val="001B36E6"/>
    <w:rsid w:val="001C1E9B"/>
    <w:rsid w:val="001D087A"/>
    <w:rsid w:val="001D6862"/>
    <w:rsid w:val="001E5BB5"/>
    <w:rsid w:val="00203752"/>
    <w:rsid w:val="00215412"/>
    <w:rsid w:val="00215CB0"/>
    <w:rsid w:val="00231A60"/>
    <w:rsid w:val="00232343"/>
    <w:rsid w:val="00233999"/>
    <w:rsid w:val="00233D38"/>
    <w:rsid w:val="00240B3B"/>
    <w:rsid w:val="00241CEE"/>
    <w:rsid w:val="00257C34"/>
    <w:rsid w:val="0026275E"/>
    <w:rsid w:val="00276AB2"/>
    <w:rsid w:val="00281423"/>
    <w:rsid w:val="002925FE"/>
    <w:rsid w:val="0029427E"/>
    <w:rsid w:val="002963BF"/>
    <w:rsid w:val="002A0D00"/>
    <w:rsid w:val="002D26A8"/>
    <w:rsid w:val="002F2923"/>
    <w:rsid w:val="002F72EB"/>
    <w:rsid w:val="00310415"/>
    <w:rsid w:val="00314D32"/>
    <w:rsid w:val="00320AC2"/>
    <w:rsid w:val="00326463"/>
    <w:rsid w:val="00335B81"/>
    <w:rsid w:val="00353F75"/>
    <w:rsid w:val="00363F98"/>
    <w:rsid w:val="003661A1"/>
    <w:rsid w:val="003866D6"/>
    <w:rsid w:val="00386A19"/>
    <w:rsid w:val="003A6831"/>
    <w:rsid w:val="003C2176"/>
    <w:rsid w:val="003D769B"/>
    <w:rsid w:val="003F4C24"/>
    <w:rsid w:val="00402F98"/>
    <w:rsid w:val="00403F95"/>
    <w:rsid w:val="00407A41"/>
    <w:rsid w:val="00407CA5"/>
    <w:rsid w:val="0045730B"/>
    <w:rsid w:val="004761B2"/>
    <w:rsid w:val="00482CDC"/>
    <w:rsid w:val="004870F1"/>
    <w:rsid w:val="00495922"/>
    <w:rsid w:val="004A094A"/>
    <w:rsid w:val="004B5C35"/>
    <w:rsid w:val="004D184E"/>
    <w:rsid w:val="004D3860"/>
    <w:rsid w:val="004E0B5C"/>
    <w:rsid w:val="004E63E8"/>
    <w:rsid w:val="004E724A"/>
    <w:rsid w:val="004F544E"/>
    <w:rsid w:val="00511B4E"/>
    <w:rsid w:val="005167A3"/>
    <w:rsid w:val="00521C12"/>
    <w:rsid w:val="00554A45"/>
    <w:rsid w:val="00555020"/>
    <w:rsid w:val="00564E4C"/>
    <w:rsid w:val="00573438"/>
    <w:rsid w:val="00577566"/>
    <w:rsid w:val="00592E80"/>
    <w:rsid w:val="00597391"/>
    <w:rsid w:val="005C35E6"/>
    <w:rsid w:val="005F53B4"/>
    <w:rsid w:val="00601AF9"/>
    <w:rsid w:val="006038F2"/>
    <w:rsid w:val="006145C2"/>
    <w:rsid w:val="00625545"/>
    <w:rsid w:val="00636524"/>
    <w:rsid w:val="00650DE1"/>
    <w:rsid w:val="00673288"/>
    <w:rsid w:val="0069461B"/>
    <w:rsid w:val="006A5DF4"/>
    <w:rsid w:val="006B77AA"/>
    <w:rsid w:val="006C6A29"/>
    <w:rsid w:val="006D5809"/>
    <w:rsid w:val="006E0FFF"/>
    <w:rsid w:val="006E6D30"/>
    <w:rsid w:val="006F274C"/>
    <w:rsid w:val="00723A62"/>
    <w:rsid w:val="007620D8"/>
    <w:rsid w:val="007776D4"/>
    <w:rsid w:val="007A7EE1"/>
    <w:rsid w:val="007C2467"/>
    <w:rsid w:val="007C420A"/>
    <w:rsid w:val="007D104C"/>
    <w:rsid w:val="007D1205"/>
    <w:rsid w:val="007E3033"/>
    <w:rsid w:val="007E3146"/>
    <w:rsid w:val="007F2014"/>
    <w:rsid w:val="00822499"/>
    <w:rsid w:val="00824BAF"/>
    <w:rsid w:val="00825DB9"/>
    <w:rsid w:val="00831119"/>
    <w:rsid w:val="00845058"/>
    <w:rsid w:val="00856D31"/>
    <w:rsid w:val="00867EC0"/>
    <w:rsid w:val="008725BF"/>
    <w:rsid w:val="00877429"/>
    <w:rsid w:val="00880078"/>
    <w:rsid w:val="008966D7"/>
    <w:rsid w:val="008B546C"/>
    <w:rsid w:val="008C1A66"/>
    <w:rsid w:val="008C75C9"/>
    <w:rsid w:val="008D229B"/>
    <w:rsid w:val="008E37FA"/>
    <w:rsid w:val="008F0729"/>
    <w:rsid w:val="00902F2E"/>
    <w:rsid w:val="00902FE0"/>
    <w:rsid w:val="009064E2"/>
    <w:rsid w:val="00926957"/>
    <w:rsid w:val="00933544"/>
    <w:rsid w:val="00936C3A"/>
    <w:rsid w:val="00945736"/>
    <w:rsid w:val="009643BC"/>
    <w:rsid w:val="00965BF6"/>
    <w:rsid w:val="009A3794"/>
    <w:rsid w:val="009C1F78"/>
    <w:rsid w:val="009D5E3C"/>
    <w:rsid w:val="009D7F4B"/>
    <w:rsid w:val="009E1BC2"/>
    <w:rsid w:val="009F3A25"/>
    <w:rsid w:val="00A15AC1"/>
    <w:rsid w:val="00A22C89"/>
    <w:rsid w:val="00A34A1F"/>
    <w:rsid w:val="00A46843"/>
    <w:rsid w:val="00A67D44"/>
    <w:rsid w:val="00A70B67"/>
    <w:rsid w:val="00A72FF7"/>
    <w:rsid w:val="00A766AD"/>
    <w:rsid w:val="00AA3765"/>
    <w:rsid w:val="00AC7E47"/>
    <w:rsid w:val="00AE6DA2"/>
    <w:rsid w:val="00AF4696"/>
    <w:rsid w:val="00AF603E"/>
    <w:rsid w:val="00B0175D"/>
    <w:rsid w:val="00B0636E"/>
    <w:rsid w:val="00B13B68"/>
    <w:rsid w:val="00B35FAA"/>
    <w:rsid w:val="00B504FA"/>
    <w:rsid w:val="00B52855"/>
    <w:rsid w:val="00B67CBD"/>
    <w:rsid w:val="00B86743"/>
    <w:rsid w:val="00B97A6D"/>
    <w:rsid w:val="00BA4C71"/>
    <w:rsid w:val="00BA6866"/>
    <w:rsid w:val="00BB4BA2"/>
    <w:rsid w:val="00BC4FC2"/>
    <w:rsid w:val="00BC5741"/>
    <w:rsid w:val="00BF1E67"/>
    <w:rsid w:val="00C001D0"/>
    <w:rsid w:val="00C048C0"/>
    <w:rsid w:val="00C102D6"/>
    <w:rsid w:val="00C406B6"/>
    <w:rsid w:val="00C41D2D"/>
    <w:rsid w:val="00C47384"/>
    <w:rsid w:val="00C7437C"/>
    <w:rsid w:val="00C8073A"/>
    <w:rsid w:val="00C825C4"/>
    <w:rsid w:val="00C947E8"/>
    <w:rsid w:val="00CA1B31"/>
    <w:rsid w:val="00CB1294"/>
    <w:rsid w:val="00CB29A2"/>
    <w:rsid w:val="00CD6BC7"/>
    <w:rsid w:val="00D26E95"/>
    <w:rsid w:val="00D330DC"/>
    <w:rsid w:val="00D364EE"/>
    <w:rsid w:val="00D50842"/>
    <w:rsid w:val="00D545DB"/>
    <w:rsid w:val="00D661E4"/>
    <w:rsid w:val="00D70163"/>
    <w:rsid w:val="00DA4120"/>
    <w:rsid w:val="00DB008F"/>
    <w:rsid w:val="00DE43DA"/>
    <w:rsid w:val="00E20F8A"/>
    <w:rsid w:val="00E21C23"/>
    <w:rsid w:val="00E4209E"/>
    <w:rsid w:val="00E7356C"/>
    <w:rsid w:val="00E75740"/>
    <w:rsid w:val="00E81AF9"/>
    <w:rsid w:val="00E8776F"/>
    <w:rsid w:val="00E924E8"/>
    <w:rsid w:val="00ED32ED"/>
    <w:rsid w:val="00ED4BC4"/>
    <w:rsid w:val="00EE075D"/>
    <w:rsid w:val="00EE47FF"/>
    <w:rsid w:val="00EE57CD"/>
    <w:rsid w:val="00F05A28"/>
    <w:rsid w:val="00F05DCB"/>
    <w:rsid w:val="00F80FB7"/>
    <w:rsid w:val="00F84291"/>
    <w:rsid w:val="00F8622D"/>
    <w:rsid w:val="00FB7D2F"/>
    <w:rsid w:val="00FC661E"/>
    <w:rsid w:val="00FE723C"/>
    <w:rsid w:val="00FE7628"/>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paragraph" w:styleId="Heading1">
    <w:name w:val="heading 1"/>
    <w:aliases w:val="Table_G"/>
    <w:basedOn w:val="Normal"/>
    <w:next w:val="Normal"/>
    <w:link w:val="Heading1Char"/>
    <w:qFormat/>
    <w:rsid w:val="008F0729"/>
    <w:pPr>
      <w:suppressAutoHyphens/>
      <w:spacing w:after="0" w:line="240" w:lineRule="auto"/>
      <w:ind w:left="1134"/>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HChG">
    <w:name w:val="_ H _Ch_G"/>
    <w:basedOn w:val="Normal"/>
    <w:next w:val="Normal"/>
    <w:link w:val="HChGChar"/>
    <w:qFormat/>
    <w:rsid w:val="0013263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132634"/>
    <w:rPr>
      <w:rFonts w:ascii="Times New Roman" w:eastAsia="Times New Roman" w:hAnsi="Times New Roman" w:cs="Times New Roman"/>
      <w:b/>
      <w:sz w:val="28"/>
      <w:szCs w:val="20"/>
    </w:rPr>
  </w:style>
  <w:style w:type="table" w:styleId="TableGrid">
    <w:name w:val="Table Grid"/>
    <w:basedOn w:val="TableNormal"/>
    <w:uiPriority w:val="59"/>
    <w:rsid w:val="0083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5C35"/>
    <w:pPr>
      <w:suppressAutoHyphens/>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B5C35"/>
    <w:rPr>
      <w:rFonts w:ascii="Arial" w:eastAsia="Times New Roman" w:hAnsi="Arial" w:cs="Arial"/>
      <w:b/>
      <w:bCs/>
      <w:kern w:val="28"/>
      <w:sz w:val="32"/>
      <w:szCs w:val="32"/>
    </w:rPr>
  </w:style>
  <w:style w:type="character" w:customStyle="1" w:styleId="Heading1Char">
    <w:name w:val="Heading 1 Char"/>
    <w:aliases w:val="Table_G Char"/>
    <w:basedOn w:val="DefaultParagraphFont"/>
    <w:link w:val="Heading1"/>
    <w:rsid w:val="008F0729"/>
    <w:rPr>
      <w:rFonts w:ascii="Times New Roman" w:eastAsia="Times New Roman" w:hAnsi="Times New Roman" w:cs="Times New Roman"/>
      <w:sz w:val="20"/>
      <w:szCs w:val="20"/>
    </w:rPr>
  </w:style>
  <w:style w:type="paragraph" w:styleId="Revision">
    <w:name w:val="Revision"/>
    <w:hidden/>
    <w:uiPriority w:val="99"/>
    <w:semiHidden/>
    <w:rsid w:val="000352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paragraph" w:styleId="Heading1">
    <w:name w:val="heading 1"/>
    <w:aliases w:val="Table_G"/>
    <w:basedOn w:val="Normal"/>
    <w:next w:val="Normal"/>
    <w:link w:val="Heading1Char"/>
    <w:qFormat/>
    <w:rsid w:val="008F0729"/>
    <w:pPr>
      <w:suppressAutoHyphens/>
      <w:spacing w:after="0" w:line="240" w:lineRule="auto"/>
      <w:ind w:left="1134"/>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HChG">
    <w:name w:val="_ H _Ch_G"/>
    <w:basedOn w:val="Normal"/>
    <w:next w:val="Normal"/>
    <w:link w:val="HChGChar"/>
    <w:qFormat/>
    <w:rsid w:val="0013263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132634"/>
    <w:rPr>
      <w:rFonts w:ascii="Times New Roman" w:eastAsia="Times New Roman" w:hAnsi="Times New Roman" w:cs="Times New Roman"/>
      <w:b/>
      <w:sz w:val="28"/>
      <w:szCs w:val="20"/>
    </w:rPr>
  </w:style>
  <w:style w:type="table" w:styleId="TableGrid">
    <w:name w:val="Table Grid"/>
    <w:basedOn w:val="TableNormal"/>
    <w:uiPriority w:val="59"/>
    <w:rsid w:val="0083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5C35"/>
    <w:pPr>
      <w:suppressAutoHyphens/>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B5C35"/>
    <w:rPr>
      <w:rFonts w:ascii="Arial" w:eastAsia="Times New Roman" w:hAnsi="Arial" w:cs="Arial"/>
      <w:b/>
      <w:bCs/>
      <w:kern w:val="28"/>
      <w:sz w:val="32"/>
      <w:szCs w:val="32"/>
    </w:rPr>
  </w:style>
  <w:style w:type="character" w:customStyle="1" w:styleId="Heading1Char">
    <w:name w:val="Heading 1 Char"/>
    <w:aliases w:val="Table_G Char"/>
    <w:basedOn w:val="DefaultParagraphFont"/>
    <w:link w:val="Heading1"/>
    <w:rsid w:val="008F0729"/>
    <w:rPr>
      <w:rFonts w:ascii="Times New Roman" w:eastAsia="Times New Roman" w:hAnsi="Times New Roman" w:cs="Times New Roman"/>
      <w:sz w:val="20"/>
      <w:szCs w:val="20"/>
    </w:rPr>
  </w:style>
  <w:style w:type="paragraph" w:styleId="Revision">
    <w:name w:val="Revision"/>
    <w:hidden/>
    <w:uiPriority w:val="99"/>
    <w:semiHidden/>
    <w:rsid w:val="00035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173490413">
      <w:bodyDiv w:val="1"/>
      <w:marLeft w:val="0"/>
      <w:marRight w:val="0"/>
      <w:marTop w:val="0"/>
      <w:marBottom w:val="0"/>
      <w:divBdr>
        <w:top w:val="none" w:sz="0" w:space="0" w:color="auto"/>
        <w:left w:val="none" w:sz="0" w:space="0" w:color="auto"/>
        <w:bottom w:val="none" w:sz="0" w:space="0" w:color="auto"/>
        <w:right w:val="none" w:sz="0" w:space="0" w:color="auto"/>
      </w:divBdr>
    </w:div>
    <w:div w:id="1508013396">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 w:id="19322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7323D-7095-4BF8-AED1-F1311468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6736</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Konstantin Glukhenkiy</cp:lastModifiedBy>
  <cp:revision>2</cp:revision>
  <dcterms:created xsi:type="dcterms:W3CDTF">2016-10-17T08:27:00Z</dcterms:created>
  <dcterms:modified xsi:type="dcterms:W3CDTF">2016-10-17T08:27:00Z</dcterms:modified>
</cp:coreProperties>
</file>