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AE0EE4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E0EE4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E0EE4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E0EE4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482EC8">
                <w:t>TRANS/WP.29/GRE/2016/32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AE0EE4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E0EE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AE0EE4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E0EE4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C1618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AE0EE4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482EC8">
              <w:t xml:space="preserve">11 </w:t>
            </w:r>
            <w:proofErr w:type="spellStart"/>
            <w:r w:rsidR="00482EC8">
              <w:t>August</w:t>
            </w:r>
            <w:proofErr w:type="spellEnd"/>
            <w:r w:rsidR="00482EC8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AE0EE4">
            <w:r w:rsidRPr="00245892">
              <w:t>Russian</w:t>
            </w:r>
          </w:p>
          <w:p w:rsidR="00A658DB" w:rsidRPr="00245892" w:rsidRDefault="00A658DB" w:rsidP="00AE0EE4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C1618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AE0EE4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C41E5" w:rsidRPr="00672426" w:rsidRDefault="00FC41E5" w:rsidP="00672426">
      <w:pPr>
        <w:spacing w:before="120"/>
        <w:rPr>
          <w:sz w:val="28"/>
          <w:szCs w:val="28"/>
        </w:rPr>
      </w:pPr>
      <w:r w:rsidRPr="00672426">
        <w:rPr>
          <w:sz w:val="28"/>
          <w:szCs w:val="28"/>
        </w:rPr>
        <w:t>Комитет по внутреннему транспорту</w:t>
      </w:r>
    </w:p>
    <w:p w:rsidR="00FC41E5" w:rsidRPr="00672426" w:rsidRDefault="00FC41E5" w:rsidP="00672426">
      <w:pPr>
        <w:spacing w:before="120"/>
        <w:rPr>
          <w:b/>
          <w:bCs/>
          <w:sz w:val="24"/>
          <w:szCs w:val="24"/>
        </w:rPr>
      </w:pPr>
      <w:r w:rsidRPr="00672426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672426" w:rsidRPr="00672426">
        <w:rPr>
          <w:b/>
          <w:bCs/>
          <w:sz w:val="24"/>
          <w:szCs w:val="24"/>
        </w:rPr>
        <w:br/>
      </w:r>
      <w:r w:rsidRPr="00672426">
        <w:rPr>
          <w:b/>
          <w:bCs/>
          <w:sz w:val="24"/>
          <w:szCs w:val="24"/>
        </w:rPr>
        <w:t>в области транспортных средств</w:t>
      </w:r>
    </w:p>
    <w:p w:rsidR="00FC41E5" w:rsidRPr="00FC41E5" w:rsidRDefault="00FC41E5" w:rsidP="00672426">
      <w:pPr>
        <w:spacing w:before="120"/>
        <w:rPr>
          <w:b/>
          <w:bCs/>
        </w:rPr>
      </w:pPr>
      <w:r w:rsidRPr="00FC41E5">
        <w:rPr>
          <w:b/>
          <w:bCs/>
        </w:rPr>
        <w:t xml:space="preserve">Рабочая группа по вопросам освещения </w:t>
      </w:r>
      <w:r w:rsidR="00672426" w:rsidRPr="00672426">
        <w:rPr>
          <w:b/>
          <w:bCs/>
        </w:rPr>
        <w:br/>
      </w:r>
      <w:r w:rsidRPr="00FC41E5">
        <w:rPr>
          <w:b/>
          <w:bCs/>
        </w:rPr>
        <w:t>и световой сигнализации</w:t>
      </w:r>
    </w:p>
    <w:p w:rsidR="00FC41E5" w:rsidRPr="00FC41E5" w:rsidRDefault="00FC41E5" w:rsidP="00672426">
      <w:pPr>
        <w:spacing w:before="120"/>
        <w:rPr>
          <w:b/>
        </w:rPr>
      </w:pPr>
      <w:r w:rsidRPr="00FC41E5">
        <w:rPr>
          <w:b/>
          <w:bCs/>
        </w:rPr>
        <w:t>Семьдесят шестая сессия</w:t>
      </w:r>
    </w:p>
    <w:p w:rsidR="00FC41E5" w:rsidRPr="00FC41E5" w:rsidRDefault="00FC41E5" w:rsidP="00FC41E5">
      <w:pPr>
        <w:rPr>
          <w:bCs/>
        </w:rPr>
      </w:pPr>
      <w:r w:rsidRPr="00FC41E5">
        <w:t>Женева, 25–28 октября 2016 года</w:t>
      </w:r>
    </w:p>
    <w:p w:rsidR="00FC41E5" w:rsidRPr="00FC41E5" w:rsidRDefault="00FC41E5" w:rsidP="00FC41E5">
      <w:r w:rsidRPr="00FC41E5">
        <w:t xml:space="preserve">Пункт 4 предварительной повестки дня </w:t>
      </w:r>
    </w:p>
    <w:p w:rsidR="00FC41E5" w:rsidRPr="00FC41E5" w:rsidRDefault="00FC41E5" w:rsidP="00FC41E5">
      <w:pPr>
        <w:rPr>
          <w:b/>
          <w:bCs/>
        </w:rPr>
      </w:pPr>
      <w:r w:rsidRPr="00FC41E5">
        <w:rPr>
          <w:b/>
          <w:bCs/>
        </w:rPr>
        <w:t xml:space="preserve">Упрощение правил по вопросам освещения </w:t>
      </w:r>
      <w:r w:rsidR="00672426" w:rsidRPr="00672426">
        <w:rPr>
          <w:b/>
          <w:bCs/>
        </w:rPr>
        <w:br/>
      </w:r>
      <w:r w:rsidRPr="00FC41E5">
        <w:rPr>
          <w:b/>
          <w:bCs/>
        </w:rPr>
        <w:t>и световой сигнализации</w:t>
      </w:r>
    </w:p>
    <w:p w:rsidR="00FC41E5" w:rsidRPr="00FC41E5" w:rsidRDefault="00FC41E5" w:rsidP="00672426">
      <w:pPr>
        <w:pStyle w:val="HChGR"/>
      </w:pPr>
      <w:r w:rsidRPr="00FC41E5">
        <w:tab/>
      </w:r>
      <w:r w:rsidRPr="00FC41E5">
        <w:tab/>
        <w:t xml:space="preserve">Предложение по общим поправкам к правилам № 19, 98, 112, 113 и 123 </w:t>
      </w:r>
    </w:p>
    <w:p w:rsidR="00FC41E5" w:rsidRPr="00FC41E5" w:rsidRDefault="00672426" w:rsidP="00672426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="00FC41E5" w:rsidRPr="00FC41E5">
        <w:t>Представлено экспертом от Международной группы экспертов по вопросам автомобильного освещения и световой сигнализации (БРГ)</w:t>
      </w:r>
      <w:r w:rsidR="00FC41E5" w:rsidRPr="00672426">
        <w:rPr>
          <w:b w:val="0"/>
          <w:bCs/>
          <w:sz w:val="20"/>
        </w:rPr>
        <w:footnoteReference w:customMarkFollows="1" w:id="1"/>
        <w:t>*</w:t>
      </w:r>
    </w:p>
    <w:p w:rsidR="00FC41E5" w:rsidRPr="00FC41E5" w:rsidRDefault="00672426" w:rsidP="00672426">
      <w:pPr>
        <w:pStyle w:val="SingleTxtGR"/>
      </w:pPr>
      <w:r>
        <w:rPr>
          <w:lang w:val="en-US"/>
        </w:rPr>
        <w:tab/>
      </w:r>
      <w:r w:rsidR="00FC41E5" w:rsidRPr="00FC41E5">
        <w:t xml:space="preserve">Воспроизведенный ниже текст был подготовлен экспертом от БРГ </w:t>
      </w:r>
      <w:proofErr w:type="gramStart"/>
      <w:r w:rsidR="00FC41E5" w:rsidRPr="00FC41E5">
        <w:t>для уточнения цикла испытаний на воздействие тепла в связи с перемещением св</w:t>
      </w:r>
      <w:r w:rsidR="00FC41E5" w:rsidRPr="00FC41E5">
        <w:t>е</w:t>
      </w:r>
      <w:r w:rsidR="00FC41E5" w:rsidRPr="00FC41E5">
        <w:t>тотеневой границы луча ближнего света в правилах</w:t>
      </w:r>
      <w:proofErr w:type="gramEnd"/>
      <w:r w:rsidR="00FC41E5" w:rsidRPr="00FC41E5">
        <w:t>, касающихся передних пр</w:t>
      </w:r>
      <w:r w:rsidR="00FC41E5" w:rsidRPr="00FC41E5">
        <w:t>о</w:t>
      </w:r>
      <w:r w:rsidR="00FC41E5" w:rsidRPr="00FC41E5">
        <w:t>тивотуманных и головных фар. Изменения к существующему тексту Правил выделены жирным шрифтом в случае новых положений и зачеркиванием в сл</w:t>
      </w:r>
      <w:r w:rsidR="00FC41E5" w:rsidRPr="00FC41E5">
        <w:t>у</w:t>
      </w:r>
      <w:r w:rsidR="00FC41E5" w:rsidRPr="00FC41E5">
        <w:t>чае исключенных элементов.</w:t>
      </w:r>
    </w:p>
    <w:p w:rsidR="00FC41E5" w:rsidRPr="00FC41E5" w:rsidRDefault="00FC41E5" w:rsidP="00FC41E5">
      <w:r w:rsidRPr="00FC41E5">
        <w:br w:type="page"/>
      </w:r>
    </w:p>
    <w:p w:rsidR="00FC41E5" w:rsidRPr="00FC41E5" w:rsidRDefault="00FC41E5" w:rsidP="00DF54A5">
      <w:pPr>
        <w:pStyle w:val="HChGR"/>
      </w:pPr>
      <w:r w:rsidRPr="00FC41E5">
        <w:lastRenderedPageBreak/>
        <w:tab/>
        <w:t>I.</w:t>
      </w:r>
      <w:r w:rsidRPr="00FC41E5">
        <w:tab/>
        <w:t>Предложение</w:t>
      </w:r>
    </w:p>
    <w:p w:rsidR="00FC41E5" w:rsidRPr="00FC41E5" w:rsidRDefault="00DF54A5" w:rsidP="00DF54A5">
      <w:pPr>
        <w:pStyle w:val="H1GR"/>
      </w:pPr>
      <w:r>
        <w:rPr>
          <w:lang w:val="en-US"/>
        </w:rPr>
        <w:tab/>
      </w:r>
      <w:r w:rsidR="00FC41E5" w:rsidRPr="00FC41E5">
        <w:t>A.</w:t>
      </w:r>
      <w:r w:rsidR="00FC41E5" w:rsidRPr="00FC41E5">
        <w:tab/>
        <w:t xml:space="preserve">Дополнение 9 к поправкам серии 04 к Правилам № 19 </w:t>
      </w:r>
      <w:r w:rsidR="00AF2315">
        <w:t>(передние противотуманные фары)</w:t>
      </w:r>
    </w:p>
    <w:p w:rsidR="00FC41E5" w:rsidRPr="00DF54A5" w:rsidRDefault="00FC41E5" w:rsidP="00DF54A5">
      <w:pPr>
        <w:pStyle w:val="SingleTxtGR"/>
        <w:rPr>
          <w:bCs/>
          <w:i/>
          <w:iCs/>
        </w:rPr>
      </w:pPr>
      <w:r w:rsidRPr="00DF54A5">
        <w:rPr>
          <w:i/>
          <w:iCs/>
        </w:rPr>
        <w:t xml:space="preserve">Приложение 5 </w:t>
      </w:r>
    </w:p>
    <w:p w:rsidR="00FC41E5" w:rsidRPr="00FC41E5" w:rsidRDefault="00FC41E5" w:rsidP="00DF54A5">
      <w:pPr>
        <w:pStyle w:val="SingleTxtGR"/>
        <w:rPr>
          <w:b/>
        </w:rPr>
      </w:pPr>
      <w:r w:rsidRPr="00DF54A5">
        <w:rPr>
          <w:i/>
          <w:iCs/>
        </w:rPr>
        <w:t>Пункт 2.2.2</w:t>
      </w:r>
      <w:r w:rsidRPr="00FC41E5">
        <w:t xml:space="preserve"> изменить следующим образом:</w:t>
      </w:r>
    </w:p>
    <w:p w:rsidR="00FC41E5" w:rsidRPr="00FC41E5" w:rsidRDefault="00FC41E5" w:rsidP="00AF2315">
      <w:pPr>
        <w:pStyle w:val="SingleTxtGR"/>
        <w:ind w:left="2268" w:hanging="1134"/>
      </w:pPr>
      <w:r w:rsidRPr="00FC41E5">
        <w:t>«2.2.2</w:t>
      </w:r>
      <w:proofErr w:type="gramStart"/>
      <w:r w:rsidRPr="00FC41E5">
        <w:tab/>
      </w:r>
      <w:r w:rsidRPr="00FC41E5">
        <w:tab/>
        <w:t>О</w:t>
      </w:r>
      <w:proofErr w:type="gramEnd"/>
      <w:r w:rsidRPr="00FC41E5">
        <w:t>днако если это значение превышает 2 мрад, но не превышает 3</w:t>
      </w:r>
      <w:r w:rsidR="00DF54A5">
        <w:rPr>
          <w:lang w:val="en-US"/>
        </w:rPr>
        <w:t> </w:t>
      </w:r>
      <w:r w:rsidRPr="00FC41E5">
        <w:t xml:space="preserve">мрад (2 мрад &lt; </w:t>
      </w:r>
      <w:r w:rsidRPr="00AF2315">
        <w:rPr>
          <w:strike/>
        </w:rPr>
        <w:t>∆</w:t>
      </w:r>
      <w:r w:rsidR="00AF2315" w:rsidRPr="00AF2315">
        <w:rPr>
          <w:strike/>
        </w:rPr>
        <w:t> </w:t>
      </w:r>
      <w:r w:rsidRPr="00AF2315">
        <w:rPr>
          <w:strike/>
        </w:rPr>
        <w:t>r</w:t>
      </w:r>
      <w:r w:rsidR="00AF2315" w:rsidRPr="00AF2315">
        <w:rPr>
          <w:strike/>
          <w:vertAlign w:val="subscript"/>
        </w:rPr>
        <w:t>1</w:t>
      </w:r>
      <w:r w:rsidRPr="00FC41E5">
        <w:t xml:space="preserve"> </w:t>
      </w:r>
      <w:r w:rsidR="00AF2315" w:rsidRPr="00AF2315">
        <w:t>∆ </w:t>
      </w:r>
      <w:r w:rsidR="00AF2315" w:rsidRPr="00AF2315">
        <w:rPr>
          <w:b/>
          <w:bCs/>
        </w:rPr>
        <w:t>r</w:t>
      </w:r>
      <w:r w:rsidR="00AF2315">
        <w:t xml:space="preserve"> </w:t>
      </w:r>
      <w:r w:rsidRPr="00FC41E5">
        <w:t xml:space="preserve">&lt; 3 мрад), то проводят испытание </w:t>
      </w:r>
      <w:r w:rsidRPr="00DA6E5C">
        <w:rPr>
          <w:strike/>
        </w:rPr>
        <w:t>второй</w:t>
      </w:r>
      <w:r w:rsidRPr="00FC41E5">
        <w:t xml:space="preserve"> </w:t>
      </w:r>
      <w:r w:rsidRPr="00FC41E5">
        <w:rPr>
          <w:b/>
          <w:bCs/>
        </w:rPr>
        <w:t xml:space="preserve">дополнительного образца </w:t>
      </w:r>
      <w:r w:rsidRPr="00FC41E5">
        <w:t>передней противотуманной фары</w:t>
      </w:r>
      <w:r w:rsidRPr="00FC41E5">
        <w:rPr>
          <w:b/>
          <w:bCs/>
        </w:rPr>
        <w:t>, уст</w:t>
      </w:r>
      <w:r w:rsidRPr="00FC41E5">
        <w:rPr>
          <w:b/>
          <w:bCs/>
        </w:rPr>
        <w:t>а</w:t>
      </w:r>
      <w:r w:rsidRPr="00FC41E5">
        <w:rPr>
          <w:b/>
          <w:bCs/>
        </w:rPr>
        <w:t>новленной на опоре таким образом, как ее следует устанавл</w:t>
      </w:r>
      <w:r w:rsidRPr="00FC41E5">
        <w:rPr>
          <w:b/>
          <w:bCs/>
        </w:rPr>
        <w:t>и</w:t>
      </w:r>
      <w:r w:rsidRPr="00FC41E5">
        <w:rPr>
          <w:b/>
          <w:bCs/>
        </w:rPr>
        <w:t>вать на транспортном средстве,</w:t>
      </w:r>
      <w:r w:rsidRPr="00FC41E5">
        <w:t xml:space="preserve"> в соответствии с предписаниями пункта 2.1 выше. </w:t>
      </w:r>
      <w:r w:rsidRPr="00DA6E5C">
        <w:rPr>
          <w:strike/>
        </w:rPr>
        <w:t>Его проводят</w:t>
      </w:r>
      <w:r w:rsidRPr="00FC41E5">
        <w:t xml:space="preserve"> после трехразового последовател</w:t>
      </w:r>
      <w:r w:rsidRPr="00FC41E5">
        <w:t>ь</w:t>
      </w:r>
      <w:r w:rsidRPr="00FC41E5">
        <w:t>ного прохождения цикла, указанного ниже, для стабилизации пр</w:t>
      </w:r>
      <w:r w:rsidRPr="00FC41E5">
        <w:t>а</w:t>
      </w:r>
      <w:r w:rsidRPr="00FC41E5">
        <w:t>вильного положения механических частей передней противотума</w:t>
      </w:r>
      <w:r w:rsidRPr="00FC41E5">
        <w:t>н</w:t>
      </w:r>
      <w:r w:rsidRPr="00FC41E5">
        <w:t>ной фары</w:t>
      </w:r>
      <w:r w:rsidRPr="00DA6E5C">
        <w:rPr>
          <w:strike/>
        </w:rPr>
        <w:t>, установленной на опоре в таком же положении,</w:t>
      </w:r>
      <w:r w:rsidRPr="00EE6901">
        <w:rPr>
          <w:strike/>
        </w:rPr>
        <w:t xml:space="preserve"> в каком она должна устанавливаться на транспортном средстве</w:t>
      </w:r>
      <w:r w:rsidRPr="00FC41E5">
        <w:t>:</w:t>
      </w:r>
    </w:p>
    <w:p w:rsidR="00FC41E5" w:rsidRPr="00FC41E5" w:rsidRDefault="00FC41E5" w:rsidP="00DF54A5">
      <w:pPr>
        <w:pStyle w:val="SingleTxtGR"/>
        <w:ind w:left="2835" w:hanging="1701"/>
      </w:pPr>
      <w:r w:rsidRPr="00FC41E5">
        <w:tab/>
      </w:r>
      <w:r w:rsidRPr="00FC41E5">
        <w:tab/>
        <w:t>а)</w:t>
      </w:r>
      <w:r w:rsidRPr="00FC41E5">
        <w:tab/>
        <w:t>включение передней противотуманной фары на 1 час (напр</w:t>
      </w:r>
      <w:r w:rsidRPr="00FC41E5">
        <w:t>я</w:t>
      </w:r>
      <w:r w:rsidRPr="00FC41E5">
        <w:t>жение устанавливают в соответствии с предписаниями пун</w:t>
      </w:r>
      <w:r w:rsidRPr="00FC41E5">
        <w:t>к</w:t>
      </w:r>
      <w:r w:rsidRPr="00FC41E5">
        <w:t>та 1.1.2 настоящего приложения);</w:t>
      </w:r>
    </w:p>
    <w:p w:rsidR="00FC41E5" w:rsidRPr="00FC41E5" w:rsidRDefault="00FC41E5" w:rsidP="00DF54A5">
      <w:pPr>
        <w:pStyle w:val="SingleTxtGR"/>
        <w:ind w:left="2835" w:hanging="1701"/>
        <w:rPr>
          <w:b/>
        </w:rPr>
      </w:pPr>
      <w:r w:rsidRPr="00FC41E5">
        <w:tab/>
      </w:r>
      <w:r w:rsidRPr="00FC41E5">
        <w:tab/>
      </w:r>
      <w:r w:rsidRPr="00FC41E5">
        <w:rPr>
          <w:lang w:val="en-GB"/>
        </w:rPr>
        <w:t>b</w:t>
      </w:r>
      <w:r w:rsidRPr="00FC41E5">
        <w:t>)</w:t>
      </w:r>
      <w:r w:rsidRPr="00FC41E5">
        <w:tab/>
      </w:r>
      <w:proofErr w:type="gramStart"/>
      <w:r w:rsidRPr="00FC41E5">
        <w:t>выключение</w:t>
      </w:r>
      <w:proofErr w:type="gramEnd"/>
      <w:r w:rsidRPr="00FC41E5">
        <w:rPr>
          <w:b/>
          <w:bCs/>
        </w:rPr>
        <w:t xml:space="preserve"> фары</w:t>
      </w:r>
      <w:r w:rsidRPr="00FC41E5">
        <w:t xml:space="preserve"> на 1 час».</w:t>
      </w:r>
    </w:p>
    <w:p w:rsidR="00FC41E5" w:rsidRPr="00FC41E5" w:rsidRDefault="00FC41E5" w:rsidP="00DF54A5">
      <w:pPr>
        <w:pStyle w:val="SingleTxtGR"/>
        <w:rPr>
          <w:b/>
        </w:rPr>
      </w:pPr>
      <w:r w:rsidRPr="00EE6901">
        <w:rPr>
          <w:i/>
          <w:iCs/>
        </w:rPr>
        <w:t>Пункт 2.2.3</w:t>
      </w:r>
      <w:r w:rsidRPr="00FC41E5">
        <w:t xml:space="preserve"> изменить следующим образом:</w:t>
      </w:r>
    </w:p>
    <w:p w:rsidR="00FC41E5" w:rsidRPr="00FC41E5" w:rsidRDefault="00FC41E5" w:rsidP="00EE6901">
      <w:pPr>
        <w:pStyle w:val="SingleTxtGR"/>
        <w:ind w:left="2268" w:hanging="1134"/>
      </w:pPr>
      <w:r w:rsidRPr="00FC41E5">
        <w:t>«2.2.3</w:t>
      </w:r>
      <w:r w:rsidR="00EE6901">
        <w:rPr>
          <w:lang w:val="en-US"/>
        </w:rPr>
        <w:tab/>
      </w:r>
      <w:r w:rsidRPr="00FC41E5">
        <w:tab/>
      </w:r>
      <w:r w:rsidRPr="00EE6901">
        <w:rPr>
          <w:strike/>
        </w:rPr>
        <w:t>Передняя противотуманная фара данного типа считается приемл</w:t>
      </w:r>
      <w:r w:rsidRPr="00EE6901">
        <w:rPr>
          <w:strike/>
        </w:rPr>
        <w:t>е</w:t>
      </w:r>
      <w:r w:rsidRPr="00EE6901">
        <w:rPr>
          <w:strike/>
        </w:rPr>
        <w:t xml:space="preserve">мой, если среднее значение абсолютных величин ∆ </w:t>
      </w:r>
      <w:proofErr w:type="spellStart"/>
      <w:r w:rsidRPr="00EE6901">
        <w:rPr>
          <w:strike/>
        </w:rPr>
        <w:t>r</w:t>
      </w:r>
      <w:r w:rsidRPr="00EE6901">
        <w:rPr>
          <w:strike/>
          <w:vertAlign w:val="subscript"/>
        </w:rPr>
        <w:t>I</w:t>
      </w:r>
      <w:proofErr w:type="spellEnd"/>
      <w:r w:rsidRPr="00EE6901">
        <w:rPr>
          <w:strike/>
        </w:rPr>
        <w:t xml:space="preserve">, измеренных на первом образце, и ∆ </w:t>
      </w:r>
      <w:proofErr w:type="spellStart"/>
      <w:r w:rsidRPr="00EE6901">
        <w:rPr>
          <w:strike/>
        </w:rPr>
        <w:t>r</w:t>
      </w:r>
      <w:r w:rsidRPr="00EE6901">
        <w:rPr>
          <w:strike/>
          <w:vertAlign w:val="subscript"/>
        </w:rPr>
        <w:t>II</w:t>
      </w:r>
      <w:proofErr w:type="spellEnd"/>
      <w:r w:rsidRPr="00EE6901">
        <w:rPr>
          <w:strike/>
        </w:rPr>
        <w:t>, измеренных на втором образце, не пр</w:t>
      </w:r>
      <w:r w:rsidRPr="00EE6901">
        <w:rPr>
          <w:strike/>
        </w:rPr>
        <w:t>е</w:t>
      </w:r>
      <w:r w:rsidRPr="00EE6901">
        <w:rPr>
          <w:strike/>
        </w:rPr>
        <w:t>вышает 2 мрад.</w:t>
      </w:r>
    </w:p>
    <w:p w:rsidR="00FC41E5" w:rsidRPr="00EE6901" w:rsidRDefault="00FC41E5" w:rsidP="00DF54A5">
      <w:pPr>
        <w:pStyle w:val="SingleTxtGR"/>
        <w:rPr>
          <w:strike/>
        </w:rPr>
      </w:pPr>
      <w:r w:rsidRPr="00FC41E5">
        <w:tab/>
      </w:r>
      <w:r w:rsidRPr="00FC41E5">
        <w:tab/>
      </w:r>
      <w:r w:rsidRPr="00EE6901">
        <w:rPr>
          <w:strike/>
        </w:rPr>
        <w:t xml:space="preserve">(∆ </w:t>
      </w:r>
      <w:proofErr w:type="spellStart"/>
      <w:r w:rsidRPr="00EE6901">
        <w:rPr>
          <w:strike/>
          <w:lang w:val="en-GB"/>
        </w:rPr>
        <w:t>r</w:t>
      </w:r>
      <w:r w:rsidRPr="00EE6901">
        <w:rPr>
          <w:strike/>
          <w:vertAlign w:val="subscript"/>
          <w:lang w:val="en-GB"/>
        </w:rPr>
        <w:t>I</w:t>
      </w:r>
      <w:proofErr w:type="spellEnd"/>
      <w:r w:rsidRPr="00EE6901">
        <w:rPr>
          <w:strike/>
        </w:rPr>
        <w:t xml:space="preserve"> + ∆ </w:t>
      </w:r>
      <w:proofErr w:type="spellStart"/>
      <w:r w:rsidRPr="00EE6901">
        <w:rPr>
          <w:strike/>
          <w:lang w:val="en-GB"/>
        </w:rPr>
        <w:t>r</w:t>
      </w:r>
      <w:r w:rsidRPr="00EE6901">
        <w:rPr>
          <w:strike/>
          <w:vertAlign w:val="subscript"/>
          <w:lang w:val="en-GB"/>
        </w:rPr>
        <w:t>II</w:t>
      </w:r>
      <w:proofErr w:type="spellEnd"/>
      <w:r w:rsidRPr="00EE6901">
        <w:rPr>
          <w:strike/>
        </w:rPr>
        <w:t>)/2 ≤ 2 мрад.</w:t>
      </w:r>
    </w:p>
    <w:p w:rsidR="00FC41E5" w:rsidRPr="00FC41E5" w:rsidRDefault="00EE6901" w:rsidP="00EE6901">
      <w:pPr>
        <w:pStyle w:val="SingleTxtGR"/>
        <w:ind w:left="2268" w:hanging="1134"/>
        <w:rPr>
          <w:b/>
          <w:bCs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FC41E5" w:rsidRPr="00FC41E5">
        <w:rPr>
          <w:b/>
          <w:bCs/>
        </w:rPr>
        <w:t>После этих трех циклов передняя противотуманная фара да</w:t>
      </w:r>
      <w:r w:rsidR="00FC41E5" w:rsidRPr="00FC41E5">
        <w:rPr>
          <w:b/>
          <w:bCs/>
        </w:rPr>
        <w:t>н</w:t>
      </w:r>
      <w:r w:rsidR="00FC41E5" w:rsidRPr="00FC41E5">
        <w:rPr>
          <w:b/>
          <w:bCs/>
        </w:rPr>
        <w:t>ного типа считается приемлемой, ес</w:t>
      </w:r>
      <w:r>
        <w:rPr>
          <w:b/>
          <w:bCs/>
        </w:rPr>
        <w:t>ли абсолютные знач</w:t>
      </w:r>
      <w:r>
        <w:rPr>
          <w:b/>
          <w:bCs/>
        </w:rPr>
        <w:t>е</w:t>
      </w:r>
      <w:r>
        <w:rPr>
          <w:b/>
          <w:bCs/>
        </w:rPr>
        <w:t>ния</w:t>
      </w:r>
      <w:r>
        <w:rPr>
          <w:b/>
          <w:bCs/>
          <w:lang w:val="en-US"/>
        </w:rPr>
        <w:t> </w:t>
      </w:r>
      <w:proofErr w:type="spellStart"/>
      <w:r w:rsidR="00FC41E5" w:rsidRPr="00FC41E5">
        <w:rPr>
          <w:b/>
          <w:bCs/>
        </w:rPr>
        <w:t>Δr</w:t>
      </w:r>
      <w:proofErr w:type="spellEnd"/>
      <w:r w:rsidR="00FC41E5" w:rsidRPr="00FC41E5">
        <w:rPr>
          <w:b/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="00FC41E5" w:rsidRPr="00EE6901">
        <w:t>».</w:t>
      </w:r>
    </w:p>
    <w:p w:rsidR="00FC41E5" w:rsidRPr="00FC41E5" w:rsidRDefault="00EE6901" w:rsidP="00EE6901">
      <w:pPr>
        <w:pStyle w:val="H1GR"/>
      </w:pPr>
      <w:r>
        <w:rPr>
          <w:lang w:val="en-US"/>
        </w:rPr>
        <w:tab/>
      </w:r>
      <w:r w:rsidR="00FC41E5" w:rsidRPr="00FC41E5">
        <w:t>B.</w:t>
      </w:r>
      <w:r w:rsidR="00FC41E5" w:rsidRPr="00FC41E5">
        <w:tab/>
        <w:t xml:space="preserve">Дополнение 8 к поправкам серии 01 к Правилам № 98 </w:t>
      </w:r>
      <w:r w:rsidRPr="00EE6901">
        <w:br/>
      </w:r>
      <w:r w:rsidR="00FC41E5" w:rsidRPr="00FC41E5">
        <w:t>(фары с газоразрядными источника</w:t>
      </w:r>
      <w:r w:rsidR="00FF09B7">
        <w:t>ми света)</w:t>
      </w:r>
    </w:p>
    <w:p w:rsidR="00FC41E5" w:rsidRPr="00FC41E5" w:rsidRDefault="00FC41E5" w:rsidP="00DF54A5">
      <w:pPr>
        <w:pStyle w:val="SingleTxtGR"/>
      </w:pPr>
      <w:r w:rsidRPr="00EE6901">
        <w:rPr>
          <w:i/>
          <w:iCs/>
        </w:rPr>
        <w:t>Приложение 4, пункты 2.2.1 и 2.2.2</w:t>
      </w:r>
      <w:r w:rsidRPr="00FC41E5">
        <w:t xml:space="preserve"> изменить следующим образом: </w:t>
      </w:r>
    </w:p>
    <w:p w:rsidR="00FC41E5" w:rsidRPr="00FC41E5" w:rsidRDefault="00FC41E5" w:rsidP="00E310F2">
      <w:pPr>
        <w:pStyle w:val="SingleTxtGR"/>
        <w:ind w:left="2268" w:hanging="1134"/>
      </w:pPr>
      <w:r w:rsidRPr="00FC41E5">
        <w:t>«2.2.1</w:t>
      </w:r>
      <w:r w:rsidRPr="00FC41E5">
        <w:tab/>
      </w:r>
      <w:r w:rsidR="00EE6901" w:rsidRPr="00EE6901">
        <w:tab/>
      </w:r>
      <w:r w:rsidRPr="00FC41E5">
        <w:t xml:space="preserve">Результат, выраженный в </w:t>
      </w:r>
      <w:proofErr w:type="spellStart"/>
      <w:r w:rsidRPr="00FC41E5">
        <w:t>миллирадианах</w:t>
      </w:r>
      <w:proofErr w:type="spellEnd"/>
      <w:r w:rsidRPr="00FC41E5">
        <w:t xml:space="preserve"> (мрад), считают приемл</w:t>
      </w:r>
      <w:r w:rsidRPr="00FC41E5">
        <w:t>е</w:t>
      </w:r>
      <w:r w:rsidRPr="00FC41E5">
        <w:t xml:space="preserve">мым для фары ближнего света, если абсолютное значение </w:t>
      </w:r>
      <w:r w:rsidR="00EE6901" w:rsidRPr="00EE6901">
        <w:br/>
      </w:r>
      <w:r w:rsidRPr="00FC41E5">
        <w:t>Δ</w:t>
      </w:r>
      <w:r w:rsidR="00E310F2">
        <w:t> </w:t>
      </w:r>
      <w:r w:rsidRPr="00FC41E5">
        <w:t>r</w:t>
      </w:r>
      <w:r w:rsidRPr="00FC41E5">
        <w:rPr>
          <w:vertAlign w:val="subscript"/>
        </w:rPr>
        <w:t>1</w:t>
      </w:r>
      <w:r w:rsidR="00E310F2" w:rsidRPr="00E310F2">
        <w:t> </w:t>
      </w:r>
      <w:r w:rsidR="00E310F2">
        <w:t>= │ </w:t>
      </w:r>
      <w:r w:rsidRPr="00FC41E5">
        <w:t>r</w:t>
      </w:r>
      <w:r w:rsidRPr="00FC41E5">
        <w:rPr>
          <w:vertAlign w:val="subscript"/>
        </w:rPr>
        <w:t>3</w:t>
      </w:r>
      <w:r w:rsidR="00E310F2">
        <w:t> </w:t>
      </w:r>
      <w:r w:rsidRPr="00FC41E5">
        <w:t>–</w:t>
      </w:r>
      <w:r w:rsidR="00E310F2">
        <w:t> </w:t>
      </w:r>
      <w:r w:rsidRPr="00FC41E5">
        <w:t>r</w:t>
      </w:r>
      <w:r w:rsidRPr="00E310F2">
        <w:rPr>
          <w:vertAlign w:val="subscript"/>
        </w:rPr>
        <w:t>60</w:t>
      </w:r>
      <w:r w:rsidR="00E310F2" w:rsidRPr="00E310F2">
        <w:t> </w:t>
      </w:r>
      <w:r w:rsidRPr="00FC41E5">
        <w:t>│, зарегистрированное на этой фаре</w:t>
      </w:r>
      <w:r w:rsidR="00E310F2">
        <w:t>, не превышает 1,0 </w:t>
      </w:r>
      <w:r w:rsidRPr="00FC41E5">
        <w:t>мрад (Δ</w:t>
      </w:r>
      <w:r w:rsidR="00E310F2">
        <w:t> </w:t>
      </w:r>
      <w:r w:rsidRPr="00FC41E5">
        <w:t>r</w:t>
      </w:r>
      <w:r w:rsidRPr="00FC41E5">
        <w:rPr>
          <w:vertAlign w:val="subscript"/>
        </w:rPr>
        <w:t>1</w:t>
      </w:r>
      <w:r w:rsidR="00E310F2" w:rsidRPr="00E310F2">
        <w:t> </w:t>
      </w:r>
      <w:r w:rsidRPr="00FC41E5">
        <w:t>≤</w:t>
      </w:r>
      <w:r w:rsidR="00E310F2">
        <w:t> 1,0 </w:t>
      </w:r>
      <w:r w:rsidRPr="00FC41E5">
        <w:t>мрад) в направлении вверх и 2,0</w:t>
      </w:r>
      <w:r w:rsidR="00E310F2">
        <w:t> </w:t>
      </w:r>
      <w:r w:rsidRPr="00FC41E5">
        <w:t xml:space="preserve">мрад </w:t>
      </w:r>
      <w:r w:rsidR="00EE6901" w:rsidRPr="00EE6901">
        <w:br/>
      </w:r>
      <w:r w:rsidR="00E310F2">
        <w:t>(Δ </w:t>
      </w:r>
      <w:r w:rsidRPr="00FC41E5">
        <w:t>r</w:t>
      </w:r>
      <w:r w:rsidRPr="00FC41E5">
        <w:rPr>
          <w:vertAlign w:val="subscript"/>
        </w:rPr>
        <w:t>1</w:t>
      </w:r>
      <w:r w:rsidR="00E310F2">
        <w:t> ≤ </w:t>
      </w:r>
      <w:r w:rsidRPr="00FC41E5">
        <w:t>2,0 мрад) в направлении вниз.</w:t>
      </w:r>
    </w:p>
    <w:p w:rsidR="00A6046E" w:rsidRDefault="00A6046E">
      <w:pPr>
        <w:spacing w:line="240" w:lineRule="auto"/>
      </w:pPr>
      <w:r>
        <w:br w:type="page"/>
      </w:r>
    </w:p>
    <w:p w:rsidR="00FC41E5" w:rsidRPr="00FC41E5" w:rsidRDefault="00FC41E5" w:rsidP="00DF54A5">
      <w:pPr>
        <w:pStyle w:val="SingleTxtGR"/>
      </w:pPr>
      <w:r w:rsidRPr="00FC41E5">
        <w:lastRenderedPageBreak/>
        <w:t>2.2.2</w:t>
      </w:r>
      <w:proofErr w:type="gramStart"/>
      <w:r w:rsidRPr="00FC41E5">
        <w:tab/>
      </w:r>
      <w:r w:rsidRPr="00FC41E5">
        <w:tab/>
        <w:t>О</w:t>
      </w:r>
      <w:proofErr w:type="gramEnd"/>
      <w:r w:rsidRPr="00FC41E5">
        <w:t>днако,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0"/>
        <w:gridCol w:w="4870"/>
      </w:tblGrid>
      <w:tr w:rsidR="002B0E96" w:rsidRPr="002B0E96" w:rsidTr="002B0E96">
        <w:tc>
          <w:tcPr>
            <w:tcW w:w="2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41E5" w:rsidRPr="002B0E96" w:rsidRDefault="00FC41E5" w:rsidP="002B0E96">
            <w:pPr>
              <w:spacing w:before="80" w:after="80" w:line="200" w:lineRule="exact"/>
              <w:rPr>
                <w:i/>
                <w:sz w:val="16"/>
              </w:rPr>
            </w:pPr>
            <w:r w:rsidRPr="002B0E96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0" w:type="dxa"/>
            <w:tcBorders>
              <w:bottom w:val="single" w:sz="12" w:space="0" w:color="auto"/>
            </w:tcBorders>
            <w:shd w:val="clear" w:color="auto" w:fill="auto"/>
          </w:tcPr>
          <w:p w:rsidR="00FC41E5" w:rsidRPr="002B0E96" w:rsidRDefault="00FC41E5" w:rsidP="002B0E96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FC41E5" w:rsidRPr="002B0E96" w:rsidTr="002B0E96">
        <w:tc>
          <w:tcPr>
            <w:tcW w:w="2500" w:type="dxa"/>
            <w:tcBorders>
              <w:top w:val="single" w:sz="12" w:space="0" w:color="auto"/>
            </w:tcBorders>
          </w:tcPr>
          <w:p w:rsidR="00FC41E5" w:rsidRPr="002B0E96" w:rsidRDefault="00FC41E5" w:rsidP="002B0E96">
            <w:r w:rsidRPr="002B0E96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0" w:type="dxa"/>
            <w:tcBorders>
              <w:top w:val="single" w:sz="12" w:space="0" w:color="auto"/>
            </w:tcBorders>
          </w:tcPr>
          <w:p w:rsidR="00FC41E5" w:rsidRPr="002B0E96" w:rsidRDefault="00FC41E5" w:rsidP="002B0E96">
            <w:r w:rsidRPr="002B0E96">
              <w:t xml:space="preserve">более 1,0 мрад, но не более 1,5 мрад </w:t>
            </w:r>
            <w:r w:rsidRPr="002B0E96">
              <w:br/>
              <w:t xml:space="preserve">(1,0 мрад &lt; </w:t>
            </w:r>
            <w:proofErr w:type="spellStart"/>
            <w:r w:rsidRPr="002B0E96">
              <w:t>Δr</w:t>
            </w:r>
            <w:r w:rsidRPr="00EC6AD1">
              <w:rPr>
                <w:vertAlign w:val="subscript"/>
              </w:rPr>
              <w:t>I</w:t>
            </w:r>
            <w:proofErr w:type="spellEnd"/>
            <w:r w:rsidRPr="002B0E96">
              <w:t xml:space="preserve"> ≤ 1,5 мрад)</w:t>
            </w:r>
          </w:p>
        </w:tc>
      </w:tr>
      <w:tr w:rsidR="00FC41E5" w:rsidRPr="002B0E96" w:rsidTr="002B0E96">
        <w:tc>
          <w:tcPr>
            <w:tcW w:w="2500" w:type="dxa"/>
          </w:tcPr>
          <w:p w:rsidR="00FC41E5" w:rsidRPr="002B0E96" w:rsidRDefault="00FC41E5" w:rsidP="002B0E96">
            <w:r w:rsidRPr="002B0E96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70" w:type="dxa"/>
          </w:tcPr>
          <w:p w:rsidR="00FC41E5" w:rsidRPr="002B0E96" w:rsidRDefault="00FC41E5" w:rsidP="002B0E96">
            <w:r w:rsidRPr="002B0E96">
              <w:t>более 2,0 мрад, но не более 3,0 мрад</w:t>
            </w:r>
            <w:r w:rsidRPr="002B0E96">
              <w:br/>
              <w:t xml:space="preserve">(2,0 мрад &lt; </w:t>
            </w:r>
            <w:proofErr w:type="spellStart"/>
            <w:r w:rsidRPr="002B0E96">
              <w:t>Δr</w:t>
            </w:r>
            <w:r w:rsidRPr="00EC6AD1">
              <w:rPr>
                <w:vertAlign w:val="subscript"/>
              </w:rPr>
              <w:t>I</w:t>
            </w:r>
            <w:proofErr w:type="spellEnd"/>
            <w:r w:rsidRPr="002B0E96">
              <w:t xml:space="preserve"> ≤ 3,0 мрад)</w:t>
            </w:r>
          </w:p>
        </w:tc>
      </w:tr>
    </w:tbl>
    <w:p w:rsidR="00FC41E5" w:rsidRPr="00A6046E" w:rsidRDefault="00A6046E" w:rsidP="00DE2B1C">
      <w:pPr>
        <w:pStyle w:val="SingleTxtGR"/>
        <w:spacing w:before="120"/>
        <w:ind w:left="2268" w:hanging="1134"/>
        <w:rPr>
          <w:strike/>
        </w:rPr>
      </w:pPr>
      <w:r>
        <w:rPr>
          <w:lang w:val="en-US"/>
        </w:rPr>
        <w:tab/>
      </w:r>
      <w:r>
        <w:rPr>
          <w:lang w:val="en-US"/>
        </w:rPr>
        <w:tab/>
      </w:r>
      <w:r w:rsidR="00FC41E5" w:rsidRPr="00A6046E">
        <w:rPr>
          <w:strike/>
        </w:rPr>
        <w:t>проводят испытание еще одного образца фары в соответствии с предписаниями пункта 2.1 после трехразового последовательного прохождения цикла, указанного ниже, для стабилизации правил</w:t>
      </w:r>
      <w:r w:rsidR="00FC41E5" w:rsidRPr="00A6046E">
        <w:rPr>
          <w:strike/>
        </w:rPr>
        <w:t>ь</w:t>
      </w:r>
      <w:r w:rsidR="00FC41E5" w:rsidRPr="00A6046E">
        <w:rPr>
          <w:strike/>
        </w:rPr>
        <w:t>ного положения механических частей фары, установленной на о</w:t>
      </w:r>
      <w:r w:rsidR="00FC41E5" w:rsidRPr="00A6046E">
        <w:rPr>
          <w:strike/>
        </w:rPr>
        <w:t>с</w:t>
      </w:r>
      <w:r w:rsidR="00FC41E5" w:rsidRPr="00A6046E">
        <w:rPr>
          <w:strike/>
        </w:rPr>
        <w:t>нове в том же положении, в каком она должна устанавливаться на транспортном средстве:</w:t>
      </w:r>
    </w:p>
    <w:p w:rsidR="00FC41E5" w:rsidRPr="00A6046E" w:rsidRDefault="00A6046E" w:rsidP="00A6046E">
      <w:pPr>
        <w:pStyle w:val="SingleTxtGR"/>
        <w:ind w:left="2268" w:hanging="1134"/>
        <w:rPr>
          <w:strike/>
        </w:rPr>
      </w:pPr>
      <w:r w:rsidRPr="00A6046E">
        <w:tab/>
      </w:r>
      <w:r>
        <w:rPr>
          <w:lang w:val="en-US"/>
        </w:rPr>
        <w:tab/>
      </w:r>
      <w:r w:rsidR="00FC41E5" w:rsidRPr="00A6046E">
        <w:rPr>
          <w:strike/>
        </w:rPr>
        <w:t>огонь ближнего света включают на один час (напряжение устана</w:t>
      </w:r>
      <w:r w:rsidR="00FC41E5" w:rsidRPr="00A6046E">
        <w:rPr>
          <w:strike/>
        </w:rPr>
        <w:t>в</w:t>
      </w:r>
      <w:r w:rsidR="00FC41E5" w:rsidRPr="00A6046E">
        <w:rPr>
          <w:strike/>
        </w:rPr>
        <w:t>ливают в соответствии с предписаниями пункта 1.1.1.2),</w:t>
      </w:r>
    </w:p>
    <w:p w:rsidR="00FC41E5" w:rsidRPr="00A6046E" w:rsidRDefault="00FC41E5" w:rsidP="00A6046E">
      <w:pPr>
        <w:pStyle w:val="SingleTxtGR"/>
        <w:ind w:left="2268" w:hanging="1134"/>
        <w:rPr>
          <w:strike/>
        </w:rPr>
      </w:pPr>
      <w:r w:rsidRPr="00FC41E5">
        <w:tab/>
      </w:r>
      <w:r w:rsidR="00A6046E">
        <w:rPr>
          <w:lang w:val="en-US"/>
        </w:rPr>
        <w:tab/>
      </w:r>
      <w:r w:rsidRPr="00A6046E">
        <w:rPr>
          <w:strike/>
        </w:rPr>
        <w:t xml:space="preserve">по истечении одного часа фару этого типа считают приемлемой, если абсолютное значение </w:t>
      </w:r>
      <w:proofErr w:type="spellStart"/>
      <w:r w:rsidRPr="00A6046E">
        <w:rPr>
          <w:strike/>
          <w:lang w:val="en-GB"/>
        </w:rPr>
        <w:t>Δr</w:t>
      </w:r>
      <w:proofErr w:type="spellEnd"/>
      <w:r w:rsidRPr="00A6046E">
        <w:rPr>
          <w:strike/>
        </w:rPr>
        <w:t>, измеренное на данном образце, отв</w:t>
      </w:r>
      <w:r w:rsidRPr="00A6046E">
        <w:rPr>
          <w:strike/>
        </w:rPr>
        <w:t>е</w:t>
      </w:r>
      <w:r w:rsidRPr="00A6046E">
        <w:rPr>
          <w:strike/>
        </w:rPr>
        <w:t>чает требованиям, изложенным в пункте 2.2.1 выше».</w:t>
      </w:r>
    </w:p>
    <w:p w:rsidR="00FC41E5" w:rsidRPr="00FC41E5" w:rsidRDefault="00FC41E5" w:rsidP="00A6046E">
      <w:pPr>
        <w:pStyle w:val="SingleTxtGR"/>
        <w:ind w:left="2268" w:hanging="1134"/>
        <w:rPr>
          <w:b/>
          <w:bCs/>
        </w:rPr>
      </w:pPr>
      <w:r w:rsidRPr="00FC41E5">
        <w:tab/>
      </w:r>
      <w:r w:rsidRPr="00FC41E5">
        <w:tab/>
      </w:r>
      <w:r w:rsidRPr="00FC41E5">
        <w:rPr>
          <w:b/>
          <w:bCs/>
        </w:rPr>
        <w:t>проводят испытание дополнительного образца фары, устано</w:t>
      </w:r>
      <w:r w:rsidRPr="00FC41E5">
        <w:rPr>
          <w:b/>
          <w:bCs/>
        </w:rPr>
        <w:t>в</w:t>
      </w:r>
      <w:r w:rsidRPr="00FC41E5">
        <w:rPr>
          <w:b/>
          <w:bCs/>
        </w:rPr>
        <w:t xml:space="preserve">ленной на </w:t>
      </w:r>
      <w:proofErr w:type="gramStart"/>
      <w:r w:rsidRPr="00FC41E5">
        <w:rPr>
          <w:b/>
          <w:bCs/>
        </w:rPr>
        <w:t>опоре</w:t>
      </w:r>
      <w:proofErr w:type="gramEnd"/>
      <w:r w:rsidRPr="00FC41E5">
        <w:rPr>
          <w:b/>
          <w:bCs/>
        </w:rPr>
        <w:t xml:space="preserve"> таким образом, как ее следует устанавливать на транспортном средстве, в соответствии с предписаниями пункта 2.1 выше после трехразового последовательного пр</w:t>
      </w:r>
      <w:r w:rsidRPr="00FC41E5">
        <w:rPr>
          <w:b/>
          <w:bCs/>
        </w:rPr>
        <w:t>о</w:t>
      </w:r>
      <w:r w:rsidRPr="00FC41E5">
        <w:rPr>
          <w:b/>
          <w:bCs/>
        </w:rPr>
        <w:t>хождения цикла, указанного ниже, для стабилизации правил</w:t>
      </w:r>
      <w:r w:rsidRPr="00FC41E5">
        <w:rPr>
          <w:b/>
          <w:bCs/>
        </w:rPr>
        <w:t>ь</w:t>
      </w:r>
      <w:r w:rsidRPr="00FC41E5">
        <w:rPr>
          <w:b/>
          <w:bCs/>
        </w:rPr>
        <w:t>ного положения механических частей фары:</w:t>
      </w:r>
    </w:p>
    <w:p w:rsidR="00FC41E5" w:rsidRPr="00FC41E5" w:rsidRDefault="00FC41E5" w:rsidP="00682269">
      <w:pPr>
        <w:pStyle w:val="SingleTxtGR"/>
        <w:ind w:left="2835" w:hanging="1701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  <w:t>а)</w:t>
      </w:r>
      <w:r w:rsidRPr="00FC41E5">
        <w:rPr>
          <w:b/>
          <w:bCs/>
        </w:rPr>
        <w:tab/>
        <w:t>включение фары ближнего света на 1 час (напряжение устанавливают в соответствии с предписаниями пун</w:t>
      </w:r>
      <w:r w:rsidRPr="00FC41E5">
        <w:rPr>
          <w:b/>
          <w:bCs/>
        </w:rPr>
        <w:t>к</w:t>
      </w:r>
      <w:r w:rsidRPr="00FC41E5">
        <w:rPr>
          <w:b/>
          <w:bCs/>
        </w:rPr>
        <w:t>та</w:t>
      </w:r>
      <w:r w:rsidR="00682269">
        <w:rPr>
          <w:b/>
          <w:bCs/>
          <w:lang w:val="en-US"/>
        </w:rPr>
        <w:t> </w:t>
      </w:r>
      <w:r w:rsidRPr="00FC41E5">
        <w:rPr>
          <w:b/>
          <w:bCs/>
        </w:rPr>
        <w:t>1.1.1.2);</w:t>
      </w:r>
    </w:p>
    <w:p w:rsidR="00FC41E5" w:rsidRPr="00FC41E5" w:rsidRDefault="00FC41E5" w:rsidP="00A6046E">
      <w:pPr>
        <w:pStyle w:val="SingleTxtGR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</w:r>
      <w:r w:rsidRPr="00FC41E5">
        <w:rPr>
          <w:b/>
          <w:bCs/>
          <w:lang w:val="en-GB"/>
        </w:rPr>
        <w:t>b</w:t>
      </w:r>
      <w:r w:rsidRPr="00FC41E5">
        <w:rPr>
          <w:b/>
          <w:bCs/>
        </w:rPr>
        <w:t>)</w:t>
      </w:r>
      <w:r w:rsidRPr="00FC41E5">
        <w:rPr>
          <w:b/>
          <w:bCs/>
        </w:rPr>
        <w:tab/>
      </w:r>
      <w:proofErr w:type="gramStart"/>
      <w:r w:rsidRPr="00FC41E5">
        <w:rPr>
          <w:b/>
          <w:bCs/>
        </w:rPr>
        <w:t>выключение</w:t>
      </w:r>
      <w:proofErr w:type="gramEnd"/>
      <w:r w:rsidRPr="00FC41E5">
        <w:rPr>
          <w:b/>
          <w:bCs/>
        </w:rPr>
        <w:t xml:space="preserve"> фары на 1 час.</w:t>
      </w:r>
    </w:p>
    <w:p w:rsidR="00FC41E5" w:rsidRPr="00FC41E5" w:rsidRDefault="00682269" w:rsidP="00682269">
      <w:pPr>
        <w:pStyle w:val="SingleTxtGR"/>
        <w:ind w:left="2268" w:hanging="1134"/>
        <w:rPr>
          <w:b/>
        </w:rPr>
      </w:pPr>
      <w:r w:rsidRPr="00C1618F">
        <w:rPr>
          <w:b/>
          <w:bCs/>
        </w:rPr>
        <w:tab/>
      </w:r>
      <w:r w:rsidRPr="00C1618F">
        <w:rPr>
          <w:b/>
          <w:bCs/>
        </w:rPr>
        <w:tab/>
      </w:r>
      <w:r w:rsidR="00FC41E5" w:rsidRPr="00FC41E5">
        <w:rPr>
          <w:b/>
          <w:bCs/>
        </w:rPr>
        <w:t>После этих трех циклов фара данного типа считается приемл</w:t>
      </w:r>
      <w:r w:rsidR="00FC41E5" w:rsidRPr="00FC41E5">
        <w:rPr>
          <w:b/>
          <w:bCs/>
        </w:rPr>
        <w:t>е</w:t>
      </w:r>
      <w:r w:rsidR="00FC41E5" w:rsidRPr="00FC41E5">
        <w:rPr>
          <w:b/>
          <w:bCs/>
        </w:rPr>
        <w:t xml:space="preserve">мой, если абсолютные значения </w:t>
      </w:r>
      <w:proofErr w:type="spellStart"/>
      <w:r w:rsidR="00FC41E5" w:rsidRPr="00FC41E5">
        <w:rPr>
          <w:b/>
          <w:bCs/>
        </w:rPr>
        <w:t>Δr</w:t>
      </w:r>
      <w:proofErr w:type="spellEnd"/>
      <w:r w:rsidR="00FC41E5" w:rsidRPr="00FC41E5">
        <w:rPr>
          <w:b/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="00FC41E5" w:rsidRPr="002B0E96">
        <w:rPr>
          <w:b/>
          <w:bCs/>
        </w:rPr>
        <w:t>».</w:t>
      </w:r>
    </w:p>
    <w:p w:rsidR="00FC41E5" w:rsidRPr="00FC41E5" w:rsidRDefault="00682269" w:rsidP="00682269">
      <w:pPr>
        <w:pStyle w:val="H1GR"/>
      </w:pPr>
      <w:r>
        <w:rPr>
          <w:lang w:val="en-US"/>
        </w:rPr>
        <w:tab/>
      </w:r>
      <w:r w:rsidR="00FC41E5" w:rsidRPr="00FC41E5">
        <w:t>C.</w:t>
      </w:r>
      <w:r w:rsidR="00FC41E5" w:rsidRPr="00FC41E5">
        <w:tab/>
        <w:t xml:space="preserve">Дополнение 7 к поправкам серии 01 к Правилам № 112 </w:t>
      </w:r>
      <w:r w:rsidRPr="00682269">
        <w:br/>
      </w:r>
      <w:r w:rsidR="00FC41E5" w:rsidRPr="00FC41E5">
        <w:t>(фары, испускающие асимметрич</w:t>
      </w:r>
      <w:r w:rsidR="00FF09B7">
        <w:t>ный луч ближнего света)</w:t>
      </w:r>
    </w:p>
    <w:p w:rsidR="00FC41E5" w:rsidRPr="00FC41E5" w:rsidRDefault="00FC41E5" w:rsidP="00A6046E">
      <w:pPr>
        <w:pStyle w:val="SingleTxtGR"/>
      </w:pPr>
      <w:r w:rsidRPr="00FC41E5">
        <w:rPr>
          <w:i/>
          <w:iCs/>
        </w:rPr>
        <w:t>Приложение 4, пункты 2.2.1 и 2.2.2</w:t>
      </w:r>
      <w:r w:rsidRPr="00FC41E5">
        <w:t xml:space="preserve"> изменить следующим образом: </w:t>
      </w:r>
    </w:p>
    <w:p w:rsidR="00FC41E5" w:rsidRPr="00FC41E5" w:rsidRDefault="00682269" w:rsidP="00DC3F7F">
      <w:pPr>
        <w:pStyle w:val="SingleTxtGR"/>
        <w:ind w:left="2268" w:hanging="1134"/>
      </w:pPr>
      <w:r>
        <w:t>«</w:t>
      </w:r>
      <w:r w:rsidR="00C05960">
        <w:t>2.2.1</w:t>
      </w:r>
      <w:r w:rsidR="00C05960">
        <w:tab/>
      </w:r>
      <w:r w:rsidR="00FC41E5" w:rsidRPr="00FC41E5">
        <w:tab/>
        <w:t xml:space="preserve">Результат, выраженный в </w:t>
      </w:r>
      <w:proofErr w:type="spellStart"/>
      <w:r w:rsidR="00FC41E5" w:rsidRPr="00FC41E5">
        <w:t>миллирадианах</w:t>
      </w:r>
      <w:proofErr w:type="spellEnd"/>
      <w:r w:rsidR="00FC41E5" w:rsidRPr="00FC41E5">
        <w:t xml:space="preserve"> (мрад), считают приемл</w:t>
      </w:r>
      <w:r w:rsidR="00FC41E5" w:rsidRPr="00FC41E5">
        <w:t>е</w:t>
      </w:r>
      <w:r w:rsidR="00FC41E5" w:rsidRPr="00FC41E5">
        <w:t xml:space="preserve">мым для фары ближнего света, если абсолютное значение </w:t>
      </w:r>
      <w:r>
        <w:br/>
      </w:r>
      <w:r w:rsidR="00FC41E5" w:rsidRPr="00FC41E5">
        <w:sym w:font="Symbol" w:char="F044"/>
      </w:r>
      <w:r w:rsidR="00FC41E5" w:rsidRPr="00FC41E5">
        <w:t> r</w:t>
      </w:r>
      <w:r w:rsidR="00FC41E5" w:rsidRPr="00FC41E5">
        <w:rPr>
          <w:vertAlign w:val="subscript"/>
        </w:rPr>
        <w:t>1</w:t>
      </w:r>
      <w:r w:rsidR="00DC3F7F" w:rsidRPr="00DC3F7F">
        <w:t> </w:t>
      </w:r>
      <w:r w:rsidR="00DC3F7F">
        <w:t>= </w:t>
      </w:r>
      <w:r w:rsidR="00FC41E5" w:rsidRPr="00FC41E5">
        <w:sym w:font="Symbol" w:char="F0BD"/>
      </w:r>
      <w:r w:rsidR="00DC3F7F">
        <w:t> </w:t>
      </w:r>
      <w:r w:rsidR="00FC41E5" w:rsidRPr="00FC41E5">
        <w:t>r</w:t>
      </w:r>
      <w:r w:rsidR="00FC41E5" w:rsidRPr="00FC41E5">
        <w:rPr>
          <w:vertAlign w:val="subscript"/>
        </w:rPr>
        <w:t>3</w:t>
      </w:r>
      <w:r w:rsidR="00DC3F7F">
        <w:t> – </w:t>
      </w:r>
      <w:r w:rsidR="00FC41E5" w:rsidRPr="00FC41E5">
        <w:t>r</w:t>
      </w:r>
      <w:r w:rsidR="00FC41E5" w:rsidRPr="00FC41E5">
        <w:rPr>
          <w:vertAlign w:val="subscript"/>
        </w:rPr>
        <w:t>60</w:t>
      </w:r>
      <w:r w:rsidR="00DC3F7F">
        <w:t> </w:t>
      </w:r>
      <w:r w:rsidR="00FC41E5" w:rsidRPr="00FC41E5">
        <w:sym w:font="Symbol" w:char="F0BD"/>
      </w:r>
      <w:r w:rsidR="00FC41E5" w:rsidRPr="00FC41E5">
        <w:t xml:space="preserve">, зарегистрированное на этой фаре, </w:t>
      </w:r>
      <w:r w:rsidR="0091454F">
        <w:t>не превышает 1,0 </w:t>
      </w:r>
      <w:r w:rsidR="00DC3F7F">
        <w:t>мрад (Δ </w:t>
      </w:r>
      <w:r w:rsidR="00FC41E5" w:rsidRPr="00FC41E5">
        <w:t>r</w:t>
      </w:r>
      <w:r w:rsidR="00FC41E5" w:rsidRPr="00FC41E5">
        <w:rPr>
          <w:vertAlign w:val="subscript"/>
        </w:rPr>
        <w:t>1</w:t>
      </w:r>
      <w:r w:rsidR="00DC3F7F">
        <w:t> ≤ 1,0 </w:t>
      </w:r>
      <w:r w:rsidR="00FC41E5" w:rsidRPr="00FC41E5">
        <w:t>мрад) в направле</w:t>
      </w:r>
      <w:r w:rsidR="0091454F">
        <w:t>нии вверх и 2,0 </w:t>
      </w:r>
      <w:r w:rsidR="00FC41E5" w:rsidRPr="00FC41E5">
        <w:t xml:space="preserve">мрад </w:t>
      </w:r>
      <w:r>
        <w:br/>
      </w:r>
      <w:r w:rsidR="00DC3F7F">
        <w:t>(Δ </w:t>
      </w:r>
      <w:r w:rsidR="00FC41E5" w:rsidRPr="00FC41E5">
        <w:t>r</w:t>
      </w:r>
      <w:r w:rsidR="00FC41E5" w:rsidRPr="00FC41E5">
        <w:rPr>
          <w:vertAlign w:val="subscript"/>
        </w:rPr>
        <w:t>1</w:t>
      </w:r>
      <w:r w:rsidR="00DC3F7F">
        <w:t> ≤ 2,0 </w:t>
      </w:r>
      <w:r w:rsidR="00FC41E5" w:rsidRPr="00FC41E5">
        <w:t>мрад) в направлении вниз.</w:t>
      </w:r>
    </w:p>
    <w:p w:rsidR="00682269" w:rsidRDefault="00682269">
      <w:pPr>
        <w:spacing w:line="240" w:lineRule="auto"/>
      </w:pPr>
      <w:r>
        <w:br w:type="page"/>
      </w:r>
    </w:p>
    <w:p w:rsidR="00FC41E5" w:rsidRPr="00FC41E5" w:rsidRDefault="00FC41E5" w:rsidP="00A6046E">
      <w:pPr>
        <w:pStyle w:val="SingleTxtGR"/>
      </w:pPr>
      <w:r w:rsidRPr="00FC41E5">
        <w:lastRenderedPageBreak/>
        <w:t>2.2.2</w:t>
      </w:r>
      <w:proofErr w:type="gramStart"/>
      <w:r w:rsidRPr="00FC41E5">
        <w:tab/>
      </w:r>
      <w:r w:rsidRPr="00FC41E5">
        <w:tab/>
        <w:t>О</w:t>
      </w:r>
      <w:proofErr w:type="gramEnd"/>
      <w:r w:rsidRPr="00FC41E5">
        <w:t>днако,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0"/>
        <w:gridCol w:w="4870"/>
      </w:tblGrid>
      <w:tr w:rsidR="00815A3D" w:rsidRPr="00815A3D" w:rsidTr="00815A3D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41E5" w:rsidRPr="00815A3D" w:rsidRDefault="00FC41E5" w:rsidP="00815A3D">
            <w:pPr>
              <w:spacing w:before="80" w:after="80" w:line="200" w:lineRule="exact"/>
              <w:rPr>
                <w:i/>
                <w:sz w:val="16"/>
              </w:rPr>
            </w:pPr>
            <w:r w:rsidRPr="00815A3D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4" w:type="dxa"/>
            <w:tcBorders>
              <w:bottom w:val="single" w:sz="12" w:space="0" w:color="auto"/>
            </w:tcBorders>
            <w:shd w:val="clear" w:color="auto" w:fill="auto"/>
          </w:tcPr>
          <w:p w:rsidR="00FC41E5" w:rsidRPr="00815A3D" w:rsidRDefault="00FC41E5" w:rsidP="00815A3D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FC41E5" w:rsidRPr="00815A3D" w:rsidTr="00815A3D">
        <w:tc>
          <w:tcPr>
            <w:tcW w:w="2127" w:type="dxa"/>
            <w:tcBorders>
              <w:top w:val="single" w:sz="12" w:space="0" w:color="auto"/>
            </w:tcBorders>
          </w:tcPr>
          <w:p w:rsidR="00FC41E5" w:rsidRPr="00815A3D" w:rsidRDefault="00FC41E5" w:rsidP="00815A3D">
            <w:r w:rsidRPr="00815A3D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4" w:type="dxa"/>
            <w:tcBorders>
              <w:top w:val="single" w:sz="12" w:space="0" w:color="auto"/>
            </w:tcBorders>
          </w:tcPr>
          <w:p w:rsidR="00FC41E5" w:rsidRPr="00815A3D" w:rsidRDefault="00FC41E5" w:rsidP="00815A3D">
            <w:r w:rsidRPr="00815A3D">
              <w:t xml:space="preserve">более 1,0 мрад, но не более 1,5 мрад </w:t>
            </w:r>
            <w:r w:rsidRPr="00815A3D">
              <w:br/>
              <w:t xml:space="preserve">(1,0 мрад &lt; </w:t>
            </w:r>
            <w:proofErr w:type="spellStart"/>
            <w:r w:rsidRPr="00815A3D">
              <w:t>Δr</w:t>
            </w:r>
            <w:r w:rsidRPr="00EC6AD1">
              <w:rPr>
                <w:vertAlign w:val="subscript"/>
              </w:rPr>
              <w:t>I</w:t>
            </w:r>
            <w:proofErr w:type="spellEnd"/>
            <w:r w:rsidRPr="00815A3D">
              <w:t xml:space="preserve"> ≤ 1,5 мрад)</w:t>
            </w:r>
          </w:p>
        </w:tc>
      </w:tr>
      <w:tr w:rsidR="00FC41E5" w:rsidRPr="00815A3D" w:rsidTr="00815A3D">
        <w:tc>
          <w:tcPr>
            <w:tcW w:w="2127" w:type="dxa"/>
          </w:tcPr>
          <w:p w:rsidR="00FC41E5" w:rsidRPr="00815A3D" w:rsidRDefault="00FC41E5" w:rsidP="00815A3D">
            <w:r w:rsidRPr="00815A3D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44" w:type="dxa"/>
          </w:tcPr>
          <w:p w:rsidR="00FC41E5" w:rsidRPr="00815A3D" w:rsidRDefault="00FC41E5" w:rsidP="00815A3D">
            <w:r w:rsidRPr="00815A3D">
              <w:t>более 2,0 мрад, но не более 3,0 мрад</w:t>
            </w:r>
            <w:r w:rsidRPr="00815A3D">
              <w:br/>
              <w:t xml:space="preserve">(2,0 мрад &lt; </w:t>
            </w:r>
            <w:proofErr w:type="spellStart"/>
            <w:r w:rsidRPr="00815A3D">
              <w:t>Δr</w:t>
            </w:r>
            <w:r w:rsidRPr="00EC6AD1">
              <w:rPr>
                <w:vertAlign w:val="subscript"/>
              </w:rPr>
              <w:t>I</w:t>
            </w:r>
            <w:proofErr w:type="spellEnd"/>
            <w:r w:rsidRPr="00815A3D">
              <w:t xml:space="preserve"> ≤ 3,0 мрад)</w:t>
            </w:r>
          </w:p>
        </w:tc>
      </w:tr>
    </w:tbl>
    <w:p w:rsidR="00FC41E5" w:rsidRPr="00F72A84" w:rsidRDefault="00F72A84" w:rsidP="00F72A84">
      <w:pPr>
        <w:pStyle w:val="SingleTxtGR"/>
        <w:spacing w:before="120"/>
        <w:ind w:left="2268" w:hanging="1134"/>
        <w:rPr>
          <w:strike/>
        </w:rPr>
      </w:pPr>
      <w:r>
        <w:tab/>
      </w:r>
      <w:r>
        <w:tab/>
      </w:r>
      <w:r w:rsidR="00FC41E5" w:rsidRPr="00F72A84">
        <w:rPr>
          <w:strike/>
        </w:rPr>
        <w:t>то проводят испытание второго образца фары в соответствии с пунктом 2.1 после трехразового последовательного прохождения цикла, указанного ниже, для стабилизации правильного положения механических частей фары, установленной на основе в таком же положении, в каком она должна устанавливаться на транспортном средстве:</w:t>
      </w:r>
    </w:p>
    <w:p w:rsidR="00FC41E5" w:rsidRPr="00F72A84" w:rsidRDefault="00FC41E5" w:rsidP="00F72A84">
      <w:pPr>
        <w:pStyle w:val="SingleTxtGR"/>
        <w:ind w:left="2268" w:hanging="1134"/>
        <w:rPr>
          <w:strike/>
        </w:rPr>
      </w:pPr>
      <w:r w:rsidRPr="00FC41E5">
        <w:tab/>
      </w:r>
      <w:r w:rsidRPr="00FC41E5">
        <w:tab/>
      </w:r>
      <w:r w:rsidRPr="00F72A84">
        <w:rPr>
          <w:strike/>
        </w:rPr>
        <w:t>включение огня ближнего света на один час (напряжение устана</w:t>
      </w:r>
      <w:r w:rsidRPr="00F72A84">
        <w:rPr>
          <w:strike/>
        </w:rPr>
        <w:t>в</w:t>
      </w:r>
      <w:r w:rsidRPr="00F72A84">
        <w:rPr>
          <w:strike/>
        </w:rPr>
        <w:t>ливается в соответствии с пунктом 1.1.1.2),</w:t>
      </w:r>
    </w:p>
    <w:p w:rsidR="00FC41E5" w:rsidRPr="00F72A84" w:rsidRDefault="00FC41E5" w:rsidP="00F72A84">
      <w:pPr>
        <w:pStyle w:val="SingleTxtGR"/>
        <w:ind w:left="2268" w:hanging="1134"/>
        <w:rPr>
          <w:strike/>
        </w:rPr>
      </w:pPr>
      <w:r w:rsidRPr="00FC41E5">
        <w:tab/>
      </w:r>
      <w:r w:rsidRPr="00FC41E5">
        <w:tab/>
      </w:r>
      <w:r w:rsidRPr="00F72A84">
        <w:rPr>
          <w:strike/>
        </w:rPr>
        <w:t xml:space="preserve">через час фара этого типа считается приемлемой, если абсолютное значение </w:t>
      </w:r>
      <w:proofErr w:type="spellStart"/>
      <w:r w:rsidRPr="00F72A84">
        <w:rPr>
          <w:strike/>
          <w:lang w:val="en-GB"/>
        </w:rPr>
        <w:t>Δr</w:t>
      </w:r>
      <w:proofErr w:type="spellEnd"/>
      <w:r w:rsidRPr="00F72A84">
        <w:rPr>
          <w:strike/>
        </w:rPr>
        <w:t>, измерен</w:t>
      </w:r>
      <w:r w:rsidRPr="00F72A84">
        <w:rPr>
          <w:bCs/>
          <w:strike/>
        </w:rPr>
        <w:t>ное на этом образце, отвечает требованиям, изложенным в пункте 2.2.1 выше</w:t>
      </w:r>
      <w:r w:rsidR="00815A3D">
        <w:rPr>
          <w:bCs/>
          <w:strike/>
        </w:rPr>
        <w:t>»</w:t>
      </w:r>
      <w:r w:rsidRPr="00F72A84">
        <w:rPr>
          <w:strike/>
        </w:rPr>
        <w:t>.</w:t>
      </w:r>
    </w:p>
    <w:p w:rsidR="00FC41E5" w:rsidRPr="00FC41E5" w:rsidRDefault="00FC41E5" w:rsidP="00F72A84">
      <w:pPr>
        <w:pStyle w:val="SingleTxtGR"/>
        <w:ind w:left="2268" w:hanging="1134"/>
        <w:rPr>
          <w:b/>
          <w:bCs/>
        </w:rPr>
      </w:pPr>
      <w:r w:rsidRPr="00FC41E5">
        <w:tab/>
      </w:r>
      <w:r w:rsidRPr="00FC41E5">
        <w:tab/>
      </w:r>
      <w:r w:rsidRPr="00FC41E5">
        <w:rPr>
          <w:b/>
          <w:bCs/>
        </w:rPr>
        <w:t>проводят испытание дополнительного образца фары, устано</w:t>
      </w:r>
      <w:r w:rsidRPr="00FC41E5">
        <w:rPr>
          <w:b/>
          <w:bCs/>
        </w:rPr>
        <w:t>в</w:t>
      </w:r>
      <w:r w:rsidRPr="00FC41E5">
        <w:rPr>
          <w:b/>
          <w:bCs/>
        </w:rPr>
        <w:t xml:space="preserve">ленной на </w:t>
      </w:r>
      <w:proofErr w:type="gramStart"/>
      <w:r w:rsidRPr="00FC41E5">
        <w:rPr>
          <w:b/>
          <w:bCs/>
        </w:rPr>
        <w:t>опоре</w:t>
      </w:r>
      <w:proofErr w:type="gramEnd"/>
      <w:r w:rsidRPr="00FC41E5">
        <w:rPr>
          <w:b/>
          <w:bCs/>
        </w:rPr>
        <w:t xml:space="preserve"> таким образом, как ее следует устанавливать на транспортном средстве, в соответствии с предписаниями пункта 2.1 выше после трехразового последовательного пр</w:t>
      </w:r>
      <w:r w:rsidRPr="00FC41E5">
        <w:rPr>
          <w:b/>
          <w:bCs/>
        </w:rPr>
        <w:t>о</w:t>
      </w:r>
      <w:r w:rsidRPr="00FC41E5">
        <w:rPr>
          <w:b/>
          <w:bCs/>
        </w:rPr>
        <w:t>хождения цикла, указанного ниже, для стабилизации правил</w:t>
      </w:r>
      <w:r w:rsidRPr="00FC41E5">
        <w:rPr>
          <w:b/>
          <w:bCs/>
        </w:rPr>
        <w:t>ь</w:t>
      </w:r>
      <w:r w:rsidRPr="00FC41E5">
        <w:rPr>
          <w:b/>
          <w:bCs/>
        </w:rPr>
        <w:t>ного положения механических частей фары:</w:t>
      </w:r>
    </w:p>
    <w:p w:rsidR="00FC41E5" w:rsidRPr="00FC41E5" w:rsidRDefault="00FC41E5" w:rsidP="00F72A84">
      <w:pPr>
        <w:pStyle w:val="SingleTxtGR"/>
        <w:ind w:left="2835" w:hanging="1701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  <w:t>а)</w:t>
      </w:r>
      <w:r w:rsidRPr="00FC41E5">
        <w:rPr>
          <w:b/>
          <w:bCs/>
        </w:rPr>
        <w:tab/>
        <w:t>включение фары ближнего света на 1 час (напряжение устанавливают в соответ</w:t>
      </w:r>
      <w:r w:rsidR="00F72A84">
        <w:rPr>
          <w:b/>
          <w:bCs/>
        </w:rPr>
        <w:t>ствии с предписаниями пун</w:t>
      </w:r>
      <w:r w:rsidR="00F72A84">
        <w:rPr>
          <w:b/>
          <w:bCs/>
        </w:rPr>
        <w:t>к</w:t>
      </w:r>
      <w:r w:rsidR="00F72A84">
        <w:rPr>
          <w:b/>
          <w:bCs/>
        </w:rPr>
        <w:t>та </w:t>
      </w:r>
      <w:r w:rsidRPr="00FC41E5">
        <w:rPr>
          <w:b/>
          <w:bCs/>
        </w:rPr>
        <w:t>1.1.1.2);</w:t>
      </w:r>
    </w:p>
    <w:p w:rsidR="00FC41E5" w:rsidRPr="00FC41E5" w:rsidRDefault="00FC41E5" w:rsidP="00F72A84">
      <w:pPr>
        <w:pStyle w:val="SingleTxtGR"/>
        <w:ind w:left="2268" w:hanging="1134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</w:r>
      <w:r w:rsidRPr="00FC41E5">
        <w:rPr>
          <w:b/>
          <w:bCs/>
          <w:lang w:val="en-GB"/>
        </w:rPr>
        <w:t>b</w:t>
      </w:r>
      <w:r w:rsidRPr="00FC41E5">
        <w:rPr>
          <w:b/>
          <w:bCs/>
        </w:rPr>
        <w:t>)</w:t>
      </w:r>
      <w:r w:rsidRPr="00FC41E5">
        <w:rPr>
          <w:b/>
          <w:bCs/>
        </w:rPr>
        <w:tab/>
      </w:r>
      <w:proofErr w:type="gramStart"/>
      <w:r w:rsidRPr="00FC41E5">
        <w:rPr>
          <w:b/>
          <w:bCs/>
        </w:rPr>
        <w:t>выключение</w:t>
      </w:r>
      <w:proofErr w:type="gramEnd"/>
      <w:r w:rsidRPr="00FC41E5">
        <w:rPr>
          <w:b/>
          <w:bCs/>
        </w:rPr>
        <w:t xml:space="preserve"> фары на 1 час.</w:t>
      </w:r>
    </w:p>
    <w:p w:rsidR="00FC41E5" w:rsidRPr="00FC41E5" w:rsidRDefault="00F72A84" w:rsidP="00F72A84">
      <w:pPr>
        <w:pStyle w:val="SingleTxtGR"/>
        <w:ind w:left="2268" w:hanging="1134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C41E5" w:rsidRPr="00FC41E5">
        <w:rPr>
          <w:b/>
          <w:bCs/>
        </w:rPr>
        <w:t>После этих трех циклов фара данного типа считается приемл</w:t>
      </w:r>
      <w:r w:rsidR="00FC41E5" w:rsidRPr="00FC41E5">
        <w:rPr>
          <w:b/>
          <w:bCs/>
        </w:rPr>
        <w:t>е</w:t>
      </w:r>
      <w:r w:rsidR="00FC41E5" w:rsidRPr="00FC41E5">
        <w:rPr>
          <w:b/>
          <w:bCs/>
        </w:rPr>
        <w:t xml:space="preserve">мой, если абсолютные значения </w:t>
      </w:r>
      <w:proofErr w:type="spellStart"/>
      <w:r w:rsidR="00FC41E5" w:rsidRPr="00FC41E5">
        <w:rPr>
          <w:b/>
          <w:bCs/>
        </w:rPr>
        <w:t>Δr</w:t>
      </w:r>
      <w:proofErr w:type="spellEnd"/>
      <w:r w:rsidR="00FC41E5" w:rsidRPr="00FC41E5">
        <w:rPr>
          <w:b/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="00FC41E5" w:rsidRPr="00815A3D">
        <w:rPr>
          <w:b/>
          <w:bCs/>
        </w:rPr>
        <w:t>».</w:t>
      </w:r>
    </w:p>
    <w:p w:rsidR="00FC41E5" w:rsidRPr="00FC41E5" w:rsidRDefault="00F72A84" w:rsidP="00F72A84">
      <w:pPr>
        <w:pStyle w:val="H1GR"/>
      </w:pPr>
      <w:r>
        <w:tab/>
      </w:r>
      <w:r w:rsidR="00FC41E5" w:rsidRPr="00FC41E5">
        <w:t>D.</w:t>
      </w:r>
      <w:r w:rsidR="00FC41E5" w:rsidRPr="00FC41E5">
        <w:tab/>
        <w:t xml:space="preserve">Дополнение 6 к поправкам серии 01 к Правилам № 113 </w:t>
      </w:r>
      <w:r>
        <w:br/>
      </w:r>
      <w:r w:rsidR="00FC41E5" w:rsidRPr="00FC41E5">
        <w:t>(фары, испускающие симметричный луч ближнего света)</w:t>
      </w:r>
    </w:p>
    <w:p w:rsidR="00FC41E5" w:rsidRPr="00FC41E5" w:rsidRDefault="00FC41E5" w:rsidP="00682269">
      <w:pPr>
        <w:pStyle w:val="SingleTxtGR"/>
      </w:pPr>
      <w:r w:rsidRPr="00FC41E5">
        <w:rPr>
          <w:i/>
          <w:iCs/>
        </w:rPr>
        <w:t>Приложение 4, пункт 2.2</w:t>
      </w:r>
      <w:r w:rsidRPr="00FC41E5">
        <w:t xml:space="preserve"> изменить следующим образом:</w:t>
      </w:r>
    </w:p>
    <w:p w:rsidR="00FC41E5" w:rsidRPr="00FC41E5" w:rsidRDefault="00E57DC2" w:rsidP="00682269">
      <w:pPr>
        <w:pStyle w:val="SingleTxtGR"/>
      </w:pPr>
      <w:r>
        <w:t>«</w:t>
      </w:r>
      <w:r w:rsidR="00FC41E5" w:rsidRPr="00FC41E5">
        <w:t>2.2</w:t>
      </w:r>
      <w:r w:rsidR="00FC41E5" w:rsidRPr="00FC41E5">
        <w:tab/>
      </w:r>
      <w:r w:rsidR="00FC41E5" w:rsidRPr="00FC41E5">
        <w:tab/>
        <w:t>Результаты испытаний</w:t>
      </w:r>
    </w:p>
    <w:p w:rsidR="00FC41E5" w:rsidRPr="00FC41E5" w:rsidRDefault="00FC41E5" w:rsidP="00507DE7">
      <w:pPr>
        <w:pStyle w:val="SingleTxtGR"/>
        <w:ind w:left="2268" w:hanging="1134"/>
      </w:pPr>
      <w:r w:rsidRPr="00FC41E5">
        <w:t>2.2.1</w:t>
      </w:r>
      <w:r w:rsidRPr="00FC41E5">
        <w:tab/>
      </w:r>
      <w:r w:rsidRPr="00FC41E5">
        <w:tab/>
        <w:t xml:space="preserve">Результат в </w:t>
      </w:r>
      <w:proofErr w:type="spellStart"/>
      <w:r w:rsidRPr="00FC41E5">
        <w:t>миллирадианах</w:t>
      </w:r>
      <w:proofErr w:type="spellEnd"/>
      <w:r w:rsidRPr="00FC41E5">
        <w:t xml:space="preserve"> (мрад) считают приемлемым для фары, создающей луч ближнего света, только в том случае, если абсолю</w:t>
      </w:r>
      <w:r w:rsidRPr="00FC41E5">
        <w:t>т</w:t>
      </w:r>
      <w:r w:rsidRPr="00FC41E5">
        <w:t>ное значение ∆</w:t>
      </w:r>
      <w:proofErr w:type="spellStart"/>
      <w:r w:rsidRPr="00FC41E5">
        <w:rPr>
          <w:lang w:val="en-GB"/>
        </w:rPr>
        <w:t>r</w:t>
      </w:r>
      <w:r w:rsidRPr="00FC41E5">
        <w:rPr>
          <w:vertAlign w:val="subscript"/>
          <w:lang w:val="en-GB"/>
        </w:rPr>
        <w:t>I</w:t>
      </w:r>
      <w:proofErr w:type="spellEnd"/>
      <w:r w:rsidRPr="00FC41E5">
        <w:rPr>
          <w:lang w:val="en-GB"/>
        </w:rPr>
        <w:t> </w:t>
      </w:r>
      <w:r w:rsidRPr="00FC41E5">
        <w:t>=</w:t>
      </w:r>
      <w:r w:rsidRPr="00FC41E5">
        <w:rPr>
          <w:lang w:val="en-GB"/>
        </w:rPr>
        <w:t> </w:t>
      </w:r>
      <w:r w:rsidRPr="00FC41E5">
        <w:t>|</w:t>
      </w:r>
      <w:r w:rsidRPr="00FC41E5">
        <w:rPr>
          <w:lang w:val="en-GB"/>
        </w:rPr>
        <w:t> r</w:t>
      </w:r>
      <w:r w:rsidRPr="00FC41E5">
        <w:rPr>
          <w:vertAlign w:val="subscript"/>
        </w:rPr>
        <w:t>3</w:t>
      </w:r>
      <w:r w:rsidRPr="00FC41E5">
        <w:rPr>
          <w:lang w:val="en-GB"/>
        </w:rPr>
        <w:t> </w:t>
      </w:r>
      <w:r w:rsidRPr="00FC41E5">
        <w:t>−</w:t>
      </w:r>
      <w:r w:rsidRPr="00FC41E5">
        <w:rPr>
          <w:lang w:val="en-GB"/>
        </w:rPr>
        <w:t> r</w:t>
      </w:r>
      <w:r w:rsidRPr="00FC41E5">
        <w:rPr>
          <w:vertAlign w:val="subscript"/>
        </w:rPr>
        <w:t>60</w:t>
      </w:r>
      <w:r w:rsidRPr="00FC41E5">
        <w:rPr>
          <w:lang w:val="en-GB"/>
        </w:rPr>
        <w:t> </w:t>
      </w:r>
      <w:r w:rsidRPr="00FC41E5">
        <w:t>|, зарегистрированное на этой фаре, не превышает 1,0 мрад (Δ</w:t>
      </w:r>
      <w:r w:rsidR="00EC6AD1">
        <w:t> </w:t>
      </w:r>
      <w:r w:rsidRPr="00FC41E5">
        <w:t>r</w:t>
      </w:r>
      <w:r w:rsidRPr="00FC41E5">
        <w:rPr>
          <w:vertAlign w:val="subscript"/>
        </w:rPr>
        <w:t>1</w:t>
      </w:r>
      <w:r w:rsidR="00EC6AD1">
        <w:t> ≤ </w:t>
      </w:r>
      <w:r w:rsidRPr="00FC41E5">
        <w:t>1,0 мрад)</w:t>
      </w:r>
      <w:r w:rsidRPr="00FC41E5">
        <w:rPr>
          <w:b/>
          <w:bCs/>
        </w:rPr>
        <w:t xml:space="preserve"> в направлении вверх и </w:t>
      </w:r>
      <w:r w:rsidR="00E57DC2">
        <w:rPr>
          <w:b/>
          <w:bCs/>
        </w:rPr>
        <w:br/>
      </w:r>
      <w:r w:rsidRPr="00FC41E5">
        <w:rPr>
          <w:b/>
          <w:bCs/>
        </w:rPr>
        <w:t>2,0 мрад (Δ r</w:t>
      </w:r>
      <w:r w:rsidRPr="00FC41E5">
        <w:rPr>
          <w:b/>
          <w:bCs/>
          <w:vertAlign w:val="subscript"/>
        </w:rPr>
        <w:t>1</w:t>
      </w:r>
      <w:r w:rsidRPr="00FC41E5">
        <w:rPr>
          <w:b/>
          <w:bCs/>
        </w:rPr>
        <w:t xml:space="preserve"> ≤ 2,0 мрад) в направлении вниз</w:t>
      </w:r>
      <w:r w:rsidR="00507DE7" w:rsidRPr="00507DE7">
        <w:t>»</w:t>
      </w:r>
      <w:r w:rsidRPr="00507DE7">
        <w:t xml:space="preserve">. </w:t>
      </w:r>
    </w:p>
    <w:p w:rsidR="00E57DC2" w:rsidRDefault="00E57DC2">
      <w:pPr>
        <w:spacing w:line="240" w:lineRule="auto"/>
      </w:pPr>
      <w:r>
        <w:br w:type="page"/>
      </w:r>
    </w:p>
    <w:p w:rsidR="00FC41E5" w:rsidRPr="00FC41E5" w:rsidRDefault="00FC41E5" w:rsidP="00677FB1">
      <w:pPr>
        <w:pStyle w:val="SingleTxtGR"/>
        <w:ind w:left="2268" w:hanging="1134"/>
      </w:pPr>
      <w:r w:rsidRPr="00FC41E5">
        <w:lastRenderedPageBreak/>
        <w:t>2.2.2</w:t>
      </w:r>
      <w:proofErr w:type="gramStart"/>
      <w:r w:rsidRPr="00FC41E5">
        <w:tab/>
      </w:r>
      <w:r w:rsidRPr="00FC41E5">
        <w:tab/>
        <w:t>О</w:t>
      </w:r>
      <w:proofErr w:type="gramEnd"/>
      <w:r w:rsidRPr="00FC41E5">
        <w:t xml:space="preserve">днако если это значение составляет </w:t>
      </w:r>
      <w:r w:rsidRPr="00677FB1">
        <w:rPr>
          <w:strike/>
        </w:rPr>
        <w:t xml:space="preserve">более 1,0 мрад, но не более 1,5 мрад (1,0 мрад &lt; </w:t>
      </w:r>
      <w:r w:rsidRPr="00677FB1">
        <w:rPr>
          <w:strike/>
          <w:lang w:val="en-GB"/>
        </w:rPr>
        <w:sym w:font="Symbol" w:char="F044"/>
      </w:r>
      <w:proofErr w:type="spellStart"/>
      <w:r w:rsidRPr="00677FB1">
        <w:rPr>
          <w:strike/>
          <w:lang w:val="en-GB"/>
        </w:rPr>
        <w:t>r</w:t>
      </w:r>
      <w:r w:rsidRPr="00677FB1">
        <w:rPr>
          <w:strike/>
          <w:vertAlign w:val="subscript"/>
          <w:lang w:val="en-GB"/>
        </w:rPr>
        <w:t>I</w:t>
      </w:r>
      <w:proofErr w:type="spellEnd"/>
      <w:r w:rsidRPr="00677FB1">
        <w:rPr>
          <w:strike/>
        </w:rPr>
        <w:t xml:space="preserve"> </w:t>
      </w:r>
      <w:r w:rsidRPr="00677FB1">
        <w:rPr>
          <w:strike/>
          <w:lang w:val="en-GB"/>
        </w:rPr>
        <w:sym w:font="Symbol" w:char="F0A3"/>
      </w:r>
      <w:r w:rsidRPr="00677FB1">
        <w:rPr>
          <w:strike/>
        </w:rPr>
        <w:t xml:space="preserve"> 1,5 мрад)</w:t>
      </w:r>
      <w:r w:rsidRPr="00FC41E5">
        <w:t>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505"/>
        <w:gridCol w:w="4865"/>
      </w:tblGrid>
      <w:tr w:rsidR="000E4FE0" w:rsidRPr="000E4FE0" w:rsidTr="000E4FE0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41E5" w:rsidRPr="000E4FE0" w:rsidRDefault="00FC41E5" w:rsidP="000E4FE0">
            <w:pPr>
              <w:spacing w:before="80" w:after="80" w:line="200" w:lineRule="exact"/>
              <w:rPr>
                <w:b/>
                <w:bCs/>
                <w:i/>
                <w:sz w:val="16"/>
              </w:rPr>
            </w:pPr>
            <w:r w:rsidRPr="000E4FE0">
              <w:rPr>
                <w:b/>
                <w:bCs/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  <w:tcBorders>
              <w:bottom w:val="single" w:sz="12" w:space="0" w:color="auto"/>
            </w:tcBorders>
            <w:shd w:val="clear" w:color="auto" w:fill="auto"/>
          </w:tcPr>
          <w:p w:rsidR="00FC41E5" w:rsidRPr="000E4FE0" w:rsidRDefault="00FC41E5" w:rsidP="000E4FE0">
            <w:pPr>
              <w:spacing w:before="80" w:after="80" w:line="200" w:lineRule="exact"/>
              <w:rPr>
                <w:b/>
                <w:bCs/>
                <w:i/>
                <w:sz w:val="16"/>
              </w:rPr>
            </w:pPr>
          </w:p>
        </w:tc>
      </w:tr>
      <w:tr w:rsidR="00FC41E5" w:rsidRPr="000E4FE0" w:rsidTr="000E4FE0">
        <w:tc>
          <w:tcPr>
            <w:tcW w:w="2127" w:type="dxa"/>
            <w:tcBorders>
              <w:top w:val="single" w:sz="12" w:space="0" w:color="auto"/>
            </w:tcBorders>
          </w:tcPr>
          <w:p w:rsidR="00FC41E5" w:rsidRPr="000E4FE0" w:rsidRDefault="00FC41E5" w:rsidP="000E4FE0">
            <w:pPr>
              <w:rPr>
                <w:b/>
                <w:bCs/>
              </w:rPr>
            </w:pPr>
            <w:r w:rsidRPr="000E4FE0">
              <w:rPr>
                <w:b/>
                <w:bCs/>
              </w:rPr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  <w:tcBorders>
              <w:top w:val="single" w:sz="12" w:space="0" w:color="auto"/>
            </w:tcBorders>
          </w:tcPr>
          <w:p w:rsidR="00FC41E5" w:rsidRPr="000E4FE0" w:rsidRDefault="00FC41E5" w:rsidP="000E4FE0">
            <w:pPr>
              <w:rPr>
                <w:b/>
                <w:bCs/>
              </w:rPr>
            </w:pPr>
            <w:r w:rsidRPr="000E4FE0">
              <w:rPr>
                <w:b/>
                <w:bCs/>
              </w:rPr>
              <w:t xml:space="preserve">более 1,0 мрад, но не более 1,5 мрад </w:t>
            </w:r>
            <w:r w:rsidRPr="000E4FE0">
              <w:rPr>
                <w:b/>
                <w:bCs/>
              </w:rPr>
              <w:br/>
              <w:t xml:space="preserve">(1,0 мрад &lt; </w:t>
            </w:r>
            <w:proofErr w:type="spellStart"/>
            <w:r w:rsidRPr="000E4FE0">
              <w:rPr>
                <w:b/>
                <w:bCs/>
              </w:rPr>
              <w:t>Δr</w:t>
            </w:r>
            <w:r w:rsidRPr="00EC6AD1">
              <w:rPr>
                <w:b/>
                <w:bCs/>
                <w:vertAlign w:val="subscript"/>
              </w:rPr>
              <w:t>I</w:t>
            </w:r>
            <w:proofErr w:type="spellEnd"/>
            <w:r w:rsidRPr="000E4FE0">
              <w:rPr>
                <w:b/>
                <w:bCs/>
              </w:rPr>
              <w:t xml:space="preserve"> ≤ 1,5 мрад)</w:t>
            </w:r>
          </w:p>
        </w:tc>
      </w:tr>
      <w:tr w:rsidR="00FC41E5" w:rsidRPr="000E4FE0" w:rsidTr="000E4FE0">
        <w:tc>
          <w:tcPr>
            <w:tcW w:w="2127" w:type="dxa"/>
          </w:tcPr>
          <w:p w:rsidR="00FC41E5" w:rsidRPr="000E4FE0" w:rsidRDefault="00FC41E5" w:rsidP="000E4FE0">
            <w:pPr>
              <w:rPr>
                <w:b/>
                <w:bCs/>
              </w:rPr>
            </w:pPr>
            <w:r w:rsidRPr="000E4FE0">
              <w:rPr>
                <w:b/>
                <w:bCs/>
              </w:rPr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30" w:type="dxa"/>
          </w:tcPr>
          <w:p w:rsidR="00FC41E5" w:rsidRPr="000E4FE0" w:rsidRDefault="00FC41E5" w:rsidP="000E4FE0">
            <w:pPr>
              <w:rPr>
                <w:b/>
                <w:bCs/>
              </w:rPr>
            </w:pPr>
            <w:r w:rsidRPr="000E4FE0">
              <w:rPr>
                <w:b/>
                <w:bCs/>
              </w:rPr>
              <w:t>более 2,0 мрад, но не более 3,0 мрад</w:t>
            </w:r>
            <w:r w:rsidRPr="000E4FE0">
              <w:rPr>
                <w:b/>
                <w:bCs/>
              </w:rPr>
              <w:br/>
              <w:t xml:space="preserve">(2,0 мрад &lt; </w:t>
            </w:r>
            <w:proofErr w:type="spellStart"/>
            <w:r w:rsidRPr="000E4FE0">
              <w:rPr>
                <w:b/>
                <w:bCs/>
              </w:rPr>
              <w:t>Δr</w:t>
            </w:r>
            <w:r w:rsidRPr="00EC6AD1">
              <w:rPr>
                <w:b/>
                <w:bCs/>
                <w:vertAlign w:val="subscript"/>
              </w:rPr>
              <w:t>I</w:t>
            </w:r>
            <w:proofErr w:type="spellEnd"/>
            <w:r w:rsidRPr="000E4FE0">
              <w:rPr>
                <w:b/>
                <w:bCs/>
              </w:rPr>
              <w:t xml:space="preserve"> ≤ 3,0 мрад)</w:t>
            </w:r>
          </w:p>
        </w:tc>
      </w:tr>
    </w:tbl>
    <w:p w:rsidR="00FC41E5" w:rsidRPr="00A66113" w:rsidRDefault="00FC41E5" w:rsidP="00A66113">
      <w:pPr>
        <w:pStyle w:val="SingleTxtGR"/>
        <w:spacing w:before="120"/>
        <w:ind w:left="2268" w:hanging="1134"/>
        <w:rPr>
          <w:strike/>
        </w:rPr>
      </w:pPr>
      <w:r w:rsidRPr="00FC41E5">
        <w:tab/>
      </w:r>
      <w:r w:rsidR="00A66113">
        <w:tab/>
      </w:r>
      <w:r w:rsidRPr="00FC41E5">
        <w:t>проводят испытание</w:t>
      </w:r>
      <w:r w:rsidRPr="00FC41E5">
        <w:rPr>
          <w:b/>
          <w:bCs/>
        </w:rPr>
        <w:t xml:space="preserve"> </w:t>
      </w:r>
      <w:r w:rsidRPr="00504AFB">
        <w:rPr>
          <w:strike/>
        </w:rPr>
        <w:t>второй</w:t>
      </w:r>
      <w:r w:rsidRPr="00FC41E5">
        <w:rPr>
          <w:b/>
          <w:bCs/>
        </w:rPr>
        <w:t xml:space="preserve"> дополнительного образца </w:t>
      </w:r>
      <w:r w:rsidRPr="00FC41E5">
        <w:t>фары</w:t>
      </w:r>
      <w:r w:rsidRPr="00FC41E5">
        <w:rPr>
          <w:b/>
          <w:bCs/>
        </w:rPr>
        <w:t xml:space="preserve">, установленной на </w:t>
      </w:r>
      <w:proofErr w:type="gramStart"/>
      <w:r w:rsidRPr="00FC41E5">
        <w:rPr>
          <w:b/>
          <w:bCs/>
        </w:rPr>
        <w:t>опоре</w:t>
      </w:r>
      <w:proofErr w:type="gramEnd"/>
      <w:r w:rsidRPr="00FC41E5">
        <w:rPr>
          <w:b/>
          <w:bCs/>
        </w:rPr>
        <w:t xml:space="preserve"> таким образом, как ее следует устана</w:t>
      </w:r>
      <w:r w:rsidRPr="00FC41E5">
        <w:rPr>
          <w:b/>
          <w:bCs/>
        </w:rPr>
        <w:t>в</w:t>
      </w:r>
      <w:r w:rsidRPr="00FC41E5">
        <w:rPr>
          <w:b/>
          <w:bCs/>
        </w:rPr>
        <w:t xml:space="preserve">ливать на транспортном средстве, </w:t>
      </w:r>
      <w:r w:rsidRPr="00FC41E5">
        <w:t>в соответствии с предписан</w:t>
      </w:r>
      <w:r w:rsidRPr="00FC41E5">
        <w:t>и</w:t>
      </w:r>
      <w:r w:rsidRPr="00FC41E5">
        <w:t>ями пункта 2.1 выше после трехразового последовательного пр</w:t>
      </w:r>
      <w:r w:rsidRPr="00FC41E5">
        <w:t>о</w:t>
      </w:r>
      <w:r w:rsidRPr="00FC41E5">
        <w:t>хождения цикла, указанного ниже, для стабилизации правильного положения механических частей фары:</w:t>
      </w:r>
      <w:r w:rsidRPr="00FC41E5">
        <w:rPr>
          <w:b/>
          <w:bCs/>
        </w:rPr>
        <w:t xml:space="preserve"> </w:t>
      </w:r>
      <w:r w:rsidRPr="00A66113">
        <w:rPr>
          <w:strike/>
        </w:rPr>
        <w:t>установленной на основе таким образом, как ее следует устанавливать на транспортном средстве:</w:t>
      </w:r>
    </w:p>
    <w:p w:rsidR="00FC41E5" w:rsidRPr="003C4681" w:rsidRDefault="00FC41E5" w:rsidP="00A66113">
      <w:pPr>
        <w:pStyle w:val="SingleTxtGR"/>
        <w:ind w:left="2268" w:hanging="1134"/>
        <w:rPr>
          <w:strike/>
        </w:rPr>
      </w:pPr>
      <w:r w:rsidRPr="00FC41E5">
        <w:tab/>
      </w:r>
      <w:r w:rsidRPr="00FC41E5">
        <w:tab/>
      </w:r>
      <w:r w:rsidRPr="003C4681">
        <w:rPr>
          <w:strike/>
        </w:rPr>
        <w:t>Включение огня ближнего света на один час (напряжение устана</w:t>
      </w:r>
      <w:r w:rsidRPr="003C4681">
        <w:rPr>
          <w:strike/>
        </w:rPr>
        <w:t>в</w:t>
      </w:r>
      <w:r w:rsidRPr="003C4681">
        <w:rPr>
          <w:strike/>
        </w:rPr>
        <w:t>ливается в соответствии с пунктом 1.1.1.2).</w:t>
      </w:r>
    </w:p>
    <w:p w:rsidR="00FC41E5" w:rsidRPr="003C4681" w:rsidRDefault="00FC41E5" w:rsidP="00A66113">
      <w:pPr>
        <w:pStyle w:val="SingleTxtGR"/>
        <w:rPr>
          <w:strike/>
        </w:rPr>
      </w:pPr>
      <w:r w:rsidRPr="00FC41E5">
        <w:tab/>
      </w:r>
      <w:r w:rsidRPr="00FC41E5">
        <w:tab/>
      </w:r>
      <w:r w:rsidRPr="003C4681">
        <w:rPr>
          <w:strike/>
        </w:rPr>
        <w:t>Отключение на один час.</w:t>
      </w:r>
    </w:p>
    <w:p w:rsidR="00FC41E5" w:rsidRPr="003C4681" w:rsidRDefault="00FC41E5" w:rsidP="00507DE7">
      <w:pPr>
        <w:pStyle w:val="SingleTxtGR"/>
        <w:ind w:left="2268" w:hanging="1134"/>
        <w:rPr>
          <w:strike/>
        </w:rPr>
      </w:pPr>
      <w:r w:rsidRPr="00FC41E5">
        <w:tab/>
      </w:r>
      <w:r w:rsidRPr="00FC41E5">
        <w:tab/>
      </w:r>
      <w:r w:rsidRPr="003C4681">
        <w:rPr>
          <w:strike/>
        </w:rPr>
        <w:t xml:space="preserve">Фара данного типа считается приемлемой, если среднее значение абсолютных величин </w:t>
      </w:r>
      <w:r w:rsidRPr="003C4681">
        <w:rPr>
          <w:strike/>
          <w:lang w:val="en-GB"/>
        </w:rPr>
        <w:sym w:font="Symbol" w:char="F044"/>
      </w:r>
      <w:proofErr w:type="spellStart"/>
      <w:r w:rsidRPr="003C4681">
        <w:rPr>
          <w:strike/>
          <w:lang w:val="en-GB"/>
        </w:rPr>
        <w:t>r</w:t>
      </w:r>
      <w:r w:rsidRPr="003C4681">
        <w:rPr>
          <w:strike/>
          <w:vertAlign w:val="subscript"/>
          <w:lang w:val="en-GB"/>
        </w:rPr>
        <w:t>I</w:t>
      </w:r>
      <w:proofErr w:type="spellEnd"/>
      <w:r w:rsidRPr="003C4681">
        <w:rPr>
          <w:strike/>
        </w:rPr>
        <w:t xml:space="preserve">, измеренных на первом образце, и </w:t>
      </w:r>
      <w:r w:rsidRPr="003C4681">
        <w:rPr>
          <w:strike/>
          <w:lang w:val="en-GB"/>
        </w:rPr>
        <w:sym w:font="Symbol" w:char="F044"/>
      </w:r>
      <w:proofErr w:type="spellStart"/>
      <w:r w:rsidRPr="003C4681">
        <w:rPr>
          <w:strike/>
          <w:lang w:val="en-GB"/>
        </w:rPr>
        <w:t>r</w:t>
      </w:r>
      <w:r w:rsidRPr="003C4681">
        <w:rPr>
          <w:strike/>
          <w:vertAlign w:val="subscript"/>
          <w:lang w:val="en-GB"/>
        </w:rPr>
        <w:t>II</w:t>
      </w:r>
      <w:proofErr w:type="spellEnd"/>
      <w:r w:rsidRPr="003C4681">
        <w:rPr>
          <w:strike/>
        </w:rPr>
        <w:t>, и</w:t>
      </w:r>
      <w:r w:rsidRPr="003C4681">
        <w:rPr>
          <w:strike/>
        </w:rPr>
        <w:t>з</w:t>
      </w:r>
      <w:r w:rsidRPr="003C4681">
        <w:rPr>
          <w:strike/>
        </w:rPr>
        <w:t>меренных на втором образце, не превышает 1,0 мрад.</w:t>
      </w:r>
    </w:p>
    <w:p w:rsidR="00FC41E5" w:rsidRPr="00FC41E5" w:rsidRDefault="00FC41E5" w:rsidP="003C4681">
      <w:pPr>
        <w:pStyle w:val="SingleTxtGR"/>
        <w:ind w:left="2835" w:hanging="1701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  <w:t>а)</w:t>
      </w:r>
      <w:r w:rsidRPr="00FC41E5">
        <w:rPr>
          <w:b/>
          <w:bCs/>
        </w:rPr>
        <w:tab/>
        <w:t>включение фары ближнего света на 1 час (напряжение устанавливают в соответ</w:t>
      </w:r>
      <w:r w:rsidR="003C4681">
        <w:rPr>
          <w:b/>
          <w:bCs/>
        </w:rPr>
        <w:t>ствии с предписаниями пун</w:t>
      </w:r>
      <w:r w:rsidR="003C4681">
        <w:rPr>
          <w:b/>
          <w:bCs/>
        </w:rPr>
        <w:t>к</w:t>
      </w:r>
      <w:r w:rsidR="003C4681">
        <w:rPr>
          <w:b/>
          <w:bCs/>
        </w:rPr>
        <w:t>та </w:t>
      </w:r>
      <w:r w:rsidRPr="00FC41E5">
        <w:rPr>
          <w:b/>
          <w:bCs/>
        </w:rPr>
        <w:t>1.1.1.2);</w:t>
      </w:r>
    </w:p>
    <w:p w:rsidR="00FC41E5" w:rsidRPr="00FC41E5" w:rsidRDefault="00FC41E5" w:rsidP="00A66113">
      <w:pPr>
        <w:pStyle w:val="SingleTxtGR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</w:r>
      <w:r w:rsidRPr="00FC41E5">
        <w:rPr>
          <w:b/>
          <w:bCs/>
          <w:lang w:val="en-GB"/>
        </w:rPr>
        <w:t>b</w:t>
      </w:r>
      <w:r w:rsidRPr="00FC41E5">
        <w:rPr>
          <w:b/>
          <w:bCs/>
        </w:rPr>
        <w:t>)</w:t>
      </w:r>
      <w:r w:rsidRPr="00FC41E5">
        <w:rPr>
          <w:b/>
          <w:bCs/>
        </w:rPr>
        <w:tab/>
      </w:r>
      <w:proofErr w:type="gramStart"/>
      <w:r w:rsidRPr="00FC41E5">
        <w:rPr>
          <w:b/>
          <w:bCs/>
        </w:rPr>
        <w:t>выключение</w:t>
      </w:r>
      <w:proofErr w:type="gramEnd"/>
      <w:r w:rsidRPr="00FC41E5">
        <w:rPr>
          <w:b/>
          <w:bCs/>
        </w:rPr>
        <w:t xml:space="preserve"> фары на 1 час.</w:t>
      </w:r>
    </w:p>
    <w:p w:rsidR="00FC41E5" w:rsidRPr="00FC41E5" w:rsidRDefault="003C4681" w:rsidP="003C4681">
      <w:pPr>
        <w:pStyle w:val="SingleTxtGR"/>
        <w:ind w:left="2268" w:hanging="1134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FC41E5" w:rsidRPr="00FC41E5">
        <w:rPr>
          <w:b/>
          <w:bCs/>
        </w:rPr>
        <w:t>После этих трех циклов фара данного типа считается приемл</w:t>
      </w:r>
      <w:r w:rsidR="00FC41E5" w:rsidRPr="00FC41E5">
        <w:rPr>
          <w:b/>
          <w:bCs/>
        </w:rPr>
        <w:t>е</w:t>
      </w:r>
      <w:r w:rsidR="00FC41E5" w:rsidRPr="00FC41E5">
        <w:rPr>
          <w:b/>
          <w:bCs/>
        </w:rPr>
        <w:t xml:space="preserve">мой, если абсолютные значения </w:t>
      </w:r>
      <w:proofErr w:type="spellStart"/>
      <w:r w:rsidR="00FC41E5" w:rsidRPr="00FC41E5">
        <w:rPr>
          <w:b/>
          <w:bCs/>
        </w:rPr>
        <w:t>Δr</w:t>
      </w:r>
      <w:proofErr w:type="spellEnd"/>
      <w:r w:rsidR="00FC41E5" w:rsidRPr="00FC41E5">
        <w:rPr>
          <w:b/>
          <w:bCs/>
        </w:rPr>
        <w:t>, измеренные в соответствии с пунктом 2.1 выше на этом дополнительном образце, отвечают требованиям пункта 2.2.1 выше</w:t>
      </w:r>
      <w:r w:rsidR="00FC41E5" w:rsidRPr="00727971">
        <w:rPr>
          <w:b/>
          <w:bCs/>
        </w:rPr>
        <w:t>».</w:t>
      </w:r>
    </w:p>
    <w:p w:rsidR="00FC41E5" w:rsidRPr="00FC41E5" w:rsidRDefault="00FC41E5" w:rsidP="00A66113">
      <w:pPr>
        <w:pStyle w:val="SingleTxtGR"/>
      </w:pPr>
      <w:r w:rsidRPr="00FC41E5">
        <w:rPr>
          <w:i/>
          <w:iCs/>
        </w:rPr>
        <w:t>Приложение 5, пункт 1.4</w:t>
      </w:r>
      <w:r w:rsidRPr="00FC41E5">
        <w:t xml:space="preserve"> изменить следующим образом:</w:t>
      </w:r>
    </w:p>
    <w:p w:rsidR="00FC41E5" w:rsidRPr="00FC41E5" w:rsidRDefault="00990B35" w:rsidP="00990B35">
      <w:pPr>
        <w:pStyle w:val="SingleTxtGR"/>
        <w:ind w:left="2268" w:hanging="1134"/>
      </w:pPr>
      <w:r>
        <w:t>«</w:t>
      </w:r>
      <w:r w:rsidR="00FC41E5" w:rsidRPr="00FC41E5">
        <w:t>1.4</w:t>
      </w:r>
      <w:proofErr w:type="gramStart"/>
      <w:r w:rsidR="00FC41E5" w:rsidRPr="00FC41E5">
        <w:tab/>
      </w:r>
      <w:r w:rsidR="00FC41E5" w:rsidRPr="00FC41E5">
        <w:tab/>
        <w:t>Д</w:t>
      </w:r>
      <w:proofErr w:type="gramEnd"/>
      <w:r w:rsidR="00FC41E5" w:rsidRPr="00FC41E5">
        <w:t xml:space="preserve">ля проверки вертикального отклонения светотеневой границы под воздействием тепла применяют следующую процедуру (только для фар классов В, С, </w:t>
      </w:r>
      <w:r w:rsidR="00FC41E5" w:rsidRPr="00FC41E5">
        <w:rPr>
          <w:lang w:val="en-US"/>
        </w:rPr>
        <w:t>D</w:t>
      </w:r>
      <w:r w:rsidR="00FC41E5" w:rsidRPr="00FC41E5">
        <w:t xml:space="preserve"> и </w:t>
      </w:r>
      <w:r w:rsidR="00FC41E5" w:rsidRPr="00FC41E5">
        <w:rPr>
          <w:lang w:val="en-US"/>
        </w:rPr>
        <w:t>E</w:t>
      </w:r>
      <w:r w:rsidR="00FC41E5" w:rsidRPr="00FC41E5">
        <w:t>):</w:t>
      </w:r>
    </w:p>
    <w:p w:rsidR="00FC41E5" w:rsidRPr="00FC41E5" w:rsidRDefault="00FC41E5" w:rsidP="00990B35">
      <w:pPr>
        <w:pStyle w:val="SingleTxtGR"/>
        <w:ind w:left="2268" w:hanging="1134"/>
      </w:pPr>
      <w:r w:rsidRPr="00FC41E5">
        <w:tab/>
      </w:r>
      <w:r w:rsidRPr="00FC41E5">
        <w:tab/>
        <w:t>одну из отобранных фар испытывают в соответствии с процедурой, описанной в пункте 2.1 приложения 4, после трехразового посл</w:t>
      </w:r>
      <w:r w:rsidRPr="00FC41E5">
        <w:t>е</w:t>
      </w:r>
      <w:r w:rsidRPr="00FC41E5">
        <w:t>довательного прохождения цикла, описанного в пункте 2.2.2 пр</w:t>
      </w:r>
      <w:r w:rsidRPr="00FC41E5">
        <w:t>и</w:t>
      </w:r>
      <w:r w:rsidRPr="00FC41E5">
        <w:t>ложения 4.</w:t>
      </w:r>
    </w:p>
    <w:p w:rsidR="00FC41E5" w:rsidRPr="00FC41E5" w:rsidRDefault="00FC41E5" w:rsidP="00727971">
      <w:pPr>
        <w:pStyle w:val="SingleTxtGR"/>
        <w:ind w:left="2268" w:hanging="1134"/>
      </w:pPr>
      <w:r w:rsidRPr="00FC41E5">
        <w:tab/>
      </w:r>
      <w:r w:rsidRPr="00FC41E5">
        <w:tab/>
        <w:t xml:space="preserve">Фара считается приемлемой, если </w:t>
      </w:r>
      <w:r w:rsidRPr="00FC41E5">
        <w:sym w:font="Symbol" w:char="F044"/>
      </w:r>
      <w:r w:rsidRPr="00FC41E5">
        <w:t xml:space="preserve">r не превышает 1,5 мрад </w:t>
      </w:r>
      <w:r w:rsidRPr="00FC41E5">
        <w:rPr>
          <w:b/>
          <w:bCs/>
        </w:rPr>
        <w:t>в направлении вверх и 2,</w:t>
      </w:r>
      <w:r w:rsidR="00727971">
        <w:rPr>
          <w:b/>
          <w:bCs/>
        </w:rPr>
        <w:t>5</w:t>
      </w:r>
      <w:r w:rsidRPr="00FC41E5">
        <w:rPr>
          <w:b/>
          <w:bCs/>
        </w:rPr>
        <w:t xml:space="preserve"> мрад в направлении вниз</w:t>
      </w:r>
      <w:r w:rsidRPr="00FC41E5">
        <w:t>.</w:t>
      </w:r>
    </w:p>
    <w:p w:rsidR="0091454F" w:rsidRDefault="0091454F">
      <w:pPr>
        <w:spacing w:line="240" w:lineRule="auto"/>
      </w:pPr>
      <w:r>
        <w:br w:type="page"/>
      </w:r>
    </w:p>
    <w:p w:rsidR="00FC41E5" w:rsidRPr="00FC41E5" w:rsidRDefault="00FC41E5" w:rsidP="000C75F6">
      <w:pPr>
        <w:pStyle w:val="SingleTxtGR"/>
        <w:ind w:left="2268" w:hanging="1134"/>
        <w:rPr>
          <w:bCs/>
        </w:rPr>
      </w:pPr>
      <w:r w:rsidRPr="00FC41E5">
        <w:lastRenderedPageBreak/>
        <w:tab/>
      </w:r>
      <w:r w:rsidRPr="00FC41E5">
        <w:tab/>
      </w:r>
      <w:proofErr w:type="gramStart"/>
      <w:r w:rsidRPr="00FC41E5">
        <w:t>Если это значение превышает 1,5</w:t>
      </w:r>
      <w:r w:rsidRPr="00FC41E5">
        <w:rPr>
          <w:lang w:val="en-GB"/>
        </w:rPr>
        <w:t> </w:t>
      </w:r>
      <w:r w:rsidR="00727971">
        <w:t>мрад, но составляет не более</w:t>
      </w:r>
      <w:r w:rsidRPr="00FC41E5">
        <w:t xml:space="preserve"> 2,0</w:t>
      </w:r>
      <w:r w:rsidRPr="00FC41E5">
        <w:rPr>
          <w:lang w:val="en-GB"/>
        </w:rPr>
        <w:t> </w:t>
      </w:r>
      <w:r w:rsidRPr="00FC41E5">
        <w:t xml:space="preserve">мрад </w:t>
      </w:r>
      <w:r w:rsidRPr="00FC41E5">
        <w:rPr>
          <w:b/>
          <w:bCs/>
        </w:rPr>
        <w:t>в направлении вверх</w:t>
      </w:r>
      <w:r w:rsidR="000C75F6">
        <w:rPr>
          <w:b/>
          <w:bCs/>
        </w:rPr>
        <w:t xml:space="preserve"> или превышает 2,5 мрад, но с</w:t>
      </w:r>
      <w:r w:rsidR="000C75F6">
        <w:rPr>
          <w:b/>
          <w:bCs/>
        </w:rPr>
        <w:t>о</w:t>
      </w:r>
      <w:r w:rsidR="000C75F6">
        <w:rPr>
          <w:b/>
          <w:bCs/>
        </w:rPr>
        <w:t>ставляет не более 3,0 мрад в направлении вниз</w:t>
      </w:r>
      <w:r w:rsidRPr="00FC41E5">
        <w:t>, то испытанию подвергают второй образец, причем среднеарифметическое абс</w:t>
      </w:r>
      <w:r w:rsidRPr="00FC41E5">
        <w:t>о</w:t>
      </w:r>
      <w:r w:rsidRPr="00FC41E5">
        <w:t xml:space="preserve">лютных значений, зарегистрированных на обоих образцах, не должно превышать 1,5 мрад </w:t>
      </w:r>
      <w:r w:rsidRPr="00FC41E5">
        <w:rPr>
          <w:b/>
          <w:bCs/>
        </w:rPr>
        <w:t>в направлении вверх и 2,</w:t>
      </w:r>
      <w:r w:rsidR="000C75F6">
        <w:rPr>
          <w:b/>
          <w:bCs/>
        </w:rPr>
        <w:t>5</w:t>
      </w:r>
      <w:r w:rsidRPr="00FC41E5">
        <w:rPr>
          <w:b/>
          <w:bCs/>
        </w:rPr>
        <w:t xml:space="preserve"> мрад</w:t>
      </w:r>
      <w:r w:rsidR="000C75F6">
        <w:rPr>
          <w:b/>
          <w:bCs/>
        </w:rPr>
        <w:t xml:space="preserve"> </w:t>
      </w:r>
      <w:r w:rsidRPr="00FC41E5">
        <w:rPr>
          <w:b/>
          <w:bCs/>
        </w:rPr>
        <w:t>в направлении вниз</w:t>
      </w:r>
      <w:r w:rsidR="00AE0EE4" w:rsidRPr="00AE0EE4">
        <w:t>»</w:t>
      </w:r>
      <w:r w:rsidRPr="00AE0EE4">
        <w:t>.</w:t>
      </w:r>
      <w:proofErr w:type="gramEnd"/>
    </w:p>
    <w:p w:rsidR="00FC41E5" w:rsidRPr="00FC41E5" w:rsidRDefault="00990B35" w:rsidP="00990B35">
      <w:pPr>
        <w:pStyle w:val="H1GR"/>
      </w:pPr>
      <w:r>
        <w:tab/>
      </w:r>
      <w:r w:rsidR="00FC41E5" w:rsidRPr="00FC41E5">
        <w:t>E.</w:t>
      </w:r>
      <w:r w:rsidR="00FC41E5" w:rsidRPr="00FC41E5">
        <w:tab/>
        <w:t>Дополнение 8 к поправкам серии 01 к Правилам № 123 (адаптивные сист</w:t>
      </w:r>
      <w:r w:rsidR="00FF09B7">
        <w:t>емы переднего освещения (АСПО))</w:t>
      </w:r>
    </w:p>
    <w:p w:rsidR="00FC41E5" w:rsidRPr="00FC41E5" w:rsidRDefault="00FC41E5" w:rsidP="00A66113">
      <w:pPr>
        <w:pStyle w:val="SingleTxtGR"/>
      </w:pPr>
      <w:r w:rsidRPr="00FC41E5">
        <w:rPr>
          <w:i/>
          <w:iCs/>
        </w:rPr>
        <w:t>Приложение 4, пункты 2.2.1 и 2.2.2</w:t>
      </w:r>
      <w:r w:rsidRPr="00FC41E5">
        <w:t xml:space="preserve"> изменить следующим образом:</w:t>
      </w:r>
    </w:p>
    <w:p w:rsidR="00FC41E5" w:rsidRPr="00FC41E5" w:rsidRDefault="00FC41E5" w:rsidP="00AE0EE4">
      <w:pPr>
        <w:pStyle w:val="SingleTxtGR"/>
        <w:ind w:left="2268" w:hanging="1134"/>
      </w:pPr>
      <w:r w:rsidRPr="00FC41E5">
        <w:t>«2.2.1</w:t>
      </w:r>
      <w:r w:rsidRPr="00FC41E5">
        <w:tab/>
      </w:r>
      <w:r w:rsidR="00990B35">
        <w:tab/>
      </w:r>
      <w:r w:rsidRPr="00FC41E5">
        <w:t xml:space="preserve">Результат, выраженный в </w:t>
      </w:r>
      <w:proofErr w:type="spellStart"/>
      <w:r w:rsidRPr="00FC41E5">
        <w:t>миллирадианах</w:t>
      </w:r>
      <w:proofErr w:type="spellEnd"/>
      <w:r w:rsidRPr="00FC41E5">
        <w:t xml:space="preserve"> (мрад), считают приемл</w:t>
      </w:r>
      <w:r w:rsidRPr="00FC41E5">
        <w:t>е</w:t>
      </w:r>
      <w:r w:rsidRPr="00FC41E5">
        <w:t xml:space="preserve">мым для фары ближнего света, если абсолютное значение </w:t>
      </w:r>
      <w:r w:rsidR="00990B35">
        <w:br/>
      </w:r>
      <w:r w:rsidR="00AE0EE4">
        <w:t>Δ </w:t>
      </w:r>
      <w:r w:rsidRPr="00FC41E5">
        <w:t>r</w:t>
      </w:r>
      <w:r w:rsidRPr="00FC41E5">
        <w:rPr>
          <w:vertAlign w:val="subscript"/>
        </w:rPr>
        <w:t>1</w:t>
      </w:r>
      <w:r w:rsidR="00AE0EE4">
        <w:t> = │ </w:t>
      </w:r>
      <w:r w:rsidRPr="00FC41E5">
        <w:t>r</w:t>
      </w:r>
      <w:r w:rsidRPr="00FC41E5">
        <w:rPr>
          <w:vertAlign w:val="subscript"/>
        </w:rPr>
        <w:t>3</w:t>
      </w:r>
      <w:r w:rsidR="00AE0EE4">
        <w:t> </w:t>
      </w:r>
      <w:r w:rsidRPr="00FC41E5">
        <w:t>–</w:t>
      </w:r>
      <w:r w:rsidR="00AE0EE4">
        <w:t> </w:t>
      </w:r>
      <w:r w:rsidRPr="00FC41E5">
        <w:t>r</w:t>
      </w:r>
      <w:r w:rsidRPr="00AE0EE4">
        <w:rPr>
          <w:vertAlign w:val="subscript"/>
        </w:rPr>
        <w:t>60</w:t>
      </w:r>
      <w:r w:rsidR="00AE0EE4" w:rsidRPr="00AE0EE4">
        <w:t> </w:t>
      </w:r>
      <w:r w:rsidRPr="00FC41E5">
        <w:t>│, зарегистрированное на этой фаре</w:t>
      </w:r>
      <w:r w:rsidR="00AE0EE4">
        <w:t>, не превышает 1,0 мрад (Δ </w:t>
      </w:r>
      <w:r w:rsidRPr="00FC41E5">
        <w:t>r</w:t>
      </w:r>
      <w:r w:rsidRPr="00FC41E5">
        <w:rPr>
          <w:vertAlign w:val="subscript"/>
        </w:rPr>
        <w:t>1</w:t>
      </w:r>
      <w:r w:rsidR="00AE0EE4">
        <w:t> ≤ </w:t>
      </w:r>
      <w:r w:rsidRPr="00FC41E5">
        <w:t>1,0</w:t>
      </w:r>
      <w:r w:rsidR="00AE0EE4">
        <w:t> </w:t>
      </w:r>
      <w:r w:rsidRPr="00FC41E5">
        <w:t>мрад) в направлении вверх и 2,0</w:t>
      </w:r>
      <w:r w:rsidR="00AE0EE4">
        <w:t> </w:t>
      </w:r>
      <w:r w:rsidRPr="00FC41E5">
        <w:t xml:space="preserve">мрад </w:t>
      </w:r>
      <w:r w:rsidR="00990B35">
        <w:br/>
      </w:r>
      <w:r w:rsidR="00AE0EE4">
        <w:t>(Δ </w:t>
      </w:r>
      <w:r w:rsidRPr="00FC41E5">
        <w:t>r</w:t>
      </w:r>
      <w:r w:rsidRPr="00FC41E5">
        <w:rPr>
          <w:vertAlign w:val="subscript"/>
        </w:rPr>
        <w:t>1</w:t>
      </w:r>
      <w:r w:rsidR="00AE0EE4">
        <w:t> ≤ 2,0 </w:t>
      </w:r>
      <w:r w:rsidRPr="00FC41E5">
        <w:t>мрад) в направлении вниз.</w:t>
      </w:r>
    </w:p>
    <w:p w:rsidR="00FC41E5" w:rsidRPr="00FC41E5" w:rsidRDefault="00FC41E5" w:rsidP="00A66113">
      <w:pPr>
        <w:pStyle w:val="SingleTxtGR"/>
      </w:pPr>
      <w:r w:rsidRPr="00FC41E5">
        <w:t>2.2.2</w:t>
      </w:r>
      <w:proofErr w:type="gramStart"/>
      <w:r w:rsidRPr="00FC41E5">
        <w:tab/>
      </w:r>
      <w:r w:rsidRPr="00FC41E5">
        <w:tab/>
        <w:t>О</w:t>
      </w:r>
      <w:proofErr w:type="gramEnd"/>
      <w:r w:rsidRPr="00FC41E5">
        <w:t>днако, если это значение составляет:</w:t>
      </w:r>
    </w:p>
    <w:tbl>
      <w:tblPr>
        <w:tblStyle w:val="TabTxt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483"/>
        <w:gridCol w:w="4887"/>
      </w:tblGrid>
      <w:tr w:rsidR="00FC41E5" w:rsidRPr="00EC6AD1" w:rsidTr="00EC6AD1"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FC41E5" w:rsidRPr="00EC6AD1" w:rsidRDefault="00FC41E5" w:rsidP="00EC6AD1">
            <w:pPr>
              <w:spacing w:before="80" w:after="80" w:line="200" w:lineRule="exact"/>
              <w:rPr>
                <w:i/>
                <w:sz w:val="16"/>
              </w:rPr>
            </w:pPr>
            <w:r w:rsidRPr="00EC6AD1">
              <w:rPr>
                <w:i/>
                <w:sz w:val="16"/>
              </w:rPr>
              <w:t>при перемещении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6" w:type="dxa"/>
            <w:tcBorders>
              <w:bottom w:val="single" w:sz="12" w:space="0" w:color="auto"/>
            </w:tcBorders>
            <w:shd w:val="clear" w:color="auto" w:fill="auto"/>
          </w:tcPr>
          <w:p w:rsidR="00FC41E5" w:rsidRPr="00EC6AD1" w:rsidRDefault="00FC41E5" w:rsidP="00EC6AD1">
            <w:pPr>
              <w:spacing w:before="80" w:after="80" w:line="200" w:lineRule="exact"/>
              <w:rPr>
                <w:i/>
                <w:sz w:val="16"/>
              </w:rPr>
            </w:pPr>
          </w:p>
        </w:tc>
      </w:tr>
      <w:tr w:rsidR="00FC41E5" w:rsidRPr="00EC6AD1" w:rsidTr="00EC6AD1">
        <w:tc>
          <w:tcPr>
            <w:tcW w:w="2127" w:type="dxa"/>
            <w:tcBorders>
              <w:top w:val="single" w:sz="12" w:space="0" w:color="auto"/>
            </w:tcBorders>
          </w:tcPr>
          <w:p w:rsidR="00FC41E5" w:rsidRPr="00EC6AD1" w:rsidRDefault="00FC41E5" w:rsidP="00EC6AD1">
            <w:r w:rsidRPr="00EC6AD1">
              <w:t>вверх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6" w:type="dxa"/>
            <w:tcBorders>
              <w:top w:val="single" w:sz="12" w:space="0" w:color="auto"/>
            </w:tcBorders>
          </w:tcPr>
          <w:p w:rsidR="00FC41E5" w:rsidRPr="00EC6AD1" w:rsidRDefault="00FC41E5" w:rsidP="00EC6AD1">
            <w:r w:rsidRPr="00EC6AD1">
              <w:t xml:space="preserve">более 1,0 мрад, но не более 1,5 мрад </w:t>
            </w:r>
            <w:r w:rsidRPr="00EC6AD1">
              <w:br/>
              <w:t xml:space="preserve">(1,0 мрад &lt; </w:t>
            </w:r>
            <w:proofErr w:type="spellStart"/>
            <w:r w:rsidRPr="00EC6AD1">
              <w:t>Δr</w:t>
            </w:r>
            <w:r w:rsidRPr="00606B0B">
              <w:rPr>
                <w:vertAlign w:val="subscript"/>
              </w:rPr>
              <w:t>I</w:t>
            </w:r>
            <w:proofErr w:type="spellEnd"/>
            <w:r w:rsidRPr="00EC6AD1">
              <w:t xml:space="preserve"> ≤ 1,5 мрад)</w:t>
            </w:r>
          </w:p>
        </w:tc>
      </w:tr>
      <w:tr w:rsidR="00FC41E5" w:rsidRPr="00EC6AD1" w:rsidTr="00EC6AD1">
        <w:tc>
          <w:tcPr>
            <w:tcW w:w="2127" w:type="dxa"/>
          </w:tcPr>
          <w:p w:rsidR="00FC41E5" w:rsidRPr="00EC6AD1" w:rsidRDefault="00FC41E5" w:rsidP="00EC6AD1">
            <w:r w:rsidRPr="00EC6AD1">
              <w:t>вниз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86" w:type="dxa"/>
          </w:tcPr>
          <w:p w:rsidR="00FC41E5" w:rsidRPr="00EC6AD1" w:rsidRDefault="00FC41E5" w:rsidP="00EC6AD1">
            <w:r w:rsidRPr="00EC6AD1">
              <w:t>более 2,0 мрад, но не более 3,0 мрад</w:t>
            </w:r>
            <w:r w:rsidRPr="00EC6AD1">
              <w:br/>
              <w:t xml:space="preserve">(2,0 мрад &lt; </w:t>
            </w:r>
            <w:proofErr w:type="spellStart"/>
            <w:r w:rsidRPr="00EC6AD1">
              <w:t>Δr</w:t>
            </w:r>
            <w:r w:rsidRPr="00606B0B">
              <w:rPr>
                <w:vertAlign w:val="subscript"/>
              </w:rPr>
              <w:t>I</w:t>
            </w:r>
            <w:proofErr w:type="spellEnd"/>
            <w:r w:rsidRPr="00EC6AD1">
              <w:t xml:space="preserve"> ≤ 3,0 мрад)</w:t>
            </w:r>
          </w:p>
        </w:tc>
      </w:tr>
    </w:tbl>
    <w:p w:rsidR="00FC41E5" w:rsidRPr="00E16020" w:rsidRDefault="00E16020" w:rsidP="00E16020">
      <w:pPr>
        <w:pStyle w:val="SingleTxtGR"/>
        <w:spacing w:before="120"/>
        <w:ind w:left="2268" w:hanging="1134"/>
        <w:rPr>
          <w:strike/>
        </w:rPr>
      </w:pPr>
      <w:r>
        <w:tab/>
      </w:r>
      <w:r>
        <w:tab/>
      </w:r>
      <w:r w:rsidR="00FC41E5" w:rsidRPr="00E16020">
        <w:rPr>
          <w:strike/>
        </w:rPr>
        <w:t>то проводят испытание еще одного образца фары в соответствии с предписаниями пункта 2.1 выше после трехразового последов</w:t>
      </w:r>
      <w:r w:rsidR="00FC41E5" w:rsidRPr="00E16020">
        <w:rPr>
          <w:strike/>
        </w:rPr>
        <w:t>а</w:t>
      </w:r>
      <w:r w:rsidR="00FC41E5" w:rsidRPr="00E16020">
        <w:rPr>
          <w:strike/>
        </w:rPr>
        <w:t>тельного прохождения цикла, указанного ниже, для стабилизации положения механических частей фары, установленной на опоре в таком же положении, в каком она должна устанавливаться на транспортном средстве:</w:t>
      </w:r>
    </w:p>
    <w:p w:rsidR="00FC41E5" w:rsidRPr="00E16020" w:rsidRDefault="00E16020" w:rsidP="00E16020">
      <w:pPr>
        <w:pStyle w:val="SingleTxtGR"/>
        <w:ind w:left="2268" w:hanging="1134"/>
        <w:rPr>
          <w:strike/>
        </w:rPr>
      </w:pPr>
      <w:r>
        <w:tab/>
      </w:r>
      <w:r>
        <w:tab/>
      </w:r>
      <w:r w:rsidR="00FC41E5" w:rsidRPr="00E16020">
        <w:rPr>
          <w:strike/>
        </w:rPr>
        <w:t>луч ближнего света включают на один час (напряжение коррект</w:t>
      </w:r>
      <w:r w:rsidR="00FC41E5" w:rsidRPr="00E16020">
        <w:rPr>
          <w:strike/>
        </w:rPr>
        <w:t>и</w:t>
      </w:r>
      <w:r w:rsidR="00FC41E5" w:rsidRPr="00E16020">
        <w:rPr>
          <w:strike/>
        </w:rPr>
        <w:t>руют в соответствии с предписаниями пункта 1.1.1.2 настоящего приложения);</w:t>
      </w:r>
    </w:p>
    <w:p w:rsidR="00FC41E5" w:rsidRPr="00E16020" w:rsidRDefault="00FC41E5" w:rsidP="00E16020">
      <w:pPr>
        <w:pStyle w:val="SingleTxtGR"/>
        <w:ind w:left="2268" w:hanging="1134"/>
        <w:rPr>
          <w:strike/>
        </w:rPr>
      </w:pPr>
      <w:r w:rsidRPr="00FC41E5">
        <w:tab/>
      </w:r>
      <w:r w:rsidR="00E16020">
        <w:tab/>
      </w:r>
      <w:r w:rsidRPr="00E16020">
        <w:rPr>
          <w:strike/>
        </w:rPr>
        <w:t xml:space="preserve">по истечении одного часа фару этого типа считают приемлемой, если абсолютное значение </w:t>
      </w:r>
      <w:proofErr w:type="spellStart"/>
      <w:r w:rsidRPr="00E16020">
        <w:rPr>
          <w:strike/>
          <w:lang w:val="en-GB"/>
        </w:rPr>
        <w:t>Δr</w:t>
      </w:r>
      <w:proofErr w:type="spellEnd"/>
      <w:r w:rsidRPr="00E16020">
        <w:rPr>
          <w:strike/>
        </w:rPr>
        <w:t>, измеренное на данном образце, отв</w:t>
      </w:r>
      <w:r w:rsidRPr="00E16020">
        <w:rPr>
          <w:strike/>
        </w:rPr>
        <w:t>е</w:t>
      </w:r>
      <w:r w:rsidRPr="00E16020">
        <w:rPr>
          <w:strike/>
        </w:rPr>
        <w:t>чает требованиям, содержащимся в пункте 2.2.1 выше</w:t>
      </w:r>
      <w:r w:rsidR="00606B0B">
        <w:rPr>
          <w:strike/>
        </w:rPr>
        <w:t>»</w:t>
      </w:r>
      <w:r w:rsidRPr="00E16020">
        <w:rPr>
          <w:strike/>
        </w:rPr>
        <w:t>.</w:t>
      </w:r>
    </w:p>
    <w:p w:rsidR="00FC41E5" w:rsidRPr="00FC41E5" w:rsidRDefault="00FC41E5" w:rsidP="00E16020">
      <w:pPr>
        <w:pStyle w:val="SingleTxtGR"/>
        <w:ind w:left="2268" w:hanging="1134"/>
        <w:rPr>
          <w:b/>
          <w:bCs/>
        </w:rPr>
      </w:pPr>
      <w:r w:rsidRPr="00FC41E5">
        <w:tab/>
      </w:r>
      <w:r w:rsidRPr="00FC41E5">
        <w:tab/>
      </w:r>
      <w:r w:rsidRPr="00FC41E5">
        <w:rPr>
          <w:b/>
          <w:bCs/>
        </w:rPr>
        <w:t>проводят испытание дополнительного образца фары, устано</w:t>
      </w:r>
      <w:r w:rsidRPr="00FC41E5">
        <w:rPr>
          <w:b/>
          <w:bCs/>
        </w:rPr>
        <w:t>в</w:t>
      </w:r>
      <w:r w:rsidRPr="00FC41E5">
        <w:rPr>
          <w:b/>
          <w:bCs/>
        </w:rPr>
        <w:t xml:space="preserve">ленной на </w:t>
      </w:r>
      <w:proofErr w:type="gramStart"/>
      <w:r w:rsidRPr="00FC41E5">
        <w:rPr>
          <w:b/>
          <w:bCs/>
        </w:rPr>
        <w:t>опоре</w:t>
      </w:r>
      <w:proofErr w:type="gramEnd"/>
      <w:r w:rsidRPr="00FC41E5">
        <w:rPr>
          <w:b/>
          <w:bCs/>
        </w:rPr>
        <w:t xml:space="preserve"> таким образом, как ее следует устанавливать на транспортном средстве, в соответствии с предписаниями пункта 2.1 выше после трехразового последовательного пр</w:t>
      </w:r>
      <w:r w:rsidRPr="00FC41E5">
        <w:rPr>
          <w:b/>
          <w:bCs/>
        </w:rPr>
        <w:t>о</w:t>
      </w:r>
      <w:r w:rsidRPr="00FC41E5">
        <w:rPr>
          <w:b/>
          <w:bCs/>
        </w:rPr>
        <w:t>хождения цикла, указанного ниже, для стабилизации правил</w:t>
      </w:r>
      <w:r w:rsidRPr="00FC41E5">
        <w:rPr>
          <w:b/>
          <w:bCs/>
        </w:rPr>
        <w:t>ь</w:t>
      </w:r>
      <w:r w:rsidRPr="00FC41E5">
        <w:rPr>
          <w:b/>
          <w:bCs/>
        </w:rPr>
        <w:t>ного положения механических частей фары:</w:t>
      </w:r>
    </w:p>
    <w:p w:rsidR="00FC41E5" w:rsidRPr="00FC41E5" w:rsidRDefault="00FC41E5" w:rsidP="00E16020">
      <w:pPr>
        <w:pStyle w:val="SingleTxtGR"/>
        <w:ind w:left="2835" w:hanging="1701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  <w:t>а)</w:t>
      </w:r>
      <w:r w:rsidRPr="00FC41E5">
        <w:rPr>
          <w:b/>
          <w:bCs/>
        </w:rPr>
        <w:tab/>
        <w:t>включение фары ближнего света на 1 час (напряжение устанавливают в соответ</w:t>
      </w:r>
      <w:r w:rsidR="00E16020">
        <w:rPr>
          <w:b/>
          <w:bCs/>
        </w:rPr>
        <w:t>ствии с предписаниями пун</w:t>
      </w:r>
      <w:r w:rsidR="00E16020">
        <w:rPr>
          <w:b/>
          <w:bCs/>
        </w:rPr>
        <w:t>к</w:t>
      </w:r>
      <w:r w:rsidR="00E16020">
        <w:rPr>
          <w:b/>
          <w:bCs/>
        </w:rPr>
        <w:t>та </w:t>
      </w:r>
      <w:r w:rsidRPr="00FC41E5">
        <w:rPr>
          <w:b/>
          <w:bCs/>
        </w:rPr>
        <w:t>1.1.1.2);</w:t>
      </w:r>
    </w:p>
    <w:p w:rsidR="00FC41E5" w:rsidRPr="00FC41E5" w:rsidRDefault="00FC41E5" w:rsidP="00E16020">
      <w:pPr>
        <w:pStyle w:val="SingleTxtGR"/>
        <w:rPr>
          <w:b/>
          <w:bCs/>
        </w:rPr>
      </w:pPr>
      <w:r w:rsidRPr="00FC41E5">
        <w:rPr>
          <w:b/>
          <w:bCs/>
        </w:rPr>
        <w:tab/>
      </w:r>
      <w:r w:rsidRPr="00FC41E5">
        <w:rPr>
          <w:b/>
          <w:bCs/>
        </w:rPr>
        <w:tab/>
      </w:r>
      <w:r w:rsidRPr="00FC41E5">
        <w:rPr>
          <w:b/>
          <w:bCs/>
          <w:lang w:val="en-GB"/>
        </w:rPr>
        <w:t>b</w:t>
      </w:r>
      <w:r w:rsidRPr="00FC41E5">
        <w:rPr>
          <w:b/>
          <w:bCs/>
        </w:rPr>
        <w:t>)</w:t>
      </w:r>
      <w:r w:rsidRPr="00FC41E5">
        <w:rPr>
          <w:b/>
          <w:bCs/>
        </w:rPr>
        <w:tab/>
      </w:r>
      <w:proofErr w:type="gramStart"/>
      <w:r w:rsidRPr="00FC41E5">
        <w:rPr>
          <w:b/>
          <w:bCs/>
        </w:rPr>
        <w:t>выключение</w:t>
      </w:r>
      <w:proofErr w:type="gramEnd"/>
      <w:r w:rsidRPr="00FC41E5">
        <w:rPr>
          <w:b/>
          <w:bCs/>
        </w:rPr>
        <w:t xml:space="preserve"> фары на 1 час.</w:t>
      </w:r>
    </w:p>
    <w:p w:rsidR="00FC41E5" w:rsidRPr="00FC41E5" w:rsidRDefault="00FC41E5" w:rsidP="00E16020">
      <w:pPr>
        <w:pStyle w:val="SingleTxtGR"/>
        <w:ind w:left="2268" w:hanging="1134"/>
        <w:rPr>
          <w:b/>
        </w:rPr>
      </w:pPr>
      <w:r w:rsidRPr="00FC41E5">
        <w:rPr>
          <w:b/>
          <w:bCs/>
        </w:rPr>
        <w:lastRenderedPageBreak/>
        <w:tab/>
      </w:r>
      <w:r w:rsidR="00E16020">
        <w:rPr>
          <w:b/>
          <w:bCs/>
        </w:rPr>
        <w:tab/>
      </w:r>
      <w:r w:rsidRPr="00FC41E5">
        <w:rPr>
          <w:b/>
          <w:bCs/>
        </w:rPr>
        <w:t>После этих трех циклов фара данного типа считается приемл</w:t>
      </w:r>
      <w:r w:rsidRPr="00FC41E5">
        <w:rPr>
          <w:b/>
          <w:bCs/>
        </w:rPr>
        <w:t>е</w:t>
      </w:r>
      <w:r w:rsidRPr="00FC41E5">
        <w:rPr>
          <w:b/>
          <w:bCs/>
        </w:rPr>
        <w:t xml:space="preserve">мой, если абсолютные значения </w:t>
      </w:r>
      <w:proofErr w:type="spellStart"/>
      <w:r w:rsidRPr="00FC41E5">
        <w:rPr>
          <w:b/>
          <w:bCs/>
        </w:rPr>
        <w:t>Δr</w:t>
      </w:r>
      <w:proofErr w:type="spellEnd"/>
      <w:r w:rsidRPr="00FC41E5">
        <w:rPr>
          <w:b/>
          <w:bCs/>
        </w:rPr>
        <w:t>, измеренные в соответствии с пунктом 2.1 выше на этом дополнительном образце, отвечают требованиям пункта 2.2.1 выше».</w:t>
      </w:r>
    </w:p>
    <w:p w:rsidR="00FC41E5" w:rsidRPr="00FC41E5" w:rsidRDefault="00FC41E5" w:rsidP="00E16020">
      <w:pPr>
        <w:pStyle w:val="HChGR"/>
      </w:pPr>
      <w:r w:rsidRPr="00FC41E5">
        <w:tab/>
        <w:t>II.</w:t>
      </w:r>
      <w:r w:rsidRPr="00FC41E5">
        <w:tab/>
        <w:t>Обоснование</w:t>
      </w:r>
    </w:p>
    <w:p w:rsidR="00A658DB" w:rsidRDefault="00FC41E5" w:rsidP="00E16020">
      <w:pPr>
        <w:pStyle w:val="SingleTxtGR"/>
      </w:pPr>
      <w:r w:rsidRPr="00FC41E5">
        <w:tab/>
        <w:t>Настоящая общая поправка, касающаяся стабильности фотометрических характеристик в ходе испытания на воздействие тепла, в которой сделан особый акцент на перемещении светотеневой границы, разъясняет испытательный цикл, а также позволяет согласовать требования Правил № 19, 98, 112, 113 и</w:t>
      </w:r>
      <w:r w:rsidR="00E16020">
        <w:t> </w:t>
      </w:r>
      <w:r w:rsidRPr="00FC41E5">
        <w:t>123. Помимо решения проблем, связанных с толкованием и возникающих при использовании нынешнего текста, эта общая поправка поможет Неофициальной рабочей группе по упрощению правил в области освещения и световой сигн</w:t>
      </w:r>
      <w:r w:rsidRPr="00FC41E5">
        <w:t>а</w:t>
      </w:r>
      <w:r w:rsidRPr="00FC41E5">
        <w:t xml:space="preserve">лизации в подготовке новых упрощенных правил, которой она сейчас </w:t>
      </w:r>
      <w:r w:rsidR="00E16020">
        <w:br/>
      </w:r>
      <w:r w:rsidRPr="00FC41E5">
        <w:t>занимается.</w:t>
      </w:r>
    </w:p>
    <w:p w:rsidR="00E16020" w:rsidRPr="00E16020" w:rsidRDefault="00E16020" w:rsidP="00E1602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6020" w:rsidRPr="00E16020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EE4" w:rsidRDefault="00AE0EE4" w:rsidP="00B471C5">
      <w:r>
        <w:separator/>
      </w:r>
    </w:p>
  </w:endnote>
  <w:endnote w:type="continuationSeparator" w:id="0">
    <w:p w:rsidR="00AE0EE4" w:rsidRDefault="00AE0EE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E4" w:rsidRPr="009A6F4A" w:rsidRDefault="00AE0EE4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1618F">
      <w:rPr>
        <w:b/>
        <w:noProof/>
        <w:sz w:val="18"/>
        <w:szCs w:val="18"/>
      </w:rPr>
      <w:t>6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GE.16-13935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E4" w:rsidRPr="009A6F4A" w:rsidRDefault="00AE0EE4" w:rsidP="007005EE">
    <w:pPr>
      <w:pStyle w:val="Footer"/>
      <w:rPr>
        <w:lang w:val="en-US"/>
      </w:rPr>
    </w:pPr>
    <w:r>
      <w:rPr>
        <w:lang w:val="en-US"/>
      </w:rPr>
      <w:t>GE.16-13935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C1618F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E0EE4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E0EE4" w:rsidRPr="001C3ABC" w:rsidRDefault="00AE0EE4" w:rsidP="00AE0EE4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13</w:t>
          </w:r>
          <w:r>
            <w:t>9</w:t>
          </w:r>
          <w:r>
            <w:rPr>
              <w:lang w:val="en-US"/>
            </w:rPr>
            <w:t>35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010916  010916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E0EE4" w:rsidRDefault="00AE0EE4" w:rsidP="00AE0EE4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E0EE4" w:rsidRDefault="00AE0EE4" w:rsidP="00AE0EE4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GRE/2016/3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3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0EE4" w:rsidRPr="00797A78" w:rsidTr="00AE0EE4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E0EE4" w:rsidRPr="00482EC8" w:rsidRDefault="00AE0EE4" w:rsidP="00AE0EE4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482EC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E0EE4" w:rsidRDefault="00AE0EE4" w:rsidP="00AE0EE4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E0EE4" w:rsidRDefault="00AE0EE4" w:rsidP="00AE0EE4"/>
      </w:tc>
    </w:tr>
  </w:tbl>
  <w:p w:rsidR="00AE0EE4" w:rsidRPr="007005EE" w:rsidRDefault="00AE0EE4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EE4" w:rsidRPr="009141DC" w:rsidRDefault="00AE0EE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AE0EE4" w:rsidRPr="00D1261C" w:rsidRDefault="00AE0EE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E0EE4" w:rsidRPr="00672426" w:rsidRDefault="00AE0EE4" w:rsidP="00FC41E5">
      <w:pPr>
        <w:pStyle w:val="FootnoteText"/>
        <w:rPr>
          <w:rStyle w:val="FootnoteReference"/>
          <w:szCs w:val="18"/>
          <w:lang w:val="ru-RU"/>
        </w:rPr>
      </w:pPr>
      <w:r>
        <w:rPr>
          <w:lang w:val="ru-RU"/>
        </w:rPr>
        <w:tab/>
      </w:r>
      <w:r w:rsidRPr="00FE669B">
        <w:rPr>
          <w:sz w:val="20"/>
          <w:lang w:val="ru-RU"/>
        </w:rPr>
        <w:t>*</w:t>
      </w:r>
      <w:r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672426">
        <w:rPr>
          <w:lang w:val="ru-RU"/>
        </w:rPr>
        <w:br/>
      </w:r>
      <w:r>
        <w:rPr>
          <w:lang w:val="ru-RU"/>
        </w:rPr>
        <w:t xml:space="preserve">на 2014−2018 годы (ECE/TRANS/240, пункт 105, и ECE/TRANS/2014/26, подпрограмма 02.4) Всемирный форум будет разрабатывать, согласовывать </w:t>
      </w:r>
      <w:r w:rsidRPr="00672426">
        <w:rPr>
          <w:lang w:val="ru-RU"/>
        </w:rPr>
        <w:br/>
      </w:r>
      <w:r>
        <w:rPr>
          <w:lang w:val="ru-RU"/>
        </w:rPr>
        <w:t>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E4" w:rsidRPr="007005EE" w:rsidRDefault="00AE0EE4">
    <w:pPr>
      <w:pStyle w:val="Header"/>
      <w:rPr>
        <w:lang w:val="en-US"/>
      </w:rPr>
    </w:pPr>
    <w:r>
      <w:rPr>
        <w:lang w:val="en-US"/>
      </w:rPr>
      <w:t>ECE/TRANS/WP.29/GRE/2016/32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E4" w:rsidRPr="004D639B" w:rsidRDefault="00AE0EE4" w:rsidP="007005EE">
    <w:pPr>
      <w:pStyle w:val="Header"/>
      <w:jc w:val="right"/>
      <w:rPr>
        <w:lang w:val="en-US"/>
      </w:rPr>
    </w:pPr>
    <w:r>
      <w:rPr>
        <w:lang w:val="en-US"/>
      </w:rPr>
      <w:t>ECE/TRANS/WP.29/GRE/2016/32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C8"/>
    <w:rsid w:val="000450D1"/>
    <w:rsid w:val="000B1FD5"/>
    <w:rsid w:val="000C75F6"/>
    <w:rsid w:val="000E4FE0"/>
    <w:rsid w:val="000F2A4F"/>
    <w:rsid w:val="00185258"/>
    <w:rsid w:val="00203F84"/>
    <w:rsid w:val="00275188"/>
    <w:rsid w:val="0028687D"/>
    <w:rsid w:val="002B091C"/>
    <w:rsid w:val="002B0E96"/>
    <w:rsid w:val="002B3D40"/>
    <w:rsid w:val="002D0CCB"/>
    <w:rsid w:val="003419A6"/>
    <w:rsid w:val="00345C79"/>
    <w:rsid w:val="00366A39"/>
    <w:rsid w:val="003C4681"/>
    <w:rsid w:val="0048005C"/>
    <w:rsid w:val="00482EC8"/>
    <w:rsid w:val="004D639B"/>
    <w:rsid w:val="004E242B"/>
    <w:rsid w:val="00504AFB"/>
    <w:rsid w:val="00507DE7"/>
    <w:rsid w:val="00544379"/>
    <w:rsid w:val="00566944"/>
    <w:rsid w:val="005D56BF"/>
    <w:rsid w:val="005F3CC8"/>
    <w:rsid w:val="00606B0B"/>
    <w:rsid w:val="0062027E"/>
    <w:rsid w:val="00643644"/>
    <w:rsid w:val="00665D8D"/>
    <w:rsid w:val="00672426"/>
    <w:rsid w:val="00677FB1"/>
    <w:rsid w:val="00682269"/>
    <w:rsid w:val="006A7A3B"/>
    <w:rsid w:val="006B6B57"/>
    <w:rsid w:val="006C6B76"/>
    <w:rsid w:val="006F49F1"/>
    <w:rsid w:val="006F74F1"/>
    <w:rsid w:val="007005EE"/>
    <w:rsid w:val="00703030"/>
    <w:rsid w:val="00705394"/>
    <w:rsid w:val="00727971"/>
    <w:rsid w:val="0074093E"/>
    <w:rsid w:val="00743F62"/>
    <w:rsid w:val="00760D3A"/>
    <w:rsid w:val="00773BA8"/>
    <w:rsid w:val="007A1F42"/>
    <w:rsid w:val="007D76DD"/>
    <w:rsid w:val="007F1D70"/>
    <w:rsid w:val="00815A3D"/>
    <w:rsid w:val="008717E8"/>
    <w:rsid w:val="008D01AE"/>
    <w:rsid w:val="008E0423"/>
    <w:rsid w:val="009141DC"/>
    <w:rsid w:val="0091454F"/>
    <w:rsid w:val="009174A1"/>
    <w:rsid w:val="0098674D"/>
    <w:rsid w:val="00990B35"/>
    <w:rsid w:val="00997ACA"/>
    <w:rsid w:val="00A03FB7"/>
    <w:rsid w:val="00A043A9"/>
    <w:rsid w:val="00A55C56"/>
    <w:rsid w:val="00A6046E"/>
    <w:rsid w:val="00A633EC"/>
    <w:rsid w:val="00A658DB"/>
    <w:rsid w:val="00A66113"/>
    <w:rsid w:val="00A75A11"/>
    <w:rsid w:val="00A9606E"/>
    <w:rsid w:val="00AD7EAD"/>
    <w:rsid w:val="00AE0EE4"/>
    <w:rsid w:val="00AF2315"/>
    <w:rsid w:val="00B35A32"/>
    <w:rsid w:val="00B432C6"/>
    <w:rsid w:val="00B471C5"/>
    <w:rsid w:val="00B57DA9"/>
    <w:rsid w:val="00B6474A"/>
    <w:rsid w:val="00BD0E70"/>
    <w:rsid w:val="00BE1742"/>
    <w:rsid w:val="00BE552C"/>
    <w:rsid w:val="00C05960"/>
    <w:rsid w:val="00C1618F"/>
    <w:rsid w:val="00D1261C"/>
    <w:rsid w:val="00D26030"/>
    <w:rsid w:val="00D75DCE"/>
    <w:rsid w:val="00DA6E5C"/>
    <w:rsid w:val="00DC3F7F"/>
    <w:rsid w:val="00DD35AC"/>
    <w:rsid w:val="00DD479F"/>
    <w:rsid w:val="00DE2B1C"/>
    <w:rsid w:val="00DF54A5"/>
    <w:rsid w:val="00E15E48"/>
    <w:rsid w:val="00E16020"/>
    <w:rsid w:val="00E310F2"/>
    <w:rsid w:val="00E57DC2"/>
    <w:rsid w:val="00EB0723"/>
    <w:rsid w:val="00EB2957"/>
    <w:rsid w:val="00EC0FEF"/>
    <w:rsid w:val="00EC6AD1"/>
    <w:rsid w:val="00EE6901"/>
    <w:rsid w:val="00EE6F37"/>
    <w:rsid w:val="00EF07B7"/>
    <w:rsid w:val="00F1599F"/>
    <w:rsid w:val="00F31EF2"/>
    <w:rsid w:val="00F72A84"/>
    <w:rsid w:val="00FC27F1"/>
    <w:rsid w:val="00FC41E5"/>
    <w:rsid w:val="00FE669B"/>
    <w:rsid w:val="00FF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C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C8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14188-8AB8-4484-A049-C724E59B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1789</Words>
  <Characters>10200</Characters>
  <Application>Microsoft Office Word</Application>
  <DocSecurity>4</DocSecurity>
  <Lines>85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SALYNSKAYA</dc:creator>
  <cp:lastModifiedBy>Benedicte Boudol</cp:lastModifiedBy>
  <cp:revision>2</cp:revision>
  <cp:lastPrinted>2016-09-01T15:23:00Z</cp:lastPrinted>
  <dcterms:created xsi:type="dcterms:W3CDTF">2016-09-06T12:56:00Z</dcterms:created>
  <dcterms:modified xsi:type="dcterms:W3CDTF">2016-09-06T12:56:00Z</dcterms:modified>
</cp:coreProperties>
</file>