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9048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90480" w:rsidP="00790480">
            <w:pPr>
              <w:jc w:val="right"/>
            </w:pPr>
            <w:r w:rsidRPr="00790480">
              <w:rPr>
                <w:sz w:val="40"/>
              </w:rPr>
              <w:t>ECE</w:t>
            </w:r>
            <w:r>
              <w:t>/TRANS/WP.29/GRE/2016/20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90480" w:rsidP="00892A2F">
            <w:pPr>
              <w:spacing w:before="240"/>
            </w:pPr>
            <w:r>
              <w:t>Distr. générale</w:t>
            </w:r>
          </w:p>
          <w:p w:rsidR="00790480" w:rsidRDefault="00790480" w:rsidP="00790480">
            <w:pPr>
              <w:spacing w:line="240" w:lineRule="exact"/>
            </w:pPr>
            <w:r>
              <w:t>9 août 2016</w:t>
            </w:r>
          </w:p>
          <w:p w:rsidR="00790480" w:rsidRDefault="00790480" w:rsidP="00790480">
            <w:pPr>
              <w:spacing w:line="240" w:lineRule="exact"/>
            </w:pPr>
            <w:r>
              <w:t>Français</w:t>
            </w:r>
          </w:p>
          <w:p w:rsidR="00790480" w:rsidRPr="00DB58B5" w:rsidRDefault="00790480" w:rsidP="0079048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20520" w:rsidRPr="0038175B" w:rsidRDefault="00020520" w:rsidP="00020520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  <w:lang w:val="fr-FR"/>
        </w:rPr>
      </w:pPr>
      <w:r w:rsidRPr="0038175B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38175B">
        <w:rPr>
          <w:b/>
          <w:sz w:val="24"/>
          <w:szCs w:val="24"/>
          <w:lang w:val="fr-FR"/>
        </w:rPr>
        <w:t xml:space="preserve">harmonisation </w:t>
      </w:r>
      <w:r>
        <w:rPr>
          <w:b/>
          <w:sz w:val="24"/>
          <w:szCs w:val="24"/>
          <w:lang w:val="fr-FR"/>
        </w:rPr>
        <w:br/>
      </w:r>
      <w:r w:rsidRPr="0038175B">
        <w:rPr>
          <w:b/>
          <w:sz w:val="24"/>
          <w:szCs w:val="24"/>
          <w:lang w:val="fr-FR"/>
        </w:rPr>
        <w:t xml:space="preserve">des Règlements </w:t>
      </w:r>
      <w:r w:rsidRPr="00020520">
        <w:rPr>
          <w:b/>
          <w:sz w:val="24"/>
          <w:szCs w:val="24"/>
          <w:lang w:val="en-GB"/>
        </w:rPr>
        <w:t>concernant</w:t>
      </w:r>
      <w:r w:rsidRPr="0038175B">
        <w:rPr>
          <w:b/>
          <w:sz w:val="24"/>
          <w:szCs w:val="24"/>
          <w:lang w:val="fr-FR"/>
        </w:rPr>
        <w:t xml:space="preserve"> les véhicules</w:t>
      </w:r>
    </w:p>
    <w:p w:rsidR="00020520" w:rsidRPr="0038175B" w:rsidRDefault="00020520" w:rsidP="00020520">
      <w:pPr>
        <w:spacing w:before="120" w:after="120"/>
        <w:rPr>
          <w:b/>
          <w:bCs/>
          <w:lang w:val="fr-FR"/>
        </w:rPr>
      </w:pPr>
      <w:r w:rsidRPr="0038175B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38175B">
        <w:rPr>
          <w:b/>
          <w:bCs/>
          <w:lang w:val="fr-FR"/>
        </w:rPr>
        <w:t>éclairage et de la signalisation lumineuse</w:t>
      </w:r>
    </w:p>
    <w:p w:rsidR="00020520" w:rsidRPr="0038175B" w:rsidRDefault="00020520" w:rsidP="00020520">
      <w:pPr>
        <w:rPr>
          <w:b/>
          <w:lang w:val="fr-FR"/>
        </w:rPr>
      </w:pPr>
      <w:r w:rsidRPr="0038175B">
        <w:rPr>
          <w:b/>
          <w:lang w:val="fr-FR"/>
        </w:rPr>
        <w:t>Soixante-seizième session</w:t>
      </w:r>
    </w:p>
    <w:p w:rsidR="00020520" w:rsidRPr="0038175B" w:rsidRDefault="00020520" w:rsidP="00020520">
      <w:pPr>
        <w:rPr>
          <w:bCs/>
          <w:lang w:val="fr-FR"/>
        </w:rPr>
      </w:pPr>
      <w:r w:rsidRPr="0038175B">
        <w:rPr>
          <w:lang w:val="fr-FR"/>
        </w:rPr>
        <w:t>Genève</w:t>
      </w:r>
      <w:r w:rsidRPr="0038175B">
        <w:rPr>
          <w:bCs/>
          <w:lang w:val="fr-FR"/>
        </w:rPr>
        <w:t>, 25-28 octobre 2016</w:t>
      </w:r>
    </w:p>
    <w:p w:rsidR="00020520" w:rsidRDefault="00020520" w:rsidP="00020520">
      <w:pPr>
        <w:ind w:right="1134"/>
        <w:rPr>
          <w:bCs/>
          <w:lang w:val="fr-FR"/>
        </w:rPr>
      </w:pPr>
      <w:r w:rsidRPr="0038175B">
        <w:rPr>
          <w:bCs/>
          <w:lang w:val="fr-FR"/>
        </w:rPr>
        <w:t>Point 7 a) et d) de l</w:t>
      </w:r>
      <w:r>
        <w:rPr>
          <w:bCs/>
          <w:lang w:val="fr-FR"/>
        </w:rPr>
        <w:t>’</w:t>
      </w:r>
      <w:r w:rsidRPr="0038175B">
        <w:rPr>
          <w:bCs/>
          <w:lang w:val="fr-FR"/>
        </w:rPr>
        <w:t>ordre du jour provisoire</w:t>
      </w:r>
    </w:p>
    <w:p w:rsidR="00020520" w:rsidRPr="0038175B" w:rsidRDefault="00020520" w:rsidP="00020520">
      <w:pPr>
        <w:ind w:right="1134"/>
        <w:rPr>
          <w:b/>
          <w:bCs/>
          <w:lang w:val="fr-FR"/>
        </w:rPr>
      </w:pPr>
      <w:r w:rsidRPr="0038175B">
        <w:rPr>
          <w:b/>
          <w:bCs/>
          <w:lang w:val="fr-FR"/>
        </w:rPr>
        <w:t>Autres Règlements</w:t>
      </w:r>
      <w:r>
        <w:rPr>
          <w:b/>
          <w:bCs/>
          <w:lang w:val="fr-FR"/>
        </w:rPr>
        <w:t> </w:t>
      </w:r>
      <w:r w:rsidRPr="0038175B">
        <w:rPr>
          <w:b/>
          <w:bCs/>
          <w:lang w:val="fr-FR"/>
        </w:rPr>
        <w:t>: Règlement n</w:t>
      </w:r>
      <w:r w:rsidRPr="0038175B">
        <w:rPr>
          <w:b/>
          <w:bCs/>
          <w:vertAlign w:val="superscript"/>
          <w:lang w:val="fr-FR"/>
        </w:rPr>
        <w:t>o</w:t>
      </w:r>
      <w:r w:rsidRPr="0038175B">
        <w:rPr>
          <w:b/>
          <w:bCs/>
          <w:lang w:val="fr-FR"/>
        </w:rPr>
        <w:t> 6 (</w:t>
      </w:r>
      <w:r>
        <w:rPr>
          <w:b/>
          <w:bCs/>
          <w:lang w:val="fr-FR"/>
        </w:rPr>
        <w:t>F</w:t>
      </w:r>
      <w:r w:rsidRPr="00D76E0D">
        <w:rPr>
          <w:b/>
          <w:bCs/>
          <w:lang w:val="fr-FR"/>
        </w:rPr>
        <w:t>eux indicateurs de direction</w:t>
      </w:r>
      <w:r w:rsidRPr="0038175B">
        <w:rPr>
          <w:b/>
          <w:bCs/>
          <w:lang w:val="fr-FR"/>
        </w:rPr>
        <w:t>)</w:t>
      </w:r>
    </w:p>
    <w:p w:rsidR="00020520" w:rsidRPr="0038175B" w:rsidRDefault="00020520" w:rsidP="00020520">
      <w:pPr>
        <w:ind w:right="1134"/>
        <w:rPr>
          <w:b/>
          <w:bCs/>
          <w:lang w:val="fr-FR"/>
        </w:rPr>
      </w:pPr>
      <w:r>
        <w:rPr>
          <w:b/>
          <w:bCs/>
          <w:lang w:val="fr-FR"/>
        </w:rPr>
        <w:t xml:space="preserve">et </w:t>
      </w:r>
      <w:r w:rsidRPr="0038175B">
        <w:rPr>
          <w:b/>
          <w:bCs/>
          <w:lang w:val="fr-FR"/>
        </w:rPr>
        <w:t>Règlement n</w:t>
      </w:r>
      <w:r w:rsidRPr="0038175B">
        <w:rPr>
          <w:b/>
          <w:bCs/>
          <w:vertAlign w:val="superscript"/>
          <w:lang w:val="fr-FR"/>
        </w:rPr>
        <w:t>o</w:t>
      </w:r>
      <w:r w:rsidRPr="0038175B">
        <w:rPr>
          <w:b/>
          <w:bCs/>
          <w:lang w:val="fr-FR"/>
        </w:rPr>
        <w:t> 50 (</w:t>
      </w:r>
      <w:r>
        <w:rPr>
          <w:b/>
          <w:bCs/>
          <w:lang w:val="fr-FR"/>
        </w:rPr>
        <w:t>Feux de position, feux-stop et</w:t>
      </w:r>
      <w:r w:rsidRPr="00024D26">
        <w:rPr>
          <w:b/>
          <w:bCs/>
          <w:lang w:val="fr-FR"/>
        </w:rPr>
        <w:t xml:space="preserve"> feux indicateurs </w:t>
      </w:r>
      <w:r>
        <w:rPr>
          <w:b/>
          <w:bCs/>
          <w:lang w:val="fr-FR"/>
        </w:rPr>
        <w:br/>
      </w:r>
      <w:r w:rsidRPr="00024D26">
        <w:rPr>
          <w:b/>
          <w:bCs/>
          <w:lang w:val="fr-FR"/>
        </w:rPr>
        <w:t>de direction pour motocycles et cyclomoteurs</w:t>
      </w:r>
      <w:r w:rsidRPr="0038175B">
        <w:rPr>
          <w:b/>
          <w:bCs/>
          <w:lang w:val="fr-FR"/>
        </w:rPr>
        <w:t>)</w:t>
      </w:r>
    </w:p>
    <w:p w:rsidR="00020520" w:rsidRPr="0038175B" w:rsidRDefault="00020520" w:rsidP="00020520">
      <w:pPr>
        <w:pStyle w:val="HChG"/>
        <w:tabs>
          <w:tab w:val="left" w:pos="2127"/>
        </w:tabs>
        <w:rPr>
          <w:lang w:val="fr-FR"/>
        </w:rPr>
      </w:pPr>
      <w:r w:rsidRPr="0038175B">
        <w:rPr>
          <w:lang w:val="fr-FR"/>
        </w:rPr>
        <w:tab/>
      </w:r>
      <w:r w:rsidRPr="0038175B">
        <w:rPr>
          <w:lang w:val="fr-FR"/>
        </w:rPr>
        <w:tab/>
        <w:t>Proposition de complément 27 à la série 01 d</w:t>
      </w:r>
      <w:r>
        <w:rPr>
          <w:lang w:val="fr-FR"/>
        </w:rPr>
        <w:t>’</w:t>
      </w:r>
      <w:r w:rsidRPr="0038175B">
        <w:rPr>
          <w:lang w:val="fr-FR"/>
        </w:rPr>
        <w:t>amendements au Règlement n</w:t>
      </w:r>
      <w:r w:rsidRPr="0038175B">
        <w:rPr>
          <w:vertAlign w:val="superscript"/>
          <w:lang w:val="fr-FR"/>
        </w:rPr>
        <w:t>o</w:t>
      </w:r>
      <w:r w:rsidRPr="0038175B">
        <w:rPr>
          <w:lang w:val="fr-FR"/>
        </w:rPr>
        <w:t> 6 (</w:t>
      </w:r>
      <w:r>
        <w:rPr>
          <w:lang w:val="fr-FR"/>
        </w:rPr>
        <w:t>F</w:t>
      </w:r>
      <w:r w:rsidRPr="00D76E0D">
        <w:rPr>
          <w:lang w:val="fr-FR"/>
        </w:rPr>
        <w:t>eux indicateurs de direction</w:t>
      </w:r>
      <w:r w:rsidRPr="0038175B">
        <w:rPr>
          <w:lang w:val="fr-FR"/>
        </w:rPr>
        <w:t>) et</w:t>
      </w:r>
      <w:r>
        <w:rPr>
          <w:lang w:val="fr-FR"/>
        </w:rPr>
        <w:t> de </w:t>
      </w:r>
      <w:r w:rsidRPr="0038175B">
        <w:rPr>
          <w:lang w:val="fr-FR"/>
        </w:rPr>
        <w:t>complément 19 à la série originale d</w:t>
      </w:r>
      <w:r>
        <w:rPr>
          <w:lang w:val="fr-FR"/>
        </w:rPr>
        <w:t>’</w:t>
      </w:r>
      <w:r w:rsidRPr="0038175B">
        <w:rPr>
          <w:lang w:val="fr-FR"/>
        </w:rPr>
        <w:t>amendements au Règlement n</w:t>
      </w:r>
      <w:r w:rsidRPr="0038175B">
        <w:rPr>
          <w:vertAlign w:val="superscript"/>
          <w:lang w:val="fr-FR"/>
        </w:rPr>
        <w:t>o</w:t>
      </w:r>
      <w:r w:rsidRPr="0038175B">
        <w:rPr>
          <w:lang w:val="fr-FR"/>
        </w:rPr>
        <w:t> 50 (</w:t>
      </w:r>
      <w:r>
        <w:rPr>
          <w:lang w:val="fr-FR"/>
        </w:rPr>
        <w:t>F</w:t>
      </w:r>
      <w:r w:rsidRPr="00024D26">
        <w:rPr>
          <w:lang w:val="fr-FR"/>
        </w:rPr>
        <w:t xml:space="preserve">eux de position, </w:t>
      </w:r>
      <w:r>
        <w:rPr>
          <w:lang w:val="fr-FR"/>
        </w:rPr>
        <w:t>feux-stop et</w:t>
      </w:r>
      <w:r w:rsidRPr="00024D26">
        <w:rPr>
          <w:lang w:val="fr-FR"/>
        </w:rPr>
        <w:t xml:space="preserve"> feux indicateurs de direction </w:t>
      </w:r>
      <w:r>
        <w:rPr>
          <w:lang w:val="fr-FR"/>
        </w:rPr>
        <w:t>pour</w:t>
      </w:r>
      <w:r w:rsidRPr="0038175B">
        <w:rPr>
          <w:lang w:val="fr-FR"/>
        </w:rPr>
        <w:t xml:space="preserve"> </w:t>
      </w:r>
      <w:r>
        <w:rPr>
          <w:lang w:val="fr-FR"/>
        </w:rPr>
        <w:t>moto</w:t>
      </w:r>
      <w:r w:rsidRPr="0038175B">
        <w:rPr>
          <w:lang w:val="fr-FR"/>
        </w:rPr>
        <w:t>cycles</w:t>
      </w:r>
      <w:r>
        <w:rPr>
          <w:lang w:val="fr-FR"/>
        </w:rPr>
        <w:t xml:space="preserve"> et cyclomoteurs</w:t>
      </w:r>
      <w:r w:rsidRPr="0038175B">
        <w:rPr>
          <w:lang w:val="fr-FR"/>
        </w:rPr>
        <w:t>)</w:t>
      </w:r>
    </w:p>
    <w:p w:rsidR="00020520" w:rsidRPr="0038175B" w:rsidRDefault="00020520" w:rsidP="00020520">
      <w:pPr>
        <w:pStyle w:val="H1G"/>
        <w:ind w:firstLine="0"/>
        <w:rPr>
          <w:szCs w:val="24"/>
          <w:lang w:val="fr-FR"/>
        </w:rPr>
      </w:pPr>
      <w:r w:rsidRPr="00372862">
        <w:rPr>
          <w:lang w:val="fr-FR"/>
        </w:rPr>
        <w:t xml:space="preserve">Communication de </w:t>
      </w:r>
      <w:r>
        <w:rPr>
          <w:szCs w:val="24"/>
          <w:lang w:val="fr-FR"/>
        </w:rPr>
        <w:t>l’Équipe spéciale de l’activation séquentielle</w:t>
      </w:r>
      <w:r w:rsidRPr="00DE3531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:rsidR="00020520" w:rsidRPr="00330F06" w:rsidRDefault="00020520" w:rsidP="00020520">
      <w:pPr>
        <w:pStyle w:val="SingleTxtG"/>
        <w:tabs>
          <w:tab w:val="left" w:pos="8505"/>
        </w:tabs>
        <w:ind w:firstLine="567"/>
        <w:rPr>
          <w:lang w:val="fr-FR"/>
        </w:rPr>
      </w:pPr>
      <w:r w:rsidRPr="00372862">
        <w:rPr>
          <w:rFonts w:eastAsia="Calibri"/>
          <w:lang w:val="fr-FR"/>
        </w:rPr>
        <w:t xml:space="preserve">Le texte ci-après, qui a été établi par </w:t>
      </w:r>
      <w:r>
        <w:rPr>
          <w:rFonts w:eastAsia="Calibri"/>
          <w:lang w:val="fr-FR"/>
        </w:rPr>
        <w:t xml:space="preserve">les </w:t>
      </w:r>
      <w:r w:rsidRPr="0038175B">
        <w:rPr>
          <w:lang w:val="fr-FR"/>
        </w:rPr>
        <w:t xml:space="preserve">experts </w:t>
      </w:r>
      <w:r>
        <w:rPr>
          <w:lang w:val="fr-FR"/>
        </w:rPr>
        <w:t xml:space="preserve">de </w:t>
      </w:r>
      <w:r w:rsidRPr="003072C1">
        <w:rPr>
          <w:lang w:val="fr-FR"/>
        </w:rPr>
        <w:t>l</w:t>
      </w:r>
      <w:r>
        <w:rPr>
          <w:lang w:val="fr-FR"/>
        </w:rPr>
        <w:t>’</w:t>
      </w:r>
      <w:r w:rsidRPr="003072C1">
        <w:rPr>
          <w:lang w:val="fr-FR"/>
        </w:rPr>
        <w:t>Équipe spéciale de l</w:t>
      </w:r>
      <w:r>
        <w:rPr>
          <w:lang w:val="fr-FR"/>
        </w:rPr>
        <w:t>’</w:t>
      </w:r>
      <w:r w:rsidRPr="003072C1">
        <w:rPr>
          <w:lang w:val="fr-FR"/>
        </w:rPr>
        <w:t>activation séquentielle</w:t>
      </w:r>
      <w:r>
        <w:rPr>
          <w:lang w:val="fr-FR"/>
        </w:rPr>
        <w:t>,</w:t>
      </w:r>
      <w:r w:rsidRPr="0038175B">
        <w:rPr>
          <w:lang w:val="fr-FR"/>
        </w:rPr>
        <w:t xml:space="preserve"> </w:t>
      </w:r>
      <w:r>
        <w:rPr>
          <w:lang w:val="fr-FR"/>
        </w:rPr>
        <w:t xml:space="preserve">vise à préciser les prescriptions </w:t>
      </w:r>
      <w:r w:rsidRPr="003072C1">
        <w:rPr>
          <w:lang w:val="fr-FR"/>
        </w:rPr>
        <w:t xml:space="preserve">relatives aux indicateurs de direction </w:t>
      </w:r>
      <w:r>
        <w:rPr>
          <w:lang w:val="fr-FR"/>
        </w:rPr>
        <w:t>à</w:t>
      </w:r>
      <w:r w:rsidRPr="003072C1">
        <w:rPr>
          <w:lang w:val="fr-FR"/>
        </w:rPr>
        <w:t xml:space="preserve"> activation séquentielle</w:t>
      </w:r>
      <w:r w:rsidRPr="0038175B">
        <w:rPr>
          <w:lang w:val="fr-FR"/>
        </w:rPr>
        <w:t xml:space="preserve">. </w:t>
      </w:r>
      <w:r w:rsidRPr="00E750B2">
        <w:rPr>
          <w:rFonts w:eastAsia="Calibri"/>
          <w:lang w:val="fr-FR"/>
        </w:rPr>
        <w:t xml:space="preserve">Les modifications apportées au texte actuel du Règlement sont </w:t>
      </w:r>
      <w:r w:rsidRPr="00330F06">
        <w:rPr>
          <w:rFonts w:eastAsia="Calibri"/>
          <w:lang w:val="fr-FR"/>
        </w:rPr>
        <w:t>indiquées en caractères gras pour les ajouts ou biffés pour les suppressions</w:t>
      </w:r>
      <w:r w:rsidRPr="00330F06">
        <w:rPr>
          <w:lang w:val="fr-FR"/>
        </w:rPr>
        <w:t>.</w:t>
      </w:r>
    </w:p>
    <w:p w:rsidR="00020520" w:rsidRPr="0038175B" w:rsidRDefault="00020520" w:rsidP="00020520">
      <w:pPr>
        <w:tabs>
          <w:tab w:val="left" w:pos="8505"/>
        </w:tabs>
        <w:ind w:left="1134" w:right="1134" w:firstLine="567"/>
        <w:jc w:val="both"/>
        <w:rPr>
          <w:lang w:val="fr-FR"/>
        </w:rPr>
      </w:pPr>
    </w:p>
    <w:p w:rsidR="00020520" w:rsidRPr="0038175B" w:rsidRDefault="00020520" w:rsidP="00020520">
      <w:pPr>
        <w:pStyle w:val="HChG"/>
        <w:jc w:val="both"/>
        <w:rPr>
          <w:lang w:val="fr-FR"/>
        </w:rPr>
      </w:pPr>
      <w:r w:rsidRPr="0038175B">
        <w:rPr>
          <w:b w:val="0"/>
          <w:lang w:val="fr-FR"/>
        </w:rPr>
        <w:br w:type="page"/>
      </w:r>
      <w:r w:rsidRPr="0038175B">
        <w:rPr>
          <w:lang w:val="fr-FR"/>
        </w:rPr>
        <w:lastRenderedPageBreak/>
        <w:tab/>
        <w:t>I.</w:t>
      </w:r>
      <w:r w:rsidRPr="0038175B">
        <w:rPr>
          <w:b w:val="0"/>
          <w:lang w:val="fr-FR"/>
        </w:rPr>
        <w:tab/>
      </w:r>
      <w:r>
        <w:rPr>
          <w:lang w:val="fr-FR"/>
        </w:rPr>
        <w:t>Proposition</w:t>
      </w:r>
    </w:p>
    <w:p w:rsidR="00020520" w:rsidRPr="0038175B" w:rsidRDefault="00020520" w:rsidP="00020520">
      <w:pPr>
        <w:pStyle w:val="HChG"/>
        <w:tabs>
          <w:tab w:val="left" w:pos="1701"/>
        </w:tabs>
        <w:spacing w:line="260" w:lineRule="exact"/>
        <w:ind w:hanging="459"/>
        <w:rPr>
          <w:sz w:val="24"/>
          <w:szCs w:val="24"/>
          <w:lang w:val="fr-FR"/>
        </w:rPr>
      </w:pPr>
      <w:r w:rsidRPr="0038175B">
        <w:rPr>
          <w:sz w:val="24"/>
          <w:szCs w:val="24"/>
          <w:lang w:val="fr-FR"/>
        </w:rPr>
        <w:t>A.</w:t>
      </w:r>
      <w:r w:rsidRPr="0038175B">
        <w:rPr>
          <w:sz w:val="24"/>
          <w:szCs w:val="24"/>
          <w:lang w:val="fr-FR"/>
        </w:rPr>
        <w:tab/>
      </w:r>
      <w:r w:rsidRPr="0058219E">
        <w:rPr>
          <w:sz w:val="24"/>
          <w:szCs w:val="24"/>
          <w:lang w:val="fr-FR"/>
        </w:rPr>
        <w:t>Proposition de complément 27 à la série 01 d</w:t>
      </w:r>
      <w:r>
        <w:rPr>
          <w:sz w:val="24"/>
          <w:szCs w:val="24"/>
          <w:lang w:val="fr-FR"/>
        </w:rPr>
        <w:t>’</w:t>
      </w:r>
      <w:r w:rsidRPr="0058219E">
        <w:rPr>
          <w:sz w:val="24"/>
          <w:szCs w:val="24"/>
          <w:lang w:val="fr-FR"/>
        </w:rPr>
        <w:t>amendements au</w:t>
      </w:r>
      <w:r>
        <w:rPr>
          <w:sz w:val="24"/>
          <w:szCs w:val="24"/>
          <w:lang w:val="fr-FR"/>
        </w:rPr>
        <w:t> Règlement n</w:t>
      </w:r>
      <w:r w:rsidRPr="0058219E">
        <w:rPr>
          <w:sz w:val="24"/>
          <w:szCs w:val="24"/>
          <w:vertAlign w:val="superscript"/>
          <w:lang w:val="fr-FR"/>
        </w:rPr>
        <w:t>o</w:t>
      </w:r>
      <w:r>
        <w:rPr>
          <w:sz w:val="24"/>
          <w:szCs w:val="24"/>
          <w:lang w:val="fr-FR"/>
        </w:rPr>
        <w:t> </w:t>
      </w:r>
      <w:r w:rsidRPr="0058219E">
        <w:rPr>
          <w:sz w:val="24"/>
          <w:szCs w:val="24"/>
          <w:lang w:val="fr-FR"/>
        </w:rPr>
        <w:t>6 (Feux indicateurs de direction)</w:t>
      </w:r>
    </w:p>
    <w:p w:rsidR="00020520" w:rsidRPr="0038175B" w:rsidRDefault="00020520" w:rsidP="00020520">
      <w:pPr>
        <w:spacing w:after="120"/>
        <w:ind w:left="1134" w:right="1134"/>
        <w:rPr>
          <w:rFonts w:ascii="Arial" w:hAnsi="Arial"/>
          <w:bCs/>
          <w:lang w:val="fr-FR" w:eastAsia="ja-JP"/>
        </w:rPr>
      </w:pPr>
      <w:r w:rsidRPr="0038175B">
        <w:rPr>
          <w:i/>
          <w:lang w:val="fr-FR" w:eastAsia="ja-JP"/>
        </w:rPr>
        <w:t>Paragraph</w:t>
      </w:r>
      <w:r>
        <w:rPr>
          <w:i/>
          <w:lang w:val="fr-FR" w:eastAsia="ja-JP"/>
        </w:rPr>
        <w:t>e</w:t>
      </w:r>
      <w:r w:rsidRPr="0038175B">
        <w:rPr>
          <w:i/>
          <w:lang w:val="fr-FR" w:eastAsia="ja-JP"/>
        </w:rPr>
        <w:t xml:space="preserve"> 1.3</w:t>
      </w:r>
      <w:r w:rsidRPr="0038175B">
        <w:rPr>
          <w:lang w:val="fr-FR" w:eastAsia="ja-JP"/>
        </w:rPr>
        <w:t xml:space="preserve">, </w:t>
      </w:r>
      <w:r>
        <w:rPr>
          <w:lang w:val="fr-FR" w:eastAsia="ja-JP"/>
        </w:rPr>
        <w:t>modifier comme suit </w:t>
      </w:r>
      <w:r w:rsidRPr="0038175B">
        <w:rPr>
          <w:lang w:val="fr-FR" w:eastAsia="ja-JP"/>
        </w:rPr>
        <w:t>:</w:t>
      </w:r>
    </w:p>
    <w:p w:rsidR="00020520" w:rsidRPr="002E7203" w:rsidRDefault="00020520" w:rsidP="00020520">
      <w:pPr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« 1.3</w:t>
      </w:r>
      <w:r w:rsidRPr="0038175B">
        <w:rPr>
          <w:rFonts w:eastAsia="SimSun"/>
          <w:bCs/>
          <w:lang w:val="fr-FR"/>
        </w:rPr>
        <w:tab/>
      </w:r>
      <w:r w:rsidRPr="002E7203">
        <w:rPr>
          <w:rFonts w:eastAsia="SimSun"/>
          <w:bCs/>
          <w:lang w:val="fr-FR"/>
        </w:rPr>
        <w:t xml:space="preserve">Par </w:t>
      </w:r>
      <w:r>
        <w:rPr>
          <w:rFonts w:eastAsia="SimSun"/>
          <w:bCs/>
          <w:lang w:val="fr-FR"/>
        </w:rPr>
        <w:t>“</w:t>
      </w:r>
      <w:r w:rsidRPr="002E7203">
        <w:rPr>
          <w:rFonts w:eastAsia="SimSun"/>
          <w:bCs/>
          <w:lang w:val="fr-FR"/>
        </w:rPr>
        <w:t>indicateurs de direction de types différents</w:t>
      </w:r>
      <w:r>
        <w:rPr>
          <w:rFonts w:eastAsia="SimSun"/>
          <w:bCs/>
          <w:lang w:val="fr-FR"/>
        </w:rPr>
        <w:t>”</w:t>
      </w:r>
      <w:r w:rsidRPr="002E7203">
        <w:rPr>
          <w:rFonts w:eastAsia="SimSun"/>
          <w:bCs/>
          <w:lang w:val="fr-FR"/>
        </w:rPr>
        <w:t>, des indicateurs qui présentent des différences essentielles pouvant porter notamment sur</w:t>
      </w:r>
      <w:r>
        <w:rPr>
          <w:rFonts w:eastAsia="SimSun"/>
          <w:bCs/>
          <w:lang w:val="fr-FR"/>
        </w:rPr>
        <w:t> </w:t>
      </w:r>
      <w:r w:rsidRPr="002E7203">
        <w:rPr>
          <w:rFonts w:eastAsia="SimSun"/>
          <w:bCs/>
          <w:lang w:val="fr-FR"/>
        </w:rPr>
        <w:t xml:space="preserve">: </w:t>
      </w:r>
    </w:p>
    <w:p w:rsidR="00020520" w:rsidRPr="002E7203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a)</w:t>
      </w:r>
      <w:r>
        <w:rPr>
          <w:rFonts w:eastAsia="SimSun"/>
          <w:bCs/>
          <w:lang w:val="fr-FR"/>
        </w:rPr>
        <w:tab/>
      </w:r>
      <w:r w:rsidRPr="002E7203">
        <w:rPr>
          <w:rFonts w:eastAsia="SimSun"/>
          <w:bCs/>
          <w:lang w:val="fr-FR"/>
        </w:rPr>
        <w:t>La marque de fabrique ou de commerce</w:t>
      </w:r>
      <w:r>
        <w:rPr>
          <w:rFonts w:eastAsia="SimSun"/>
          <w:bCs/>
          <w:lang w:val="fr-FR"/>
        </w:rPr>
        <w:t> </w:t>
      </w:r>
      <w:r w:rsidRPr="002E7203">
        <w:rPr>
          <w:rFonts w:eastAsia="SimSun"/>
          <w:bCs/>
          <w:lang w:val="fr-FR"/>
        </w:rPr>
        <w:t xml:space="preserve">; </w:t>
      </w:r>
    </w:p>
    <w:p w:rsidR="00020520" w:rsidRPr="002E7203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b)</w:t>
      </w:r>
      <w:r>
        <w:rPr>
          <w:rFonts w:eastAsia="SimSun"/>
          <w:bCs/>
          <w:lang w:val="fr-FR"/>
        </w:rPr>
        <w:tab/>
      </w:r>
      <w:r w:rsidRPr="002E7203">
        <w:rPr>
          <w:rFonts w:eastAsia="SimSun"/>
          <w:bCs/>
          <w:lang w:val="fr-FR"/>
        </w:rPr>
        <w:t>Les caractéristiques du système optique (niveaux d</w:t>
      </w:r>
      <w:r>
        <w:rPr>
          <w:rFonts w:eastAsia="SimSun"/>
          <w:bCs/>
          <w:lang w:val="fr-FR"/>
        </w:rPr>
        <w:t>’</w:t>
      </w:r>
      <w:r w:rsidRPr="002E7203">
        <w:rPr>
          <w:rFonts w:eastAsia="SimSun"/>
          <w:bCs/>
          <w:lang w:val="fr-FR"/>
        </w:rPr>
        <w:t>intensité, angles de répartition de la lumière, catégorie de lampe à incandescence, module d</w:t>
      </w:r>
      <w:r>
        <w:rPr>
          <w:rFonts w:eastAsia="SimSun"/>
          <w:bCs/>
          <w:lang w:val="fr-FR"/>
        </w:rPr>
        <w:t>’</w:t>
      </w:r>
      <w:r w:rsidRPr="002E7203">
        <w:rPr>
          <w:rFonts w:eastAsia="SimSun"/>
          <w:bCs/>
          <w:lang w:val="fr-FR"/>
        </w:rPr>
        <w:t>éclairage, etc.)</w:t>
      </w:r>
      <w:r>
        <w:rPr>
          <w:rFonts w:eastAsia="SimSun"/>
          <w:bCs/>
          <w:lang w:val="fr-FR"/>
        </w:rPr>
        <w:t> </w:t>
      </w:r>
      <w:r w:rsidRPr="002E7203">
        <w:rPr>
          <w:rFonts w:eastAsia="SimSun"/>
          <w:bCs/>
          <w:lang w:val="fr-FR"/>
        </w:rPr>
        <w:t xml:space="preserve">; </w:t>
      </w:r>
    </w:p>
    <w:p w:rsidR="00020520" w:rsidRPr="002E7203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c)</w:t>
      </w:r>
      <w:r>
        <w:rPr>
          <w:rFonts w:eastAsia="SimSun"/>
          <w:bCs/>
          <w:lang w:val="fr-FR"/>
        </w:rPr>
        <w:tab/>
      </w:r>
      <w:r w:rsidRPr="002E7203">
        <w:rPr>
          <w:rFonts w:eastAsia="SimSun"/>
          <w:bCs/>
          <w:lang w:val="fr-FR"/>
        </w:rPr>
        <w:t>La catégorie des indicateurs de direction</w:t>
      </w:r>
      <w:r>
        <w:rPr>
          <w:rFonts w:eastAsia="SimSun"/>
          <w:bCs/>
          <w:lang w:val="fr-FR"/>
        </w:rPr>
        <w:t> </w:t>
      </w:r>
      <w:r w:rsidRPr="002E7203">
        <w:rPr>
          <w:rFonts w:eastAsia="SimSun"/>
          <w:bCs/>
          <w:lang w:val="fr-FR"/>
        </w:rPr>
        <w:t xml:space="preserve">; </w:t>
      </w:r>
    </w:p>
    <w:p w:rsidR="00020520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d)</w:t>
      </w:r>
      <w:r>
        <w:rPr>
          <w:rFonts w:eastAsia="SimSun"/>
          <w:bCs/>
          <w:lang w:val="fr-FR"/>
        </w:rPr>
        <w:tab/>
      </w:r>
      <w:r w:rsidRPr="002E7203">
        <w:rPr>
          <w:rFonts w:eastAsia="SimSun"/>
          <w:bCs/>
          <w:lang w:val="fr-FR"/>
        </w:rPr>
        <w:t>Le régulat</w:t>
      </w:r>
      <w:r>
        <w:rPr>
          <w:rFonts w:eastAsia="SimSun"/>
          <w:bCs/>
          <w:lang w:val="fr-FR"/>
        </w:rPr>
        <w:t>eur d’intensité, le cas échéant ;</w:t>
      </w:r>
    </w:p>
    <w:p w:rsidR="00020520" w:rsidRPr="002E7203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e)</w:t>
      </w:r>
      <w:r>
        <w:rPr>
          <w:rFonts w:eastAsia="SimSun"/>
          <w:bCs/>
          <w:lang w:val="fr-FR"/>
        </w:rPr>
        <w:tab/>
      </w:r>
      <w:r w:rsidRPr="002E7203">
        <w:rPr>
          <w:rFonts w:eastAsia="SimSun"/>
          <w:bCs/>
          <w:lang w:val="fr-FR"/>
        </w:rPr>
        <w:t>L</w:t>
      </w:r>
      <w:r>
        <w:rPr>
          <w:rFonts w:eastAsia="SimSun"/>
          <w:bCs/>
          <w:lang w:val="fr-FR"/>
        </w:rPr>
        <w:t>’</w:t>
      </w:r>
      <w:r w:rsidRPr="002E7203">
        <w:rPr>
          <w:rFonts w:eastAsia="SimSun"/>
          <w:bCs/>
          <w:lang w:val="fr-FR"/>
        </w:rPr>
        <w:t>activation séquentielle des sources lumineuses, le cas échéant</w:t>
      </w:r>
      <w:r>
        <w:rPr>
          <w:rFonts w:eastAsia="SimSun"/>
          <w:bCs/>
          <w:lang w:val="fr-FR"/>
        </w:rPr>
        <w:t xml:space="preserve">. </w:t>
      </w:r>
    </w:p>
    <w:p w:rsidR="00020520" w:rsidRPr="00926358" w:rsidRDefault="00020520" w:rsidP="00020520">
      <w:pPr>
        <w:spacing w:after="120"/>
        <w:ind w:left="2268" w:right="1134" w:firstLine="565"/>
        <w:jc w:val="both"/>
        <w:rPr>
          <w:rFonts w:eastAsia="SimSun"/>
          <w:b/>
          <w:bCs/>
          <w:lang w:val="fr-FR"/>
        </w:rPr>
      </w:pPr>
      <w:r>
        <w:rPr>
          <w:rFonts w:eastAsia="SimSun"/>
          <w:b/>
          <w:bCs/>
          <w:lang w:val="fr-FR"/>
        </w:rPr>
        <w:t>Toutefois</w:t>
      </w:r>
      <w:r w:rsidRPr="00926358">
        <w:rPr>
          <w:rFonts w:eastAsia="SimSun"/>
          <w:b/>
          <w:bCs/>
          <w:lang w:val="fr-FR"/>
        </w:rPr>
        <w:t>, les indicateurs de direction susceptibles d</w:t>
      </w:r>
      <w:r>
        <w:rPr>
          <w:rFonts w:eastAsia="SimSun"/>
          <w:b/>
          <w:bCs/>
          <w:lang w:val="fr-FR"/>
        </w:rPr>
        <w:t>’</w:t>
      </w:r>
      <w:r w:rsidRPr="00926358">
        <w:rPr>
          <w:rFonts w:eastAsia="SimSun"/>
          <w:b/>
          <w:bCs/>
          <w:lang w:val="fr-FR"/>
        </w:rPr>
        <w:t xml:space="preserve">être activés dans différents modes (séquentiels ou non) sans aucune modification des caractéristiques optiques </w:t>
      </w:r>
      <w:r>
        <w:rPr>
          <w:rFonts w:eastAsia="SimSun"/>
          <w:b/>
          <w:bCs/>
          <w:lang w:val="fr-FR"/>
        </w:rPr>
        <w:t xml:space="preserve">du feu </w:t>
      </w:r>
      <w:r w:rsidRPr="00926358">
        <w:rPr>
          <w:rFonts w:eastAsia="SimSun"/>
          <w:b/>
          <w:bCs/>
          <w:lang w:val="fr-FR"/>
        </w:rPr>
        <w:t xml:space="preserve">ne constituent pas des </w:t>
      </w:r>
      <w:r>
        <w:rPr>
          <w:rFonts w:eastAsia="SimSun"/>
          <w:b/>
          <w:bCs/>
          <w:lang w:val="fr-FR"/>
        </w:rPr>
        <w:t>“</w:t>
      </w:r>
      <w:r w:rsidRPr="00926358">
        <w:rPr>
          <w:rFonts w:eastAsia="SimSun"/>
          <w:b/>
          <w:bCs/>
          <w:lang w:val="fr-FR"/>
        </w:rPr>
        <w:t>indicateurs d</w:t>
      </w:r>
      <w:r>
        <w:rPr>
          <w:rFonts w:eastAsia="SimSun"/>
          <w:b/>
          <w:bCs/>
          <w:lang w:val="fr-FR"/>
        </w:rPr>
        <w:t>e direction de types différents”</w:t>
      </w:r>
      <w:r w:rsidRPr="00926358">
        <w:rPr>
          <w:rFonts w:eastAsia="SimSun"/>
          <w:b/>
          <w:bCs/>
          <w:lang w:val="fr-FR"/>
        </w:rPr>
        <w:t>.</w:t>
      </w:r>
    </w:p>
    <w:p w:rsidR="00020520" w:rsidRPr="0038175B" w:rsidRDefault="00020520" w:rsidP="00020520">
      <w:pPr>
        <w:spacing w:after="120"/>
        <w:ind w:left="2268" w:right="1134"/>
        <w:jc w:val="both"/>
        <w:rPr>
          <w:rFonts w:eastAsia="SimSun"/>
          <w:bCs/>
          <w:lang w:val="fr-FR"/>
        </w:rPr>
      </w:pPr>
      <w:r w:rsidRPr="002E7203">
        <w:rPr>
          <w:rFonts w:eastAsia="SimSun"/>
          <w:bCs/>
          <w:lang w:val="fr-FR"/>
        </w:rPr>
        <w:t>Une modification de la couleur d</w:t>
      </w:r>
      <w:r>
        <w:rPr>
          <w:rFonts w:eastAsia="SimSun"/>
          <w:bCs/>
          <w:lang w:val="fr-FR"/>
        </w:rPr>
        <w:t>’</w:t>
      </w:r>
      <w:r w:rsidRPr="002E7203">
        <w:rPr>
          <w:rFonts w:eastAsia="SimSun"/>
          <w:bCs/>
          <w:lang w:val="fr-FR"/>
        </w:rPr>
        <w:t>une lampe à incandescence ou de la couleur d</w:t>
      </w:r>
      <w:r>
        <w:rPr>
          <w:rFonts w:eastAsia="SimSun"/>
          <w:bCs/>
          <w:lang w:val="fr-FR"/>
        </w:rPr>
        <w:t>’</w:t>
      </w:r>
      <w:r w:rsidRPr="002E7203">
        <w:rPr>
          <w:rFonts w:eastAsia="SimSun"/>
          <w:bCs/>
          <w:lang w:val="fr-FR"/>
        </w:rPr>
        <w:t>un filtre ne constitue pas une modification du type.</w:t>
      </w:r>
      <w:r>
        <w:rPr>
          <w:rFonts w:eastAsia="SimSun"/>
          <w:bCs/>
          <w:lang w:val="fr-FR"/>
        </w:rPr>
        <w:t> ».</w:t>
      </w:r>
    </w:p>
    <w:p w:rsidR="00020520" w:rsidRPr="0038175B" w:rsidRDefault="00020520" w:rsidP="00020520">
      <w:pPr>
        <w:spacing w:after="120"/>
        <w:ind w:left="1134" w:right="1134"/>
        <w:rPr>
          <w:rFonts w:ascii="Arial" w:hAnsi="Arial"/>
          <w:bCs/>
          <w:lang w:val="fr-FR" w:eastAsia="ja-JP"/>
        </w:rPr>
      </w:pPr>
      <w:r w:rsidRPr="0038175B">
        <w:rPr>
          <w:i/>
          <w:lang w:val="fr-FR" w:eastAsia="ja-JP"/>
        </w:rPr>
        <w:t>Paragraph</w:t>
      </w:r>
      <w:r>
        <w:rPr>
          <w:i/>
          <w:lang w:val="fr-FR" w:eastAsia="ja-JP"/>
        </w:rPr>
        <w:t>e</w:t>
      </w:r>
      <w:r w:rsidRPr="0038175B">
        <w:rPr>
          <w:i/>
          <w:lang w:val="fr-FR" w:eastAsia="ja-JP"/>
        </w:rPr>
        <w:t xml:space="preserve"> 5.6</w:t>
      </w:r>
      <w:r w:rsidRPr="0038175B">
        <w:rPr>
          <w:lang w:val="fr-FR" w:eastAsia="ja-JP"/>
        </w:rPr>
        <w:t xml:space="preserve">, </w:t>
      </w:r>
      <w:r>
        <w:rPr>
          <w:lang w:val="fr-FR" w:eastAsia="ja-JP"/>
        </w:rPr>
        <w:t>modifier comme suit </w:t>
      </w:r>
      <w:r w:rsidRPr="0038175B">
        <w:rPr>
          <w:lang w:val="fr-FR" w:eastAsia="ja-JP"/>
        </w:rPr>
        <w:t>:</w:t>
      </w:r>
    </w:p>
    <w:p w:rsidR="00020520" w:rsidRDefault="00020520" w:rsidP="00020520">
      <w:pPr>
        <w:tabs>
          <w:tab w:val="left" w:pos="1134"/>
        </w:tabs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« 5.6</w:t>
      </w:r>
      <w:r w:rsidRPr="0038175B">
        <w:rPr>
          <w:rFonts w:eastAsia="SimSun"/>
          <w:bCs/>
          <w:lang w:val="fr-FR"/>
        </w:rPr>
        <w:tab/>
      </w:r>
      <w:r w:rsidRPr="00926358">
        <w:rPr>
          <w:rFonts w:eastAsia="SimSun"/>
          <w:bCs/>
          <w:lang w:val="fr-FR"/>
        </w:rPr>
        <w:t>Le clignotement des feux indicateurs de direction des catégories 1, 1a, 1b, 2a et 2b peut être produit par activation séquentielle de leurs sources lumineuses si les conditions suivantes sont remplies</w:t>
      </w:r>
      <w:r>
        <w:rPr>
          <w:rFonts w:eastAsia="SimSun"/>
          <w:bCs/>
          <w:lang w:val="fr-FR"/>
        </w:rPr>
        <w:t> :</w:t>
      </w:r>
    </w:p>
    <w:p w:rsidR="00020520" w:rsidRPr="0038175B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 w:rsidRPr="0038175B">
        <w:rPr>
          <w:rFonts w:eastAsia="SimSun"/>
          <w:bCs/>
          <w:lang w:val="fr-FR"/>
        </w:rPr>
        <w:t>a)</w:t>
      </w:r>
      <w:r w:rsidRPr="0038175B">
        <w:rPr>
          <w:rFonts w:eastAsia="SimSun"/>
          <w:bCs/>
          <w:lang w:val="fr-FR"/>
        </w:rPr>
        <w:tab/>
      </w:r>
      <w:r w:rsidRPr="00926358">
        <w:rPr>
          <w:rFonts w:eastAsia="SimSun"/>
          <w:bCs/>
          <w:lang w:val="fr-FR"/>
        </w:rPr>
        <w:t>Chaque source lumineuse, après activation, doit rester allumée jusqu</w:t>
      </w:r>
      <w:r>
        <w:rPr>
          <w:rFonts w:eastAsia="SimSun"/>
          <w:bCs/>
          <w:lang w:val="fr-FR"/>
        </w:rPr>
        <w:t>’</w:t>
      </w:r>
      <w:r w:rsidRPr="00926358">
        <w:rPr>
          <w:rFonts w:eastAsia="SimSun"/>
          <w:bCs/>
          <w:lang w:val="fr-FR"/>
        </w:rPr>
        <w:t xml:space="preserve">à la fin du cycle </w:t>
      </w:r>
      <w:r>
        <w:rPr>
          <w:rFonts w:eastAsia="SimSun"/>
          <w:bCs/>
          <w:lang w:val="fr-FR"/>
        </w:rPr>
        <w:t>“</w:t>
      </w:r>
      <w:r w:rsidRPr="00926358">
        <w:rPr>
          <w:rFonts w:eastAsia="SimSun"/>
          <w:bCs/>
          <w:lang w:val="fr-FR"/>
        </w:rPr>
        <w:t>marche</w:t>
      </w:r>
      <w:r>
        <w:rPr>
          <w:rFonts w:eastAsia="SimSun"/>
          <w:bCs/>
          <w:lang w:val="fr-FR"/>
        </w:rPr>
        <w:t>” </w:t>
      </w:r>
      <w:r w:rsidRPr="00926358">
        <w:rPr>
          <w:rFonts w:eastAsia="SimSun"/>
          <w:bCs/>
          <w:lang w:val="fr-FR"/>
        </w:rPr>
        <w:t>;</w:t>
      </w:r>
    </w:p>
    <w:p w:rsidR="00020520" w:rsidRDefault="00020520" w:rsidP="00020520">
      <w:pPr>
        <w:spacing w:after="120"/>
        <w:ind w:leftChars="1133" w:left="2833" w:rightChars="567" w:right="1134" w:hanging="567"/>
        <w:jc w:val="both"/>
        <w:rPr>
          <w:lang w:val="fr-FR"/>
        </w:rPr>
      </w:pPr>
      <w:r w:rsidRPr="0038175B">
        <w:rPr>
          <w:lang w:val="fr-FR"/>
        </w:rPr>
        <w:t>b)</w:t>
      </w:r>
      <w:r w:rsidRPr="0038175B">
        <w:rPr>
          <w:lang w:val="fr-FR"/>
        </w:rPr>
        <w:tab/>
      </w:r>
      <w:r w:rsidRPr="00926358">
        <w:rPr>
          <w:lang w:val="fr-FR"/>
        </w:rPr>
        <w:t>La séquence d</w:t>
      </w:r>
      <w:r>
        <w:rPr>
          <w:lang w:val="fr-FR"/>
        </w:rPr>
        <w:t>’</w:t>
      </w:r>
      <w:r w:rsidRPr="00926358">
        <w:rPr>
          <w:lang w:val="fr-FR"/>
        </w:rPr>
        <w:t xml:space="preserve">activation des sources lumineuses doit </w:t>
      </w:r>
      <w:r>
        <w:rPr>
          <w:b/>
          <w:lang w:val="fr-FR"/>
        </w:rPr>
        <w:t xml:space="preserve">produire un signal </w:t>
      </w:r>
      <w:r w:rsidRPr="009620EA">
        <w:rPr>
          <w:strike/>
          <w:lang w:val="fr-FR"/>
        </w:rPr>
        <w:t xml:space="preserve">se faire de façon </w:t>
      </w:r>
      <w:r w:rsidRPr="00926358">
        <w:rPr>
          <w:lang w:val="fr-FR"/>
        </w:rPr>
        <w:t>uniforme et progressi</w:t>
      </w:r>
      <w:r w:rsidRPr="009620EA">
        <w:rPr>
          <w:strike/>
          <w:lang w:val="fr-FR"/>
        </w:rPr>
        <w:t>ve</w:t>
      </w:r>
      <w:r>
        <w:rPr>
          <w:b/>
          <w:lang w:val="fr-FR"/>
        </w:rPr>
        <w:t>f allant</w:t>
      </w:r>
      <w:r w:rsidRPr="00926358">
        <w:rPr>
          <w:lang w:val="fr-FR"/>
        </w:rPr>
        <w:t xml:space="preserve"> du bord intérieur vers le bord extérieur de la surface apparente</w:t>
      </w:r>
      <w:r>
        <w:rPr>
          <w:b/>
          <w:lang w:val="fr-FR"/>
        </w:rPr>
        <w:t> </w:t>
      </w:r>
      <w:r>
        <w:rPr>
          <w:lang w:val="fr-FR"/>
        </w:rPr>
        <w:t>;</w:t>
      </w:r>
    </w:p>
    <w:p w:rsidR="00020520" w:rsidRPr="009620EA" w:rsidRDefault="00020520" w:rsidP="00020520">
      <w:pPr>
        <w:spacing w:after="120"/>
        <w:ind w:leftChars="1133" w:left="2833" w:rightChars="567" w:right="1134" w:hanging="567"/>
        <w:jc w:val="both"/>
        <w:rPr>
          <w:b/>
          <w:lang w:val="fr-FR"/>
        </w:rPr>
      </w:pPr>
      <w:r w:rsidRPr="0038175B">
        <w:rPr>
          <w:lang w:val="fr-FR"/>
        </w:rPr>
        <w:t>c)</w:t>
      </w:r>
      <w:r w:rsidRPr="0038175B">
        <w:rPr>
          <w:lang w:val="fr-FR"/>
        </w:rPr>
        <w:tab/>
      </w:r>
      <w:r w:rsidRPr="001B1250">
        <w:rPr>
          <w:strike/>
          <w:lang w:val="fr-FR"/>
        </w:rPr>
        <w:t xml:space="preserve">Cela doit produire une </w:t>
      </w:r>
      <w:r w:rsidRPr="009620EA">
        <w:rPr>
          <w:strike/>
          <w:lang w:val="fr-FR"/>
        </w:rPr>
        <w:t xml:space="preserve">ligne </w:t>
      </w:r>
      <w:r>
        <w:rPr>
          <w:b/>
          <w:lang w:val="fr-FR"/>
        </w:rPr>
        <w:t>Le</w:t>
      </w:r>
      <w:r w:rsidRPr="009620EA">
        <w:rPr>
          <w:b/>
          <w:lang w:val="fr-FR"/>
        </w:rPr>
        <w:t xml:space="preserve"> signal</w:t>
      </w:r>
      <w:r>
        <w:rPr>
          <w:b/>
          <w:lang w:val="fr-FR"/>
        </w:rPr>
        <w:t xml:space="preserve"> produit doit être</w:t>
      </w:r>
      <w:r>
        <w:rPr>
          <w:lang w:val="fr-FR"/>
        </w:rPr>
        <w:t xml:space="preserve"> </w:t>
      </w:r>
      <w:r w:rsidRPr="009620EA">
        <w:rPr>
          <w:lang w:val="fr-FR"/>
        </w:rPr>
        <w:t>continu</w:t>
      </w:r>
      <w:r w:rsidRPr="001B1250">
        <w:rPr>
          <w:strike/>
          <w:lang w:val="fr-FR"/>
        </w:rPr>
        <w:t>e sa</w:t>
      </w:r>
      <w:r w:rsidRPr="009620EA">
        <w:rPr>
          <w:strike/>
          <w:lang w:val="fr-FR"/>
        </w:rPr>
        <w:t xml:space="preserve">ns alternances répétées dans le sens </w:t>
      </w:r>
      <w:r>
        <w:rPr>
          <w:b/>
          <w:lang w:val="fr-FR"/>
        </w:rPr>
        <w:t xml:space="preserve">et exempt d’oscillation </w:t>
      </w:r>
      <w:r w:rsidRPr="009620EA">
        <w:rPr>
          <w:lang w:val="fr-FR"/>
        </w:rPr>
        <w:t>vertical</w:t>
      </w:r>
      <w:r>
        <w:rPr>
          <w:b/>
          <w:lang w:val="fr-FR"/>
        </w:rPr>
        <w:t>e</w:t>
      </w:r>
      <w:r w:rsidRPr="009620EA">
        <w:rPr>
          <w:lang w:val="fr-FR"/>
        </w:rPr>
        <w:t xml:space="preserve"> (</w:t>
      </w:r>
      <w:r w:rsidRPr="007E0AAF">
        <w:rPr>
          <w:strike/>
          <w:lang w:val="fr-FR"/>
        </w:rPr>
        <w:t xml:space="preserve">autrement dit, il ne </w:t>
      </w:r>
      <w:r w:rsidRPr="00B52082">
        <w:rPr>
          <w:strike/>
          <w:lang w:val="fr-FR"/>
        </w:rPr>
        <w:t>doit pas y avoir de</w:t>
      </w:r>
      <w:r>
        <w:rPr>
          <w:b/>
          <w:lang w:val="fr-FR"/>
        </w:rPr>
        <w:t>tout “effet de</w:t>
      </w:r>
      <w:r w:rsidRPr="00B52082">
        <w:rPr>
          <w:strike/>
          <w:lang w:val="fr-FR"/>
        </w:rPr>
        <w:t xml:space="preserve"> </w:t>
      </w:r>
      <w:r>
        <w:rPr>
          <w:lang w:val="fr-FR"/>
        </w:rPr>
        <w:t>vague</w:t>
      </w:r>
      <w:r w:rsidRPr="00B52082">
        <w:rPr>
          <w:strike/>
          <w:lang w:val="fr-FR"/>
        </w:rPr>
        <w:t>s</w:t>
      </w:r>
      <w:r>
        <w:rPr>
          <w:b/>
          <w:lang w:val="fr-FR"/>
        </w:rPr>
        <w:t>” est interdit</w:t>
      </w:r>
      <w:r>
        <w:rPr>
          <w:lang w:val="fr-FR"/>
        </w:rPr>
        <w:t>)</w:t>
      </w:r>
      <w:r>
        <w:rPr>
          <w:b/>
          <w:lang w:val="fr-FR"/>
        </w:rPr>
        <w:t>. Pour que l</w:t>
      </w:r>
      <w:r w:rsidRPr="009620EA">
        <w:rPr>
          <w:b/>
          <w:lang w:val="fr-FR"/>
        </w:rPr>
        <w:t xml:space="preserve">e signal </w:t>
      </w:r>
      <w:r>
        <w:rPr>
          <w:b/>
          <w:lang w:val="fr-FR"/>
        </w:rPr>
        <w:t>soit</w:t>
      </w:r>
      <w:r w:rsidRPr="009620EA">
        <w:rPr>
          <w:b/>
          <w:lang w:val="fr-FR"/>
        </w:rPr>
        <w:t xml:space="preserve"> considéré comme continu</w:t>
      </w:r>
      <w:r>
        <w:rPr>
          <w:b/>
          <w:lang w:val="fr-FR"/>
        </w:rPr>
        <w:t>,</w:t>
      </w:r>
      <w:r w:rsidRPr="009620EA">
        <w:rPr>
          <w:b/>
          <w:lang w:val="fr-FR"/>
        </w:rPr>
        <w:t xml:space="preserve"> la distance entre deux parties adjacentes </w:t>
      </w:r>
      <w:r>
        <w:rPr>
          <w:b/>
          <w:lang w:val="fr-FR"/>
        </w:rPr>
        <w:t>ou</w:t>
      </w:r>
      <w:r w:rsidRPr="009620EA">
        <w:rPr>
          <w:b/>
          <w:lang w:val="fr-FR"/>
        </w:rPr>
        <w:t xml:space="preserve"> tangentes </w:t>
      </w:r>
      <w:r>
        <w:rPr>
          <w:b/>
          <w:lang w:val="fr-FR"/>
        </w:rPr>
        <w:t>mais distinctes</w:t>
      </w:r>
      <w:r w:rsidRPr="009620EA">
        <w:rPr>
          <w:b/>
          <w:lang w:val="fr-FR"/>
        </w:rPr>
        <w:t xml:space="preserve">, </w:t>
      </w:r>
      <w:r>
        <w:rPr>
          <w:b/>
          <w:lang w:val="fr-FR"/>
        </w:rPr>
        <w:t xml:space="preserve">telle que </w:t>
      </w:r>
      <w:r w:rsidRPr="009620EA">
        <w:rPr>
          <w:b/>
          <w:lang w:val="fr-FR"/>
        </w:rPr>
        <w:t>mesurée perpendiculairement à l</w:t>
      </w:r>
      <w:r>
        <w:rPr>
          <w:b/>
          <w:lang w:val="fr-FR"/>
        </w:rPr>
        <w:t>’</w:t>
      </w:r>
      <w:r w:rsidRPr="009620EA">
        <w:rPr>
          <w:b/>
          <w:lang w:val="fr-FR"/>
        </w:rPr>
        <w:t>axe de référence</w:t>
      </w:r>
      <w:r>
        <w:rPr>
          <w:b/>
          <w:lang w:val="fr-FR"/>
        </w:rPr>
        <w:t>, ne doit pas dépasser [xx</w:t>
      </w:r>
      <w:r w:rsidRPr="009620EA">
        <w:rPr>
          <w:b/>
          <w:lang w:val="fr-FR"/>
        </w:rPr>
        <w:t>]</w:t>
      </w:r>
      <w:r>
        <w:rPr>
          <w:b/>
          <w:lang w:val="fr-FR"/>
        </w:rPr>
        <w:t> </w:t>
      </w:r>
      <w:r w:rsidRPr="009620EA">
        <w:rPr>
          <w:b/>
          <w:lang w:val="fr-FR"/>
        </w:rPr>
        <w:t>mm</w:t>
      </w:r>
      <w:r>
        <w:rPr>
          <w:b/>
          <w:lang w:val="fr-FR"/>
        </w:rPr>
        <w:t xml:space="preserve"> ; </w:t>
      </w:r>
    </w:p>
    <w:p w:rsidR="00020520" w:rsidRPr="0038175B" w:rsidRDefault="00020520" w:rsidP="00020520">
      <w:pPr>
        <w:spacing w:after="120"/>
        <w:ind w:leftChars="1133" w:left="2833" w:rightChars="567" w:right="1134" w:hanging="567"/>
        <w:jc w:val="both"/>
        <w:rPr>
          <w:lang w:val="fr-FR"/>
        </w:rPr>
      </w:pPr>
      <w:r w:rsidRPr="0038175B">
        <w:rPr>
          <w:lang w:val="fr-FR"/>
        </w:rPr>
        <w:t>d)</w:t>
      </w:r>
      <w:r w:rsidRPr="0038175B">
        <w:rPr>
          <w:lang w:val="fr-FR"/>
        </w:rPr>
        <w:tab/>
      </w:r>
      <w:r w:rsidRPr="000952A9">
        <w:rPr>
          <w:lang w:val="fr-FR"/>
        </w:rPr>
        <w:t xml:space="preserve">La variation doit prendre fin au plus tard 200 ms après le début du cycle </w:t>
      </w:r>
      <w:r>
        <w:rPr>
          <w:lang w:val="fr-FR"/>
        </w:rPr>
        <w:t>“</w:t>
      </w:r>
      <w:r w:rsidRPr="000952A9">
        <w:rPr>
          <w:lang w:val="fr-FR"/>
        </w:rPr>
        <w:t>marche</w:t>
      </w:r>
      <w:r>
        <w:rPr>
          <w:lang w:val="fr-FR"/>
        </w:rPr>
        <w:t>” </w:t>
      </w:r>
      <w:r w:rsidRPr="000952A9">
        <w:rPr>
          <w:lang w:val="fr-FR"/>
        </w:rPr>
        <w:t>;</w:t>
      </w:r>
    </w:p>
    <w:p w:rsidR="00020520" w:rsidRDefault="00020520" w:rsidP="00020520">
      <w:pPr>
        <w:tabs>
          <w:tab w:val="left" w:pos="2410"/>
        </w:tabs>
        <w:spacing w:after="120"/>
        <w:ind w:leftChars="1133" w:left="2833" w:rightChars="567" w:right="1134" w:hanging="567"/>
        <w:jc w:val="both"/>
        <w:rPr>
          <w:lang w:val="fr-FR"/>
        </w:rPr>
      </w:pPr>
      <w:r w:rsidRPr="0038175B">
        <w:rPr>
          <w:lang w:val="fr-FR"/>
        </w:rPr>
        <w:t>e)</w:t>
      </w:r>
      <w:r w:rsidRPr="0038175B">
        <w:rPr>
          <w:lang w:val="fr-FR"/>
        </w:rPr>
        <w:tab/>
      </w:r>
      <w:r w:rsidRPr="000952A9">
        <w:rPr>
          <w:strike/>
          <w:lang w:val="fr-FR"/>
        </w:rPr>
        <w:t>Pour l</w:t>
      </w:r>
      <w:r>
        <w:rPr>
          <w:b/>
          <w:lang w:val="fr-FR"/>
        </w:rPr>
        <w:t>L</w:t>
      </w:r>
      <w:r w:rsidRPr="000952A9">
        <w:rPr>
          <w:lang w:val="fr-FR"/>
        </w:rPr>
        <w:t xml:space="preserve">a projection orthogonale </w:t>
      </w:r>
      <w:r>
        <w:rPr>
          <w:b/>
          <w:lang w:val="fr-FR"/>
        </w:rPr>
        <w:t xml:space="preserve">de </w:t>
      </w:r>
      <w:r w:rsidRPr="000952A9">
        <w:rPr>
          <w:b/>
          <w:lang w:val="fr-FR"/>
        </w:rPr>
        <w:t>la sur</w:t>
      </w:r>
      <w:r>
        <w:rPr>
          <w:b/>
          <w:lang w:val="fr-FR"/>
        </w:rPr>
        <w:t>face apparente du feu indicateur</w:t>
      </w:r>
      <w:r w:rsidRPr="000952A9">
        <w:rPr>
          <w:b/>
          <w:lang w:val="fr-FR"/>
        </w:rPr>
        <w:t xml:space="preserve"> de direction </w:t>
      </w:r>
      <w:r w:rsidRPr="000952A9">
        <w:rPr>
          <w:lang w:val="fr-FR"/>
        </w:rPr>
        <w:t>dans la direction de l</w:t>
      </w:r>
      <w:r>
        <w:rPr>
          <w:lang w:val="fr-FR"/>
        </w:rPr>
        <w:t>’</w:t>
      </w:r>
      <w:r w:rsidRPr="000952A9">
        <w:rPr>
          <w:lang w:val="fr-FR"/>
        </w:rPr>
        <w:t xml:space="preserve">axe de référence </w:t>
      </w:r>
      <w:r w:rsidRPr="000952A9">
        <w:rPr>
          <w:strike/>
          <w:lang w:val="fr-FR"/>
        </w:rPr>
        <w:t>d</w:t>
      </w:r>
      <w:r>
        <w:rPr>
          <w:strike/>
          <w:lang w:val="fr-FR"/>
        </w:rPr>
        <w:t>’</w:t>
      </w:r>
      <w:r w:rsidRPr="000952A9">
        <w:rPr>
          <w:strike/>
          <w:lang w:val="fr-FR"/>
        </w:rPr>
        <w:t xml:space="preserve">un rectangle circonscrit à la surface apparente du feu indicateur de </w:t>
      </w:r>
      <w:r w:rsidRPr="00D07043">
        <w:rPr>
          <w:strike/>
          <w:lang w:val="fr-FR"/>
        </w:rPr>
        <w:t xml:space="preserve">direction </w:t>
      </w:r>
      <w:r>
        <w:rPr>
          <w:b/>
          <w:lang w:val="fr-FR"/>
        </w:rPr>
        <w:t xml:space="preserve">doit être circonscrite à un rectangle inscrit dans un plan </w:t>
      </w:r>
      <w:r>
        <w:rPr>
          <w:b/>
          <w:lang w:val="fr-FR"/>
        </w:rPr>
        <w:lastRenderedPageBreak/>
        <w:t xml:space="preserve">perpendiculaire à l’axe de référence </w:t>
      </w:r>
      <w:r>
        <w:rPr>
          <w:lang w:val="fr-FR"/>
        </w:rPr>
        <w:t xml:space="preserve">et </w:t>
      </w:r>
      <w:r w:rsidRPr="000952A9">
        <w:rPr>
          <w:lang w:val="fr-FR"/>
        </w:rPr>
        <w:t xml:space="preserve">dont les côtés les plus longs </w:t>
      </w:r>
      <w:r w:rsidRPr="00D07043">
        <w:rPr>
          <w:strike/>
          <w:lang w:val="fr-FR"/>
        </w:rPr>
        <w:t xml:space="preserve">doivent être </w:t>
      </w:r>
      <w:r>
        <w:rPr>
          <w:b/>
          <w:lang w:val="fr-FR"/>
        </w:rPr>
        <w:t xml:space="preserve">sont </w:t>
      </w:r>
      <w:r w:rsidRPr="000952A9">
        <w:rPr>
          <w:lang w:val="fr-FR"/>
        </w:rPr>
        <w:t xml:space="preserve">parallèles au plan H, le rapport entre le côté horizontal et le côté vertical ne </w:t>
      </w:r>
      <w:r w:rsidRPr="00D07043">
        <w:rPr>
          <w:strike/>
          <w:lang w:val="fr-FR"/>
        </w:rPr>
        <w:t>doit</w:t>
      </w:r>
      <w:r w:rsidRPr="000952A9">
        <w:rPr>
          <w:lang w:val="fr-FR"/>
        </w:rPr>
        <w:t xml:space="preserve"> </w:t>
      </w:r>
      <w:r>
        <w:rPr>
          <w:b/>
          <w:lang w:val="fr-FR"/>
        </w:rPr>
        <w:t xml:space="preserve">devant </w:t>
      </w:r>
      <w:r w:rsidRPr="000952A9">
        <w:rPr>
          <w:lang w:val="fr-FR"/>
        </w:rPr>
        <w:t>pas être inférieur à 1,7.</w:t>
      </w:r>
    </w:p>
    <w:p w:rsidR="00020520" w:rsidRPr="0038175B" w:rsidRDefault="00020520" w:rsidP="00020520">
      <w:pPr>
        <w:spacing w:after="120"/>
        <w:ind w:leftChars="1134" w:left="2268" w:rightChars="567" w:right="1134"/>
        <w:jc w:val="both"/>
        <w:rPr>
          <w:rFonts w:eastAsia="SimSun"/>
          <w:bCs/>
          <w:lang w:val="fr-FR"/>
        </w:rPr>
      </w:pPr>
      <w:r w:rsidRPr="00FF360E">
        <w:rPr>
          <w:rFonts w:eastAsia="SimSun"/>
          <w:bCs/>
          <w:lang w:val="fr-FR"/>
        </w:rPr>
        <w:t>Il faut vérifier en mode clignotant si les conditions susmentionnées sont remplies</w:t>
      </w:r>
      <w:r>
        <w:rPr>
          <w:rFonts w:eastAsia="SimSun"/>
          <w:bCs/>
          <w:lang w:val="fr-FR"/>
        </w:rPr>
        <w:t>. ».</w:t>
      </w:r>
    </w:p>
    <w:p w:rsidR="00020520" w:rsidRPr="0038175B" w:rsidRDefault="00020520" w:rsidP="00020520">
      <w:pPr>
        <w:pStyle w:val="HChG"/>
        <w:spacing w:line="260" w:lineRule="exact"/>
        <w:ind w:hanging="459"/>
        <w:rPr>
          <w:sz w:val="24"/>
          <w:szCs w:val="24"/>
          <w:lang w:val="fr-FR"/>
        </w:rPr>
      </w:pPr>
      <w:r w:rsidRPr="0038175B">
        <w:rPr>
          <w:sz w:val="24"/>
          <w:szCs w:val="24"/>
          <w:lang w:val="fr-FR"/>
        </w:rPr>
        <w:t>B.</w:t>
      </w:r>
      <w:r w:rsidRPr="0038175B">
        <w:rPr>
          <w:sz w:val="24"/>
          <w:szCs w:val="24"/>
          <w:lang w:val="fr-FR"/>
        </w:rPr>
        <w:tab/>
      </w:r>
      <w:r w:rsidRPr="00D90061">
        <w:rPr>
          <w:sz w:val="24"/>
          <w:szCs w:val="24"/>
          <w:lang w:val="fr-FR"/>
        </w:rPr>
        <w:t>Proposition de complément 19 à la série original</w:t>
      </w:r>
      <w:r>
        <w:rPr>
          <w:sz w:val="24"/>
          <w:szCs w:val="24"/>
          <w:lang w:val="fr-FR"/>
        </w:rPr>
        <w:t>e d’amendements au Règlement n</w:t>
      </w:r>
      <w:r w:rsidRPr="00D90061">
        <w:rPr>
          <w:sz w:val="24"/>
          <w:szCs w:val="24"/>
          <w:vertAlign w:val="superscript"/>
          <w:lang w:val="fr-FR"/>
        </w:rPr>
        <w:t>o</w:t>
      </w:r>
      <w:r>
        <w:rPr>
          <w:sz w:val="24"/>
          <w:szCs w:val="24"/>
          <w:lang w:val="fr-FR"/>
        </w:rPr>
        <w:t> 50 (Feux de position, feux-stop et</w:t>
      </w:r>
      <w:r w:rsidRPr="00D90061">
        <w:rPr>
          <w:sz w:val="24"/>
          <w:szCs w:val="24"/>
          <w:lang w:val="fr-FR"/>
        </w:rPr>
        <w:t xml:space="preserve"> feux indicateurs de</w:t>
      </w:r>
      <w:r>
        <w:rPr>
          <w:sz w:val="24"/>
          <w:szCs w:val="24"/>
          <w:lang w:val="fr-FR"/>
        </w:rPr>
        <w:t> </w:t>
      </w:r>
      <w:r w:rsidRPr="00D90061">
        <w:rPr>
          <w:sz w:val="24"/>
          <w:szCs w:val="24"/>
          <w:lang w:val="fr-FR"/>
        </w:rPr>
        <w:t>direction pour motocycles et cyclomoteurs</w:t>
      </w:r>
      <w:r w:rsidRPr="0038175B">
        <w:rPr>
          <w:sz w:val="24"/>
          <w:szCs w:val="24"/>
          <w:lang w:val="fr-FR"/>
        </w:rPr>
        <w:t>)</w:t>
      </w:r>
    </w:p>
    <w:p w:rsidR="00020520" w:rsidRPr="0038175B" w:rsidRDefault="00020520" w:rsidP="00020520">
      <w:pPr>
        <w:pStyle w:val="SingleTxtG"/>
        <w:spacing w:line="240" w:lineRule="auto"/>
        <w:rPr>
          <w:lang w:val="fr-FR"/>
        </w:rPr>
      </w:pPr>
      <w:r w:rsidRPr="0038175B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38175B">
        <w:rPr>
          <w:i/>
          <w:iCs/>
          <w:lang w:val="fr-FR"/>
        </w:rPr>
        <w:t xml:space="preserve"> </w:t>
      </w:r>
      <w:r w:rsidRPr="0038175B">
        <w:rPr>
          <w:i/>
          <w:iCs/>
          <w:lang w:val="fr-FR" w:eastAsia="zh-CN"/>
        </w:rPr>
        <w:t>6</w:t>
      </w:r>
      <w:r w:rsidRPr="0038175B">
        <w:rPr>
          <w:i/>
          <w:iCs/>
          <w:lang w:val="fr-FR"/>
        </w:rPr>
        <w:t>.8</w:t>
      </w:r>
      <w:r w:rsidRPr="0038175B">
        <w:rPr>
          <w:lang w:val="fr-FR"/>
        </w:rPr>
        <w:t xml:space="preserve">, </w:t>
      </w:r>
      <w:r>
        <w:rPr>
          <w:lang w:val="fr-FR"/>
        </w:rPr>
        <w:t>modifier comme suit </w:t>
      </w:r>
      <w:r w:rsidRPr="0038175B">
        <w:rPr>
          <w:lang w:val="fr-FR"/>
        </w:rPr>
        <w:t>:</w:t>
      </w:r>
    </w:p>
    <w:p w:rsidR="00020520" w:rsidRDefault="00020520" w:rsidP="00020520">
      <w:pPr>
        <w:tabs>
          <w:tab w:val="left" w:pos="1134"/>
        </w:tabs>
        <w:spacing w:after="120"/>
        <w:ind w:left="2268" w:right="1134" w:hanging="1134"/>
        <w:jc w:val="both"/>
        <w:rPr>
          <w:rFonts w:eastAsia="SimSun"/>
          <w:bCs/>
          <w:lang w:val="fr-FR"/>
        </w:rPr>
      </w:pPr>
      <w:r>
        <w:rPr>
          <w:rFonts w:eastAsia="SimSun"/>
          <w:bCs/>
          <w:lang w:val="fr-FR"/>
        </w:rPr>
        <w:t>« </w:t>
      </w:r>
      <w:r w:rsidRPr="0038175B">
        <w:rPr>
          <w:rFonts w:eastAsia="SimSun"/>
          <w:bCs/>
          <w:lang w:val="fr-FR"/>
        </w:rPr>
        <w:t>6.8</w:t>
      </w:r>
      <w:r w:rsidRPr="0038175B">
        <w:rPr>
          <w:rFonts w:eastAsia="SimSun"/>
          <w:bCs/>
          <w:lang w:val="fr-FR"/>
        </w:rPr>
        <w:tab/>
      </w:r>
      <w:r w:rsidRPr="00926358">
        <w:rPr>
          <w:rFonts w:eastAsia="SimSun"/>
          <w:bCs/>
          <w:lang w:val="fr-FR"/>
        </w:rPr>
        <w:t xml:space="preserve">Le clignotement des feux indicateurs de direction des catégories </w:t>
      </w:r>
      <w:r w:rsidRPr="004178F8">
        <w:rPr>
          <w:rFonts w:eastAsia="SimSun"/>
          <w:bCs/>
          <w:lang w:val="fr-FR"/>
        </w:rPr>
        <w:t xml:space="preserve">11, 11a, 11b, 11c </w:t>
      </w:r>
      <w:r>
        <w:rPr>
          <w:rFonts w:eastAsia="SimSun"/>
          <w:bCs/>
          <w:lang w:val="fr-FR"/>
        </w:rPr>
        <w:t>et</w:t>
      </w:r>
      <w:r w:rsidRPr="004178F8">
        <w:rPr>
          <w:rFonts w:eastAsia="SimSun"/>
          <w:bCs/>
          <w:lang w:val="fr-FR"/>
        </w:rPr>
        <w:t xml:space="preserve"> 12 </w:t>
      </w:r>
      <w:r w:rsidRPr="00926358">
        <w:rPr>
          <w:rFonts w:eastAsia="SimSun"/>
          <w:bCs/>
          <w:lang w:val="fr-FR"/>
        </w:rPr>
        <w:t>peut être produit par activation séquentielle de leurs sources lumineuses si les conditions suivantes sont remplies</w:t>
      </w:r>
      <w:r>
        <w:rPr>
          <w:rFonts w:eastAsia="SimSun"/>
          <w:bCs/>
          <w:lang w:val="fr-FR"/>
        </w:rPr>
        <w:t> :</w:t>
      </w:r>
    </w:p>
    <w:p w:rsidR="00020520" w:rsidRPr="0038175B" w:rsidRDefault="00020520" w:rsidP="0002052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fr-FR"/>
        </w:rPr>
      </w:pPr>
      <w:r w:rsidRPr="0038175B">
        <w:rPr>
          <w:rFonts w:eastAsia="SimSun"/>
          <w:bCs/>
          <w:lang w:val="fr-FR"/>
        </w:rPr>
        <w:t>a)</w:t>
      </w:r>
      <w:r w:rsidRPr="0038175B">
        <w:rPr>
          <w:rFonts w:eastAsia="SimSun"/>
          <w:bCs/>
          <w:lang w:val="fr-FR"/>
        </w:rPr>
        <w:tab/>
      </w:r>
      <w:r w:rsidRPr="00926358">
        <w:rPr>
          <w:rFonts w:eastAsia="SimSun"/>
          <w:bCs/>
          <w:lang w:val="fr-FR"/>
        </w:rPr>
        <w:t>Chaque source lumineuse, après activation, doit rester allumée jusqu</w:t>
      </w:r>
      <w:r>
        <w:rPr>
          <w:rFonts w:eastAsia="SimSun"/>
          <w:bCs/>
          <w:lang w:val="fr-FR"/>
        </w:rPr>
        <w:t>’</w:t>
      </w:r>
      <w:r w:rsidRPr="00926358">
        <w:rPr>
          <w:rFonts w:eastAsia="SimSun"/>
          <w:bCs/>
          <w:lang w:val="fr-FR"/>
        </w:rPr>
        <w:t xml:space="preserve">à la fin du cycle </w:t>
      </w:r>
      <w:r>
        <w:rPr>
          <w:rFonts w:eastAsia="SimSun"/>
          <w:bCs/>
          <w:lang w:val="fr-FR"/>
        </w:rPr>
        <w:t>“marche” </w:t>
      </w:r>
      <w:r w:rsidRPr="00926358">
        <w:rPr>
          <w:rFonts w:eastAsia="SimSun"/>
          <w:bCs/>
          <w:lang w:val="fr-FR"/>
        </w:rPr>
        <w:t>;</w:t>
      </w:r>
    </w:p>
    <w:p w:rsidR="00020520" w:rsidRDefault="00020520" w:rsidP="00020520">
      <w:pPr>
        <w:spacing w:after="120"/>
        <w:ind w:leftChars="1133" w:left="2833" w:rightChars="567" w:right="1134" w:hanging="567"/>
        <w:jc w:val="both"/>
        <w:rPr>
          <w:lang w:val="fr-FR"/>
        </w:rPr>
      </w:pPr>
      <w:r w:rsidRPr="0038175B">
        <w:rPr>
          <w:lang w:val="fr-FR"/>
        </w:rPr>
        <w:t>b)</w:t>
      </w:r>
      <w:r w:rsidRPr="0038175B">
        <w:rPr>
          <w:lang w:val="fr-FR"/>
        </w:rPr>
        <w:tab/>
      </w:r>
      <w:r w:rsidRPr="00926358">
        <w:rPr>
          <w:lang w:val="fr-FR"/>
        </w:rPr>
        <w:t>La séquence d</w:t>
      </w:r>
      <w:r>
        <w:rPr>
          <w:lang w:val="fr-FR"/>
        </w:rPr>
        <w:t>’</w:t>
      </w:r>
      <w:r w:rsidRPr="00926358">
        <w:rPr>
          <w:lang w:val="fr-FR"/>
        </w:rPr>
        <w:t xml:space="preserve">activation des sources lumineuses doit </w:t>
      </w:r>
      <w:r>
        <w:rPr>
          <w:b/>
          <w:lang w:val="fr-FR"/>
        </w:rPr>
        <w:t xml:space="preserve">produire un signal </w:t>
      </w:r>
      <w:r w:rsidRPr="009620EA">
        <w:rPr>
          <w:strike/>
          <w:lang w:val="fr-FR"/>
        </w:rPr>
        <w:t xml:space="preserve">se faire de façon </w:t>
      </w:r>
      <w:r w:rsidRPr="00926358">
        <w:rPr>
          <w:lang w:val="fr-FR"/>
        </w:rPr>
        <w:t>uniforme et progressi</w:t>
      </w:r>
      <w:r w:rsidRPr="009620EA">
        <w:rPr>
          <w:strike/>
          <w:lang w:val="fr-FR"/>
        </w:rPr>
        <w:t>ve</w:t>
      </w:r>
      <w:r>
        <w:rPr>
          <w:b/>
          <w:lang w:val="fr-FR"/>
        </w:rPr>
        <w:t>f allant</w:t>
      </w:r>
      <w:r w:rsidRPr="00926358">
        <w:rPr>
          <w:lang w:val="fr-FR"/>
        </w:rPr>
        <w:t xml:space="preserve"> du bord intérieur vers le bord extérieur de la surface apparente</w:t>
      </w:r>
      <w:r>
        <w:rPr>
          <w:lang w:val="fr-FR"/>
        </w:rPr>
        <w:t> ;</w:t>
      </w:r>
    </w:p>
    <w:p w:rsidR="00020520" w:rsidRPr="009620EA" w:rsidRDefault="00020520" w:rsidP="00020520">
      <w:pPr>
        <w:spacing w:after="120"/>
        <w:ind w:leftChars="1133" w:left="2833" w:rightChars="567" w:right="1134" w:hanging="567"/>
        <w:jc w:val="both"/>
        <w:rPr>
          <w:b/>
          <w:lang w:val="fr-FR"/>
        </w:rPr>
      </w:pPr>
      <w:r w:rsidRPr="0038175B">
        <w:rPr>
          <w:lang w:val="fr-FR"/>
        </w:rPr>
        <w:t>c)</w:t>
      </w:r>
      <w:r w:rsidRPr="0038175B">
        <w:rPr>
          <w:lang w:val="fr-FR"/>
        </w:rPr>
        <w:tab/>
      </w:r>
      <w:r w:rsidRPr="001B1250">
        <w:rPr>
          <w:strike/>
          <w:lang w:val="fr-FR"/>
        </w:rPr>
        <w:t xml:space="preserve">Cela doit produire une </w:t>
      </w:r>
      <w:r w:rsidRPr="009620EA">
        <w:rPr>
          <w:strike/>
          <w:lang w:val="fr-FR"/>
        </w:rPr>
        <w:t xml:space="preserve">ligne </w:t>
      </w:r>
      <w:r>
        <w:rPr>
          <w:b/>
          <w:lang w:val="fr-FR"/>
        </w:rPr>
        <w:t>Le</w:t>
      </w:r>
      <w:r w:rsidRPr="009620EA">
        <w:rPr>
          <w:b/>
          <w:lang w:val="fr-FR"/>
        </w:rPr>
        <w:t xml:space="preserve"> signal</w:t>
      </w:r>
      <w:r>
        <w:rPr>
          <w:b/>
          <w:lang w:val="fr-FR"/>
        </w:rPr>
        <w:t xml:space="preserve"> produit doit être</w:t>
      </w:r>
      <w:r>
        <w:rPr>
          <w:lang w:val="fr-FR"/>
        </w:rPr>
        <w:t xml:space="preserve"> </w:t>
      </w:r>
      <w:r w:rsidRPr="009620EA">
        <w:rPr>
          <w:lang w:val="fr-FR"/>
        </w:rPr>
        <w:t>continu</w:t>
      </w:r>
      <w:r w:rsidRPr="001B1250">
        <w:rPr>
          <w:strike/>
          <w:lang w:val="fr-FR"/>
        </w:rPr>
        <w:t>e sa</w:t>
      </w:r>
      <w:r w:rsidRPr="009620EA">
        <w:rPr>
          <w:strike/>
          <w:lang w:val="fr-FR"/>
        </w:rPr>
        <w:t xml:space="preserve">ns alternances répétées dans le sens </w:t>
      </w:r>
      <w:r>
        <w:rPr>
          <w:b/>
          <w:lang w:val="fr-FR"/>
        </w:rPr>
        <w:t xml:space="preserve">et exempt d’oscillation </w:t>
      </w:r>
      <w:r w:rsidRPr="009620EA">
        <w:rPr>
          <w:lang w:val="fr-FR"/>
        </w:rPr>
        <w:t>vertical</w:t>
      </w:r>
      <w:r>
        <w:rPr>
          <w:b/>
          <w:lang w:val="fr-FR"/>
        </w:rPr>
        <w:t>e</w:t>
      </w:r>
      <w:r w:rsidRPr="009620EA">
        <w:rPr>
          <w:lang w:val="fr-FR"/>
        </w:rPr>
        <w:t xml:space="preserve"> (</w:t>
      </w:r>
      <w:r w:rsidRPr="007E0AAF">
        <w:rPr>
          <w:strike/>
          <w:lang w:val="fr-FR"/>
        </w:rPr>
        <w:t xml:space="preserve">autrement dit, il ne </w:t>
      </w:r>
      <w:r w:rsidRPr="00B52082">
        <w:rPr>
          <w:strike/>
          <w:lang w:val="fr-FR"/>
        </w:rPr>
        <w:t>doit pas y avoir de</w:t>
      </w:r>
      <w:r>
        <w:rPr>
          <w:b/>
          <w:lang w:val="fr-FR"/>
        </w:rPr>
        <w:t>tout “effet de</w:t>
      </w:r>
      <w:r w:rsidRPr="00B52082">
        <w:rPr>
          <w:strike/>
          <w:lang w:val="fr-FR"/>
        </w:rPr>
        <w:t xml:space="preserve"> </w:t>
      </w:r>
      <w:r>
        <w:rPr>
          <w:lang w:val="fr-FR"/>
        </w:rPr>
        <w:t>vague</w:t>
      </w:r>
      <w:r w:rsidRPr="00B52082">
        <w:rPr>
          <w:strike/>
          <w:lang w:val="fr-FR"/>
        </w:rPr>
        <w:t>s</w:t>
      </w:r>
      <w:r>
        <w:rPr>
          <w:b/>
          <w:lang w:val="fr-FR"/>
        </w:rPr>
        <w:t>” est interdit</w:t>
      </w:r>
      <w:r>
        <w:rPr>
          <w:lang w:val="fr-FR"/>
        </w:rPr>
        <w:t>)</w:t>
      </w:r>
      <w:r>
        <w:rPr>
          <w:b/>
          <w:lang w:val="fr-FR"/>
        </w:rPr>
        <w:t>. Pour que l</w:t>
      </w:r>
      <w:r w:rsidRPr="009620EA">
        <w:rPr>
          <w:b/>
          <w:lang w:val="fr-FR"/>
        </w:rPr>
        <w:t xml:space="preserve">e signal </w:t>
      </w:r>
      <w:r>
        <w:rPr>
          <w:b/>
          <w:lang w:val="fr-FR"/>
        </w:rPr>
        <w:t>soit</w:t>
      </w:r>
      <w:r w:rsidRPr="009620EA">
        <w:rPr>
          <w:b/>
          <w:lang w:val="fr-FR"/>
        </w:rPr>
        <w:t xml:space="preserve"> considéré comme continu</w:t>
      </w:r>
      <w:r>
        <w:rPr>
          <w:b/>
          <w:lang w:val="fr-FR"/>
        </w:rPr>
        <w:t>,</w:t>
      </w:r>
      <w:r w:rsidRPr="009620EA">
        <w:rPr>
          <w:b/>
          <w:lang w:val="fr-FR"/>
        </w:rPr>
        <w:t xml:space="preserve"> la distance entre deux parties adjacentes </w:t>
      </w:r>
      <w:r>
        <w:rPr>
          <w:b/>
          <w:lang w:val="fr-FR"/>
        </w:rPr>
        <w:t>ou</w:t>
      </w:r>
      <w:r w:rsidRPr="009620EA">
        <w:rPr>
          <w:b/>
          <w:lang w:val="fr-FR"/>
        </w:rPr>
        <w:t xml:space="preserve"> tangentes </w:t>
      </w:r>
      <w:r>
        <w:rPr>
          <w:b/>
          <w:lang w:val="fr-FR"/>
        </w:rPr>
        <w:t>mais distinctes</w:t>
      </w:r>
      <w:r w:rsidRPr="009620EA">
        <w:rPr>
          <w:b/>
          <w:lang w:val="fr-FR"/>
        </w:rPr>
        <w:t xml:space="preserve">, </w:t>
      </w:r>
      <w:r>
        <w:rPr>
          <w:b/>
          <w:lang w:val="fr-FR"/>
        </w:rPr>
        <w:t xml:space="preserve">telle que </w:t>
      </w:r>
      <w:r w:rsidRPr="009620EA">
        <w:rPr>
          <w:b/>
          <w:lang w:val="fr-FR"/>
        </w:rPr>
        <w:t>mesurée perpendiculairement à l</w:t>
      </w:r>
      <w:r>
        <w:rPr>
          <w:b/>
          <w:lang w:val="fr-FR"/>
        </w:rPr>
        <w:t>’</w:t>
      </w:r>
      <w:r w:rsidRPr="009620EA">
        <w:rPr>
          <w:b/>
          <w:lang w:val="fr-FR"/>
        </w:rPr>
        <w:t>axe de référence</w:t>
      </w:r>
      <w:r>
        <w:rPr>
          <w:b/>
          <w:lang w:val="fr-FR"/>
        </w:rPr>
        <w:t>, ne doit pas dépasser [xx</w:t>
      </w:r>
      <w:r w:rsidRPr="009620EA">
        <w:rPr>
          <w:b/>
          <w:lang w:val="fr-FR"/>
        </w:rPr>
        <w:t>]</w:t>
      </w:r>
      <w:r>
        <w:rPr>
          <w:b/>
          <w:lang w:val="fr-FR"/>
        </w:rPr>
        <w:t> </w:t>
      </w:r>
      <w:r w:rsidRPr="009620EA">
        <w:rPr>
          <w:b/>
          <w:lang w:val="fr-FR"/>
        </w:rPr>
        <w:t>mm</w:t>
      </w:r>
      <w:r>
        <w:rPr>
          <w:b/>
          <w:lang w:val="fr-FR"/>
        </w:rPr>
        <w:t xml:space="preserve"> ; </w:t>
      </w:r>
    </w:p>
    <w:p w:rsidR="00020520" w:rsidRPr="0038175B" w:rsidRDefault="00020520" w:rsidP="00020520">
      <w:pPr>
        <w:spacing w:after="120"/>
        <w:ind w:leftChars="1133" w:left="2833" w:rightChars="567" w:right="1134" w:hanging="567"/>
        <w:jc w:val="both"/>
        <w:rPr>
          <w:lang w:val="fr-FR"/>
        </w:rPr>
      </w:pPr>
      <w:r w:rsidRPr="0038175B">
        <w:rPr>
          <w:lang w:val="fr-FR"/>
        </w:rPr>
        <w:t>d)</w:t>
      </w:r>
      <w:r w:rsidRPr="0038175B">
        <w:rPr>
          <w:lang w:val="fr-FR"/>
        </w:rPr>
        <w:tab/>
      </w:r>
      <w:r w:rsidRPr="000952A9">
        <w:rPr>
          <w:lang w:val="fr-FR"/>
        </w:rPr>
        <w:t xml:space="preserve">La variation doit prendre fin au plus tard 200 ms après le début du cycle </w:t>
      </w:r>
      <w:r>
        <w:rPr>
          <w:lang w:val="fr-FR"/>
        </w:rPr>
        <w:t>“</w:t>
      </w:r>
      <w:r w:rsidRPr="000952A9">
        <w:rPr>
          <w:lang w:val="fr-FR"/>
        </w:rPr>
        <w:t>marche</w:t>
      </w:r>
      <w:r>
        <w:rPr>
          <w:lang w:val="fr-FR"/>
        </w:rPr>
        <w:t>” </w:t>
      </w:r>
      <w:r w:rsidRPr="000952A9">
        <w:rPr>
          <w:lang w:val="fr-FR"/>
        </w:rPr>
        <w:t>;</w:t>
      </w:r>
    </w:p>
    <w:p w:rsidR="00020520" w:rsidRDefault="00020520" w:rsidP="00020520">
      <w:pPr>
        <w:tabs>
          <w:tab w:val="left" w:pos="2410"/>
        </w:tabs>
        <w:spacing w:after="120"/>
        <w:ind w:leftChars="1133" w:left="2833" w:rightChars="567" w:right="1134" w:hanging="567"/>
        <w:jc w:val="both"/>
        <w:rPr>
          <w:lang w:val="fr-FR"/>
        </w:rPr>
      </w:pPr>
      <w:r w:rsidRPr="0038175B">
        <w:rPr>
          <w:lang w:val="fr-FR"/>
        </w:rPr>
        <w:t>e)</w:t>
      </w:r>
      <w:r w:rsidRPr="0038175B">
        <w:rPr>
          <w:lang w:val="fr-FR"/>
        </w:rPr>
        <w:tab/>
      </w:r>
      <w:r w:rsidRPr="000952A9">
        <w:rPr>
          <w:strike/>
          <w:lang w:val="fr-FR"/>
        </w:rPr>
        <w:t>Pour l</w:t>
      </w:r>
      <w:r>
        <w:rPr>
          <w:b/>
          <w:lang w:val="fr-FR"/>
        </w:rPr>
        <w:t>L</w:t>
      </w:r>
      <w:r w:rsidRPr="000952A9">
        <w:rPr>
          <w:lang w:val="fr-FR"/>
        </w:rPr>
        <w:t xml:space="preserve">a projection orthogonale </w:t>
      </w:r>
      <w:r>
        <w:rPr>
          <w:b/>
          <w:lang w:val="fr-FR"/>
        </w:rPr>
        <w:t xml:space="preserve">de </w:t>
      </w:r>
      <w:r w:rsidRPr="000952A9">
        <w:rPr>
          <w:b/>
          <w:lang w:val="fr-FR"/>
        </w:rPr>
        <w:t xml:space="preserve">la surface apparente du feu indicateur de direction </w:t>
      </w:r>
      <w:r w:rsidRPr="000952A9">
        <w:rPr>
          <w:lang w:val="fr-FR"/>
        </w:rPr>
        <w:t>dans la direction de l</w:t>
      </w:r>
      <w:r>
        <w:rPr>
          <w:lang w:val="fr-FR"/>
        </w:rPr>
        <w:t>’</w:t>
      </w:r>
      <w:r w:rsidRPr="000952A9">
        <w:rPr>
          <w:lang w:val="fr-FR"/>
        </w:rPr>
        <w:t xml:space="preserve">axe de référence </w:t>
      </w:r>
      <w:r w:rsidRPr="000952A9">
        <w:rPr>
          <w:strike/>
          <w:lang w:val="fr-FR"/>
        </w:rPr>
        <w:t>d</w:t>
      </w:r>
      <w:r>
        <w:rPr>
          <w:strike/>
          <w:lang w:val="fr-FR"/>
        </w:rPr>
        <w:t>’</w:t>
      </w:r>
      <w:r w:rsidRPr="000952A9">
        <w:rPr>
          <w:strike/>
          <w:lang w:val="fr-FR"/>
        </w:rPr>
        <w:t xml:space="preserve">un rectangle circonscrit à la surface apparente du feu indicateur de </w:t>
      </w:r>
      <w:r w:rsidRPr="00D07043">
        <w:rPr>
          <w:strike/>
          <w:lang w:val="fr-FR"/>
        </w:rPr>
        <w:t xml:space="preserve">direction </w:t>
      </w:r>
      <w:r>
        <w:rPr>
          <w:b/>
          <w:lang w:val="fr-FR"/>
        </w:rPr>
        <w:t xml:space="preserve">doit être circonscrite à un rectangle inscrit dans un plan perpendiculaire à l’axe de référence </w:t>
      </w:r>
      <w:r>
        <w:rPr>
          <w:lang w:val="fr-FR"/>
        </w:rPr>
        <w:t xml:space="preserve">et </w:t>
      </w:r>
      <w:r w:rsidRPr="000952A9">
        <w:rPr>
          <w:lang w:val="fr-FR"/>
        </w:rPr>
        <w:t xml:space="preserve">dont les côtés les plus longs </w:t>
      </w:r>
      <w:r w:rsidRPr="00D07043">
        <w:rPr>
          <w:strike/>
          <w:lang w:val="fr-FR"/>
        </w:rPr>
        <w:t xml:space="preserve">doivent être </w:t>
      </w:r>
      <w:r>
        <w:rPr>
          <w:b/>
          <w:lang w:val="fr-FR"/>
        </w:rPr>
        <w:t xml:space="preserve">sont </w:t>
      </w:r>
      <w:r w:rsidRPr="000952A9">
        <w:rPr>
          <w:lang w:val="fr-FR"/>
        </w:rPr>
        <w:t xml:space="preserve">parallèles au plan H, le rapport entre le côté horizontal et le côté vertical ne </w:t>
      </w:r>
      <w:r w:rsidRPr="00D07043">
        <w:rPr>
          <w:strike/>
          <w:lang w:val="fr-FR"/>
        </w:rPr>
        <w:t>doit</w:t>
      </w:r>
      <w:r w:rsidRPr="000952A9">
        <w:rPr>
          <w:lang w:val="fr-FR"/>
        </w:rPr>
        <w:t xml:space="preserve"> </w:t>
      </w:r>
      <w:r>
        <w:rPr>
          <w:b/>
          <w:lang w:val="fr-FR"/>
        </w:rPr>
        <w:t xml:space="preserve">devant </w:t>
      </w:r>
      <w:r w:rsidRPr="000952A9">
        <w:rPr>
          <w:lang w:val="fr-FR"/>
        </w:rPr>
        <w:t>pas être inférieur à 1,7.</w:t>
      </w:r>
    </w:p>
    <w:p w:rsidR="00020520" w:rsidRPr="0038175B" w:rsidRDefault="00020520" w:rsidP="00020520">
      <w:pPr>
        <w:spacing w:after="120"/>
        <w:ind w:leftChars="1134" w:left="2268" w:rightChars="567" w:right="1134"/>
        <w:jc w:val="both"/>
        <w:rPr>
          <w:rFonts w:eastAsia="SimSun"/>
          <w:bCs/>
          <w:lang w:val="fr-FR"/>
        </w:rPr>
      </w:pPr>
      <w:r w:rsidRPr="00FF360E">
        <w:rPr>
          <w:rFonts w:eastAsia="SimSun"/>
          <w:bCs/>
          <w:lang w:val="fr-FR"/>
        </w:rPr>
        <w:t>Il faut vérifier en mode clignotant si les conditions susmentionnées sont remplies</w:t>
      </w:r>
      <w:r>
        <w:rPr>
          <w:rFonts w:eastAsia="SimSun"/>
          <w:bCs/>
          <w:lang w:val="fr-FR"/>
        </w:rPr>
        <w:t>. ».</w:t>
      </w:r>
    </w:p>
    <w:p w:rsidR="00020520" w:rsidRPr="0038175B" w:rsidRDefault="00020520" w:rsidP="00020520">
      <w:pPr>
        <w:pStyle w:val="HChG"/>
        <w:rPr>
          <w:lang w:val="fr-FR"/>
        </w:rPr>
      </w:pPr>
      <w:r w:rsidRPr="0038175B">
        <w:rPr>
          <w:lang w:val="fr-FR"/>
        </w:rPr>
        <w:tab/>
        <w:t>II.</w:t>
      </w:r>
      <w:r w:rsidRPr="0038175B">
        <w:rPr>
          <w:lang w:val="fr-FR"/>
        </w:rPr>
        <w:tab/>
        <w:t>Justification</w:t>
      </w:r>
    </w:p>
    <w:p w:rsidR="00020520" w:rsidRPr="0038175B" w:rsidRDefault="00020520" w:rsidP="00020520">
      <w:pPr>
        <w:pStyle w:val="SingleTxtG"/>
        <w:rPr>
          <w:lang w:val="fr-FR"/>
        </w:rPr>
      </w:pPr>
      <w:r w:rsidRPr="0038175B">
        <w:rPr>
          <w:lang w:val="fr-FR"/>
        </w:rPr>
        <w:t>1.</w:t>
      </w:r>
      <w:r w:rsidRPr="0038175B">
        <w:rPr>
          <w:lang w:val="fr-FR"/>
        </w:rPr>
        <w:tab/>
      </w:r>
      <w:r>
        <w:rPr>
          <w:lang w:val="fr-FR"/>
        </w:rPr>
        <w:t xml:space="preserve">Dans </w:t>
      </w:r>
      <w:r w:rsidRPr="00DE6E1A">
        <w:rPr>
          <w:lang w:val="fr-FR"/>
        </w:rPr>
        <w:t>le document informel GRE-75-10</w:t>
      </w:r>
      <w:r>
        <w:rPr>
          <w:lang w:val="fr-FR"/>
        </w:rPr>
        <w:t>,</w:t>
      </w:r>
      <w:r w:rsidRPr="00DE6E1A">
        <w:rPr>
          <w:lang w:val="fr-FR"/>
        </w:rPr>
        <w:t xml:space="preserve"> soumis par l</w:t>
      </w:r>
      <w:r>
        <w:rPr>
          <w:lang w:val="fr-FR"/>
        </w:rPr>
        <w:t>’</w:t>
      </w:r>
      <w:r w:rsidRPr="00DE6E1A">
        <w:rPr>
          <w:lang w:val="fr-FR"/>
        </w:rPr>
        <w:t xml:space="preserve">Allemagne </w:t>
      </w:r>
      <w:r>
        <w:rPr>
          <w:lang w:val="fr-FR"/>
        </w:rPr>
        <w:t>à</w:t>
      </w:r>
      <w:r w:rsidRPr="00DE6E1A">
        <w:rPr>
          <w:lang w:val="fr-FR"/>
        </w:rPr>
        <w:t xml:space="preserve"> la soixante-quinzième session du GRE, </w:t>
      </w:r>
      <w:r>
        <w:rPr>
          <w:lang w:val="fr-FR"/>
        </w:rPr>
        <w:t>étaient</w:t>
      </w:r>
      <w:r w:rsidRPr="00DE6E1A">
        <w:rPr>
          <w:lang w:val="fr-FR"/>
        </w:rPr>
        <w:t xml:space="preserve"> mis en évidence des p</w:t>
      </w:r>
      <w:r>
        <w:rPr>
          <w:lang w:val="fr-FR"/>
        </w:rPr>
        <w:t>roblèmes d’interprétation d</w:t>
      </w:r>
      <w:r w:rsidRPr="00DE6E1A">
        <w:rPr>
          <w:lang w:val="fr-FR"/>
        </w:rPr>
        <w:t>es conditions d</w:t>
      </w:r>
      <w:r>
        <w:rPr>
          <w:lang w:val="fr-FR"/>
        </w:rPr>
        <w:t>’</w:t>
      </w:r>
      <w:r w:rsidRPr="00DE6E1A">
        <w:rPr>
          <w:lang w:val="fr-FR"/>
        </w:rPr>
        <w:t>activation séquentielles des indicateurs de direction. L</w:t>
      </w:r>
      <w:r>
        <w:rPr>
          <w:lang w:val="fr-FR"/>
        </w:rPr>
        <w:t>’</w:t>
      </w:r>
      <w:r w:rsidRPr="00DE6E1A">
        <w:rPr>
          <w:lang w:val="fr-FR"/>
        </w:rPr>
        <w:t xml:space="preserve">Allemagne a proposé </w:t>
      </w:r>
      <w:r>
        <w:rPr>
          <w:lang w:val="fr-FR"/>
        </w:rPr>
        <w:t>de créer</w:t>
      </w:r>
      <w:r w:rsidRPr="00DE6E1A">
        <w:rPr>
          <w:lang w:val="fr-FR"/>
        </w:rPr>
        <w:t xml:space="preserve"> une Équipe spéciale de l</w:t>
      </w:r>
      <w:r>
        <w:rPr>
          <w:lang w:val="fr-FR"/>
        </w:rPr>
        <w:t>’</w:t>
      </w:r>
      <w:r w:rsidRPr="00DE6E1A">
        <w:rPr>
          <w:lang w:val="fr-FR"/>
        </w:rPr>
        <w:t>activation séquentielle qui serait chargée de préciser l</w:t>
      </w:r>
      <w:r>
        <w:rPr>
          <w:lang w:val="fr-FR"/>
        </w:rPr>
        <w:t>’</w:t>
      </w:r>
      <w:r w:rsidRPr="00DE6E1A">
        <w:rPr>
          <w:lang w:val="fr-FR"/>
        </w:rPr>
        <w:t xml:space="preserve">interprétation de la prescription </w:t>
      </w:r>
      <w:r>
        <w:rPr>
          <w:lang w:val="fr-FR"/>
        </w:rPr>
        <w:t xml:space="preserve">relative à </w:t>
      </w:r>
      <w:r w:rsidRPr="00DE6E1A">
        <w:rPr>
          <w:lang w:val="fr-FR"/>
        </w:rPr>
        <w:t>«</w:t>
      </w:r>
      <w:r w:rsidR="003D57D6">
        <w:rPr>
          <w:lang w:val="fr-FR"/>
        </w:rPr>
        <w:t> </w:t>
      </w:r>
      <w:r w:rsidRPr="00DE6E1A">
        <w:rPr>
          <w:lang w:val="fr-FR"/>
        </w:rPr>
        <w:t>une ligne continue</w:t>
      </w:r>
      <w:r w:rsidR="003D57D6">
        <w:rPr>
          <w:lang w:val="fr-FR"/>
        </w:rPr>
        <w:t> </w:t>
      </w:r>
      <w:r w:rsidRPr="00DE6E1A">
        <w:rPr>
          <w:lang w:val="fr-FR"/>
        </w:rPr>
        <w:t>» énoncée au paragraphe</w:t>
      </w:r>
      <w:r w:rsidR="003D57D6">
        <w:rPr>
          <w:lang w:val="fr-FR"/>
        </w:rPr>
        <w:t> </w:t>
      </w:r>
      <w:r w:rsidRPr="00DE6E1A">
        <w:rPr>
          <w:lang w:val="fr-FR"/>
        </w:rPr>
        <w:t>5.6</w:t>
      </w:r>
      <w:r>
        <w:rPr>
          <w:lang w:val="fr-FR"/>
        </w:rPr>
        <w:t> </w:t>
      </w:r>
      <w:r w:rsidRPr="00DE6E1A">
        <w:rPr>
          <w:lang w:val="fr-FR"/>
        </w:rPr>
        <w:t>c) du Règlement n</w:t>
      </w:r>
      <w:r w:rsidRPr="003D669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E6E1A">
        <w:rPr>
          <w:lang w:val="fr-FR"/>
        </w:rPr>
        <w:t>6. Le présent document est le résultat des travaux de l</w:t>
      </w:r>
      <w:r>
        <w:rPr>
          <w:lang w:val="fr-FR"/>
        </w:rPr>
        <w:t>’</w:t>
      </w:r>
      <w:r w:rsidRPr="00DE6E1A">
        <w:rPr>
          <w:lang w:val="fr-FR"/>
        </w:rPr>
        <w:t>Équipe spéciale</w:t>
      </w:r>
      <w:r w:rsidRPr="0038175B">
        <w:rPr>
          <w:lang w:val="fr-FR"/>
        </w:rPr>
        <w:t>.</w:t>
      </w:r>
    </w:p>
    <w:p w:rsidR="00020520" w:rsidRPr="00CA3150" w:rsidRDefault="00020520" w:rsidP="00020520">
      <w:pPr>
        <w:pStyle w:val="SingleTxtG"/>
        <w:rPr>
          <w:lang w:val="fr-FR"/>
        </w:rPr>
      </w:pPr>
      <w:r w:rsidRPr="0038175B">
        <w:rPr>
          <w:lang w:val="fr-FR"/>
        </w:rPr>
        <w:lastRenderedPageBreak/>
        <w:t>2.</w:t>
      </w:r>
      <w:r w:rsidRPr="0038175B">
        <w:rPr>
          <w:lang w:val="fr-FR"/>
        </w:rPr>
        <w:tab/>
      </w:r>
      <w:r w:rsidRPr="00CA3150">
        <w:rPr>
          <w:lang w:val="fr-FR"/>
        </w:rPr>
        <w:t>L</w:t>
      </w:r>
      <w:r>
        <w:rPr>
          <w:lang w:val="fr-FR"/>
        </w:rPr>
        <w:t>’</w:t>
      </w:r>
      <w:r w:rsidRPr="00CA3150">
        <w:rPr>
          <w:lang w:val="fr-FR"/>
        </w:rPr>
        <w:t xml:space="preserve">ajout au paragraphe 1.3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150">
        <w:rPr>
          <w:lang w:val="fr-FR"/>
        </w:rPr>
        <w:t xml:space="preserve">6 </w:t>
      </w:r>
      <w:r>
        <w:rPr>
          <w:lang w:val="fr-FR"/>
        </w:rPr>
        <w:t>précise</w:t>
      </w:r>
      <w:r w:rsidRPr="00CA3150">
        <w:rPr>
          <w:lang w:val="fr-FR"/>
        </w:rPr>
        <w:t xml:space="preserve"> la définition du type et réduit la nécessité de diviser les indic</w:t>
      </w:r>
      <w:r>
        <w:rPr>
          <w:lang w:val="fr-FR"/>
        </w:rPr>
        <w:t>ateurs de direction séquentiel</w:t>
      </w:r>
      <w:r w:rsidRPr="00CA3150">
        <w:rPr>
          <w:lang w:val="fr-FR"/>
        </w:rPr>
        <w:t>s en différents types.</w:t>
      </w:r>
    </w:p>
    <w:p w:rsidR="00020520" w:rsidRPr="00CA3150" w:rsidRDefault="00020520" w:rsidP="00020520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texte de l’alinéa 5.6 b</w:t>
      </w:r>
      <w:r w:rsidRPr="00CA3150">
        <w:rPr>
          <w:lang w:val="fr-FR"/>
        </w:rPr>
        <w:t xml:space="preserve">)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150">
        <w:rPr>
          <w:lang w:val="fr-FR"/>
        </w:rPr>
        <w:t xml:space="preserve">6 est modifié </w:t>
      </w:r>
      <w:r>
        <w:rPr>
          <w:lang w:val="fr-FR"/>
        </w:rPr>
        <w:t>de manière à le rendre neutre</w:t>
      </w:r>
      <w:r w:rsidRPr="007070C7">
        <w:rPr>
          <w:lang w:val="fr-FR"/>
        </w:rPr>
        <w:t xml:space="preserve"> à l</w:t>
      </w:r>
      <w:r>
        <w:rPr>
          <w:lang w:val="fr-FR"/>
        </w:rPr>
        <w:t>’</w:t>
      </w:r>
      <w:r w:rsidRPr="007070C7">
        <w:rPr>
          <w:lang w:val="fr-FR"/>
        </w:rPr>
        <w:t>égard des technologies employées</w:t>
      </w:r>
      <w:r>
        <w:rPr>
          <w:lang w:val="fr-FR"/>
        </w:rPr>
        <w:t>. Pourvu que</w:t>
      </w:r>
      <w:r w:rsidRPr="00CA3150">
        <w:rPr>
          <w:lang w:val="fr-FR"/>
        </w:rPr>
        <w:t xml:space="preserve"> l</w:t>
      </w:r>
      <w:r>
        <w:rPr>
          <w:lang w:val="fr-FR"/>
        </w:rPr>
        <w:t>’apparence</w:t>
      </w:r>
      <w:r w:rsidRPr="00CA3150">
        <w:rPr>
          <w:lang w:val="fr-FR"/>
        </w:rPr>
        <w:t xml:space="preserve"> </w:t>
      </w:r>
      <w:r>
        <w:rPr>
          <w:lang w:val="fr-FR"/>
        </w:rPr>
        <w:t>du</w:t>
      </w:r>
      <w:r w:rsidRPr="00CA3150">
        <w:rPr>
          <w:lang w:val="fr-FR"/>
        </w:rPr>
        <w:t xml:space="preserve"> signal </w:t>
      </w:r>
      <w:r>
        <w:rPr>
          <w:lang w:val="fr-FR"/>
        </w:rPr>
        <w:t xml:space="preserve">soit </w:t>
      </w:r>
      <w:r w:rsidRPr="00CA3150">
        <w:rPr>
          <w:lang w:val="fr-FR"/>
        </w:rPr>
        <w:t>séquentiel</w:t>
      </w:r>
      <w:r>
        <w:rPr>
          <w:lang w:val="fr-FR"/>
        </w:rPr>
        <w:t>le, l</w:t>
      </w:r>
      <w:r w:rsidRPr="00CA3150">
        <w:rPr>
          <w:lang w:val="fr-FR"/>
        </w:rPr>
        <w:t xml:space="preserve">a </w:t>
      </w:r>
      <w:r>
        <w:rPr>
          <w:lang w:val="fr-FR"/>
        </w:rPr>
        <w:t>manière</w:t>
      </w:r>
      <w:r w:rsidRPr="00CA3150">
        <w:rPr>
          <w:lang w:val="fr-FR"/>
        </w:rPr>
        <w:t xml:space="preserve"> dont les sources lumineuses sont activées</w:t>
      </w:r>
      <w:r w:rsidRPr="007070C7">
        <w:rPr>
          <w:lang w:val="fr-FR"/>
        </w:rPr>
        <w:t xml:space="preserve"> </w:t>
      </w:r>
      <w:r>
        <w:rPr>
          <w:lang w:val="fr-FR"/>
        </w:rPr>
        <w:t>n’est pas essentielle</w:t>
      </w:r>
      <w:r w:rsidRPr="00CA3150">
        <w:rPr>
          <w:lang w:val="fr-FR"/>
        </w:rPr>
        <w:t xml:space="preserve">. Par exemple, le nouveau texte </w:t>
      </w:r>
      <w:r>
        <w:rPr>
          <w:lang w:val="fr-FR"/>
        </w:rPr>
        <w:t>est</w:t>
      </w:r>
      <w:r w:rsidRPr="00CA3150">
        <w:rPr>
          <w:lang w:val="fr-FR"/>
        </w:rPr>
        <w:t xml:space="preserve"> mieux </w:t>
      </w:r>
      <w:r>
        <w:rPr>
          <w:lang w:val="fr-FR"/>
        </w:rPr>
        <w:t xml:space="preserve">adapté aux </w:t>
      </w:r>
      <w:r w:rsidRPr="00CA3150">
        <w:rPr>
          <w:lang w:val="fr-FR"/>
        </w:rPr>
        <w:t xml:space="preserve">solutions de guidage </w:t>
      </w:r>
      <w:r>
        <w:rPr>
          <w:lang w:val="fr-FR"/>
        </w:rPr>
        <w:t>lumineux</w:t>
      </w:r>
      <w:r w:rsidRPr="00CA3150">
        <w:rPr>
          <w:lang w:val="fr-FR"/>
        </w:rPr>
        <w:t>.</w:t>
      </w:r>
    </w:p>
    <w:p w:rsidR="00020520" w:rsidRPr="00CA3150" w:rsidRDefault="00020520" w:rsidP="00020520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CA3150">
        <w:rPr>
          <w:lang w:val="fr-FR"/>
        </w:rPr>
        <w:t xml:space="preserve">La </w:t>
      </w:r>
      <w:r>
        <w:rPr>
          <w:lang w:val="fr-FR"/>
        </w:rPr>
        <w:t>modification de l’alinéa 5.6 c</w:t>
      </w:r>
      <w:r w:rsidRPr="00CA3150">
        <w:rPr>
          <w:lang w:val="fr-FR"/>
        </w:rPr>
        <w:t xml:space="preserve">)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150">
        <w:rPr>
          <w:lang w:val="fr-FR"/>
        </w:rPr>
        <w:t xml:space="preserve">6 </w:t>
      </w:r>
      <w:r>
        <w:rPr>
          <w:lang w:val="fr-FR"/>
        </w:rPr>
        <w:t xml:space="preserve">permet de </w:t>
      </w:r>
      <w:r w:rsidRPr="00CA3150">
        <w:rPr>
          <w:lang w:val="fr-FR"/>
        </w:rPr>
        <w:t>précise</w:t>
      </w:r>
      <w:r>
        <w:rPr>
          <w:lang w:val="fr-FR"/>
        </w:rPr>
        <w:t>r</w:t>
      </w:r>
      <w:r w:rsidRPr="00CA3150">
        <w:rPr>
          <w:lang w:val="fr-FR"/>
        </w:rPr>
        <w:t xml:space="preserve"> quel</w:t>
      </w:r>
      <w:r>
        <w:rPr>
          <w:lang w:val="fr-FR"/>
        </w:rPr>
        <w:t>s</w:t>
      </w:r>
      <w:r w:rsidRPr="00CA3150">
        <w:rPr>
          <w:lang w:val="fr-FR"/>
        </w:rPr>
        <w:t xml:space="preserve"> type</w:t>
      </w:r>
      <w:r>
        <w:rPr>
          <w:lang w:val="fr-FR"/>
        </w:rPr>
        <w:t>s</w:t>
      </w:r>
      <w:r w:rsidRPr="00CA3150">
        <w:rPr>
          <w:lang w:val="fr-FR"/>
        </w:rPr>
        <w:t xml:space="preserve"> de mouvement vertical </w:t>
      </w:r>
      <w:r>
        <w:rPr>
          <w:lang w:val="fr-FR"/>
        </w:rPr>
        <w:t>ne sont</w:t>
      </w:r>
      <w:r w:rsidRPr="00CA3150">
        <w:rPr>
          <w:lang w:val="fr-FR"/>
        </w:rPr>
        <w:t xml:space="preserve"> pas autorisé</w:t>
      </w:r>
      <w:r>
        <w:rPr>
          <w:lang w:val="fr-FR"/>
        </w:rPr>
        <w:t>s</w:t>
      </w:r>
      <w:r w:rsidRPr="00CA3150">
        <w:rPr>
          <w:lang w:val="fr-FR"/>
        </w:rPr>
        <w:t xml:space="preserve"> dans les indic</w:t>
      </w:r>
      <w:r>
        <w:rPr>
          <w:lang w:val="fr-FR"/>
        </w:rPr>
        <w:t>ateurs de direction séquentiel</w:t>
      </w:r>
      <w:r w:rsidRPr="00CA3150">
        <w:rPr>
          <w:lang w:val="fr-FR"/>
        </w:rPr>
        <w:t xml:space="preserve">s. </w:t>
      </w:r>
      <w:r>
        <w:rPr>
          <w:lang w:val="fr-FR"/>
        </w:rPr>
        <w:t>L’Équipe spéciale propose de remplacer l’expression «</w:t>
      </w:r>
      <w:r w:rsidR="003D57D6">
        <w:rPr>
          <w:lang w:val="fr-FR"/>
        </w:rPr>
        <w:t> </w:t>
      </w:r>
      <w:r>
        <w:rPr>
          <w:lang w:val="fr-FR"/>
        </w:rPr>
        <w:t xml:space="preserve">sans </w:t>
      </w:r>
      <w:r w:rsidRPr="007070C7">
        <w:rPr>
          <w:lang w:val="fr-FR"/>
        </w:rPr>
        <w:t xml:space="preserve">alternances répétées dans le sens </w:t>
      </w:r>
      <w:r>
        <w:rPr>
          <w:lang w:val="fr-FR"/>
        </w:rPr>
        <w:t>vertical</w:t>
      </w:r>
      <w:r w:rsidR="003D57D6">
        <w:rPr>
          <w:lang w:val="fr-FR"/>
        </w:rPr>
        <w:t> </w:t>
      </w:r>
      <w:r>
        <w:rPr>
          <w:lang w:val="fr-FR"/>
        </w:rPr>
        <w:t>» par «</w:t>
      </w:r>
      <w:r w:rsidR="003D57D6">
        <w:rPr>
          <w:lang w:val="fr-FR"/>
        </w:rPr>
        <w:t> </w:t>
      </w:r>
      <w:r>
        <w:rPr>
          <w:lang w:val="fr-FR"/>
        </w:rPr>
        <w:t>exempt d’oscillation verticale</w:t>
      </w:r>
      <w:r w:rsidR="003D57D6">
        <w:rPr>
          <w:lang w:val="fr-FR"/>
        </w:rPr>
        <w:t> </w:t>
      </w:r>
      <w:r>
        <w:rPr>
          <w:lang w:val="fr-FR"/>
        </w:rPr>
        <w:t xml:space="preserve">», de manière à interdire </w:t>
      </w:r>
      <w:r w:rsidRPr="00CA3150">
        <w:rPr>
          <w:lang w:val="fr-FR"/>
        </w:rPr>
        <w:t>plus d</w:t>
      </w:r>
      <w:r>
        <w:rPr>
          <w:lang w:val="fr-FR"/>
        </w:rPr>
        <w:t>’</w:t>
      </w:r>
      <w:r w:rsidRPr="00CA3150">
        <w:rPr>
          <w:lang w:val="fr-FR"/>
        </w:rPr>
        <w:t xml:space="preserve">un changement de direction vers le haut ou vers le bas </w:t>
      </w:r>
      <w:r>
        <w:rPr>
          <w:lang w:val="fr-FR"/>
        </w:rPr>
        <w:t>sur</w:t>
      </w:r>
      <w:r w:rsidRPr="00CA3150">
        <w:rPr>
          <w:lang w:val="fr-FR"/>
        </w:rPr>
        <w:t xml:space="preserve"> l</w:t>
      </w:r>
      <w:r>
        <w:rPr>
          <w:lang w:val="fr-FR"/>
        </w:rPr>
        <w:t>’</w:t>
      </w:r>
      <w:r w:rsidRPr="00CA3150">
        <w:rPr>
          <w:lang w:val="fr-FR"/>
        </w:rPr>
        <w:t>axe vertical.</w:t>
      </w:r>
    </w:p>
    <w:p w:rsidR="00020520" w:rsidRDefault="00020520" w:rsidP="00020520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L’expression «</w:t>
      </w:r>
      <w:r w:rsidR="003D57D6">
        <w:rPr>
          <w:lang w:val="fr-FR"/>
        </w:rPr>
        <w:t> </w:t>
      </w:r>
      <w:r>
        <w:rPr>
          <w:lang w:val="fr-FR"/>
        </w:rPr>
        <w:t>signal continu</w:t>
      </w:r>
      <w:r w:rsidR="003D57D6">
        <w:rPr>
          <w:lang w:val="fr-FR"/>
        </w:rPr>
        <w:t> </w:t>
      </w:r>
      <w:r>
        <w:rPr>
          <w:lang w:val="fr-FR"/>
        </w:rPr>
        <w:t>»</w:t>
      </w:r>
      <w:r w:rsidRPr="00CA3150">
        <w:rPr>
          <w:lang w:val="fr-FR"/>
        </w:rPr>
        <w:t xml:space="preserve"> est éga</w:t>
      </w:r>
      <w:r>
        <w:rPr>
          <w:lang w:val="fr-FR"/>
        </w:rPr>
        <w:t>lement définie à l’alinéa 5.6 c</w:t>
      </w:r>
      <w:r w:rsidRPr="00CA3150">
        <w:rPr>
          <w:lang w:val="fr-FR"/>
        </w:rPr>
        <w:t xml:space="preserve">)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150">
        <w:rPr>
          <w:lang w:val="fr-FR"/>
        </w:rPr>
        <w:t>6. La distance autorisée entre parties adjacentes ou tangentielles</w:t>
      </w:r>
      <w:r>
        <w:rPr>
          <w:lang w:val="fr-FR"/>
        </w:rPr>
        <w:t xml:space="preserve"> mais</w:t>
      </w:r>
      <w:r w:rsidRPr="00D50E3F">
        <w:rPr>
          <w:lang w:val="fr-FR"/>
        </w:rPr>
        <w:t xml:space="preserve"> </w:t>
      </w:r>
      <w:r w:rsidRPr="00CA3150">
        <w:rPr>
          <w:lang w:val="fr-FR"/>
        </w:rPr>
        <w:t xml:space="preserve">distinctes </w:t>
      </w:r>
      <w:r>
        <w:rPr>
          <w:lang w:val="fr-FR"/>
        </w:rPr>
        <w:t>n’était</w:t>
      </w:r>
      <w:r w:rsidRPr="00CA3150">
        <w:rPr>
          <w:lang w:val="fr-FR"/>
        </w:rPr>
        <w:t xml:space="preserve"> pas encore </w:t>
      </w:r>
      <w:r>
        <w:rPr>
          <w:lang w:val="fr-FR"/>
        </w:rPr>
        <w:t>fixée</w:t>
      </w:r>
      <w:r w:rsidRPr="00CA3150">
        <w:rPr>
          <w:lang w:val="fr-FR"/>
        </w:rPr>
        <w:t xml:space="preserve">. </w:t>
      </w:r>
      <w:r>
        <w:rPr>
          <w:lang w:val="fr-FR"/>
        </w:rPr>
        <w:t xml:space="preserve">L’Équipe spéciale </w:t>
      </w:r>
      <w:r w:rsidRPr="00CA3150">
        <w:rPr>
          <w:lang w:val="fr-FR"/>
        </w:rPr>
        <w:t>n</w:t>
      </w:r>
      <w:r>
        <w:rPr>
          <w:lang w:val="fr-FR"/>
        </w:rPr>
        <w:t>’</w:t>
      </w:r>
      <w:r w:rsidRPr="00CA3150">
        <w:rPr>
          <w:lang w:val="fr-FR"/>
        </w:rPr>
        <w:t xml:space="preserve">a pas </w:t>
      </w:r>
      <w:r>
        <w:rPr>
          <w:lang w:val="fr-FR"/>
        </w:rPr>
        <w:t>été en mesure de</w:t>
      </w:r>
      <w:r w:rsidRPr="00CA3150">
        <w:rPr>
          <w:lang w:val="fr-FR"/>
        </w:rPr>
        <w:t xml:space="preserve"> </w:t>
      </w:r>
      <w:r>
        <w:rPr>
          <w:lang w:val="fr-FR"/>
        </w:rPr>
        <w:t>parvenir à</w:t>
      </w:r>
      <w:r w:rsidRPr="00CA3150">
        <w:rPr>
          <w:lang w:val="fr-FR"/>
        </w:rPr>
        <w:t xml:space="preserve"> un consensus sur </w:t>
      </w:r>
      <w:r>
        <w:rPr>
          <w:lang w:val="fr-FR"/>
        </w:rPr>
        <w:t>cette</w:t>
      </w:r>
      <w:r w:rsidRPr="00CA3150">
        <w:rPr>
          <w:lang w:val="fr-FR"/>
        </w:rPr>
        <w:t xml:space="preserve"> distance (</w:t>
      </w:r>
      <w:r>
        <w:rPr>
          <w:lang w:val="fr-FR"/>
        </w:rPr>
        <w:t xml:space="preserve">mesurée </w:t>
      </w:r>
      <w:r w:rsidRPr="00CA3150">
        <w:rPr>
          <w:lang w:val="fr-FR"/>
        </w:rPr>
        <w:t xml:space="preserve">en </w:t>
      </w:r>
      <w:r>
        <w:rPr>
          <w:lang w:val="fr-FR"/>
        </w:rPr>
        <w:t>millimètres</w:t>
      </w:r>
      <w:r w:rsidRPr="00CA3150">
        <w:rPr>
          <w:lang w:val="fr-FR"/>
        </w:rPr>
        <w:t xml:space="preserve">) avant la date limite </w:t>
      </w:r>
      <w:r>
        <w:rPr>
          <w:lang w:val="fr-FR"/>
        </w:rPr>
        <w:t>fixée pour soumettre l</w:t>
      </w:r>
      <w:r w:rsidRPr="00CA3150">
        <w:rPr>
          <w:lang w:val="fr-FR"/>
        </w:rPr>
        <w:t>es documents de tra</w:t>
      </w:r>
      <w:r>
        <w:rPr>
          <w:lang w:val="fr-FR"/>
        </w:rPr>
        <w:t>vail officiels à la soixante-seiz</w:t>
      </w:r>
      <w:r w:rsidRPr="00CA3150">
        <w:rPr>
          <w:lang w:val="fr-FR"/>
        </w:rPr>
        <w:t xml:space="preserve">ième session du </w:t>
      </w:r>
      <w:r w:rsidRPr="00D50E3F">
        <w:rPr>
          <w:lang w:val="fr-FR"/>
        </w:rPr>
        <w:t>Groupe de travail de l</w:t>
      </w:r>
      <w:r>
        <w:rPr>
          <w:lang w:val="fr-FR"/>
        </w:rPr>
        <w:t>’</w:t>
      </w:r>
      <w:r w:rsidRPr="00D50E3F">
        <w:rPr>
          <w:lang w:val="fr-FR"/>
        </w:rPr>
        <w:t>éclairage et de la signalisation lumineuse</w:t>
      </w:r>
      <w:r w:rsidRPr="00CA3150">
        <w:rPr>
          <w:lang w:val="fr-FR"/>
        </w:rPr>
        <w:t xml:space="preserve">. </w:t>
      </w:r>
      <w:r>
        <w:rPr>
          <w:lang w:val="fr-FR"/>
        </w:rPr>
        <w:t>L</w:t>
      </w:r>
      <w:r w:rsidRPr="00CA3150">
        <w:rPr>
          <w:lang w:val="fr-FR"/>
        </w:rPr>
        <w:t xml:space="preserve">a valeur </w:t>
      </w:r>
      <w:r>
        <w:rPr>
          <w:lang w:val="fr-FR"/>
        </w:rPr>
        <w:t>a donc été laissée</w:t>
      </w:r>
      <w:r w:rsidRPr="00CA3150">
        <w:rPr>
          <w:lang w:val="fr-FR"/>
        </w:rPr>
        <w:t xml:space="preserve"> entre crochets,</w:t>
      </w:r>
      <w:r>
        <w:rPr>
          <w:lang w:val="fr-FR"/>
        </w:rPr>
        <w:t xml:space="preserve"> afin de laisser</w:t>
      </w:r>
      <w:r w:rsidRPr="00CA3150">
        <w:rPr>
          <w:lang w:val="fr-FR"/>
        </w:rPr>
        <w:t xml:space="preserve"> </w:t>
      </w:r>
      <w:r>
        <w:rPr>
          <w:lang w:val="fr-FR"/>
        </w:rPr>
        <w:t>au</w:t>
      </w:r>
      <w:r w:rsidRPr="00CA3150">
        <w:rPr>
          <w:lang w:val="fr-FR"/>
        </w:rPr>
        <w:t xml:space="preserve"> </w:t>
      </w:r>
      <w:r w:rsidRPr="00D50E3F">
        <w:rPr>
          <w:lang w:val="fr-FR"/>
        </w:rPr>
        <w:t xml:space="preserve">Groupe de travail </w:t>
      </w:r>
      <w:r>
        <w:rPr>
          <w:lang w:val="fr-FR"/>
        </w:rPr>
        <w:t>le soin de prendre une</w:t>
      </w:r>
      <w:r w:rsidRPr="00CA3150">
        <w:rPr>
          <w:lang w:val="fr-FR"/>
        </w:rPr>
        <w:t xml:space="preserve"> décision </w:t>
      </w:r>
      <w:r>
        <w:rPr>
          <w:lang w:val="fr-FR"/>
        </w:rPr>
        <w:t xml:space="preserve">définitive à ce sujet. Les </w:t>
      </w:r>
      <w:r w:rsidRPr="00CA3150">
        <w:rPr>
          <w:lang w:val="fr-FR"/>
        </w:rPr>
        <w:t xml:space="preserve">experts </w:t>
      </w:r>
      <w:r>
        <w:rPr>
          <w:lang w:val="fr-FR"/>
        </w:rPr>
        <w:t>de l’Équipe spéciale chercheront à déterminer quelle</w:t>
      </w:r>
      <w:r w:rsidRPr="00CA3150">
        <w:rPr>
          <w:lang w:val="fr-FR"/>
        </w:rPr>
        <w:t xml:space="preserve"> valeur</w:t>
      </w:r>
      <w:r w:rsidRPr="00D50E3F">
        <w:rPr>
          <w:lang w:val="fr-FR"/>
        </w:rPr>
        <w:t xml:space="preserve"> </w:t>
      </w:r>
      <w:r w:rsidRPr="00CA3150">
        <w:rPr>
          <w:lang w:val="fr-FR"/>
        </w:rPr>
        <w:t>serait appropriée</w:t>
      </w:r>
      <w:r>
        <w:rPr>
          <w:lang w:val="fr-FR"/>
        </w:rPr>
        <w:t xml:space="preserve"> avant la soixante-seiz</w:t>
      </w:r>
      <w:r w:rsidRPr="00CA3150">
        <w:rPr>
          <w:lang w:val="fr-FR"/>
        </w:rPr>
        <w:t xml:space="preserve">ième session du </w:t>
      </w:r>
      <w:r w:rsidRPr="00D50E3F">
        <w:rPr>
          <w:lang w:val="fr-FR"/>
        </w:rPr>
        <w:t>Groupe de travail</w:t>
      </w:r>
      <w:r w:rsidRPr="00CA3150">
        <w:rPr>
          <w:lang w:val="fr-FR"/>
        </w:rPr>
        <w:t>. L</w:t>
      </w:r>
      <w:r>
        <w:rPr>
          <w:lang w:val="fr-FR"/>
        </w:rPr>
        <w:t>’</w:t>
      </w:r>
      <w:r w:rsidRPr="00CA3150">
        <w:rPr>
          <w:lang w:val="fr-FR"/>
        </w:rPr>
        <w:t xml:space="preserve">idée de </w:t>
      </w:r>
      <w:r w:rsidRPr="00D50E3F">
        <w:rPr>
          <w:lang w:val="fr-FR"/>
        </w:rPr>
        <w:t>l</w:t>
      </w:r>
      <w:r>
        <w:rPr>
          <w:lang w:val="fr-FR"/>
        </w:rPr>
        <w:t>’</w:t>
      </w:r>
      <w:r w:rsidRPr="00D50E3F">
        <w:rPr>
          <w:lang w:val="fr-FR"/>
        </w:rPr>
        <w:t xml:space="preserve">Équipe spéciale </w:t>
      </w:r>
      <w:r>
        <w:rPr>
          <w:lang w:val="fr-FR"/>
        </w:rPr>
        <w:t xml:space="preserve">est qu’un </w:t>
      </w:r>
      <w:r w:rsidRPr="00CA3150">
        <w:rPr>
          <w:lang w:val="fr-FR"/>
        </w:rPr>
        <w:t>indi</w:t>
      </w:r>
      <w:r>
        <w:rPr>
          <w:lang w:val="fr-FR"/>
        </w:rPr>
        <w:t>cateur de direction séquentiel</w:t>
      </w:r>
      <w:r w:rsidRPr="00CA3150">
        <w:rPr>
          <w:lang w:val="fr-FR"/>
        </w:rPr>
        <w:t xml:space="preserve"> devrait produire un signal </w:t>
      </w:r>
      <w:r>
        <w:rPr>
          <w:lang w:val="fr-FR"/>
        </w:rPr>
        <w:t xml:space="preserve">d’apparence </w:t>
      </w:r>
      <w:r w:rsidRPr="00CA3150">
        <w:rPr>
          <w:lang w:val="fr-FR"/>
        </w:rPr>
        <w:t>clair</w:t>
      </w:r>
      <w:r>
        <w:rPr>
          <w:lang w:val="fr-FR"/>
        </w:rPr>
        <w:t>e</w:t>
      </w:r>
      <w:r w:rsidRPr="00CA3150">
        <w:rPr>
          <w:lang w:val="fr-FR"/>
        </w:rPr>
        <w:t xml:space="preserve"> et continu</w:t>
      </w:r>
      <w:r>
        <w:rPr>
          <w:lang w:val="fr-FR"/>
        </w:rPr>
        <w:t>e</w:t>
      </w:r>
      <w:r w:rsidRPr="00CA3150">
        <w:rPr>
          <w:lang w:val="fr-FR"/>
        </w:rPr>
        <w:t xml:space="preserve"> lorsqu</w:t>
      </w:r>
      <w:r>
        <w:rPr>
          <w:lang w:val="fr-FR"/>
        </w:rPr>
        <w:t>’</w:t>
      </w:r>
      <w:r w:rsidRPr="00CA3150">
        <w:rPr>
          <w:lang w:val="fr-FR"/>
        </w:rPr>
        <w:t>il est vu par un observateur à partir d</w:t>
      </w:r>
      <w:r>
        <w:rPr>
          <w:lang w:val="fr-FR"/>
        </w:rPr>
        <w:t>’</w:t>
      </w:r>
      <w:r w:rsidRPr="00CA3150">
        <w:rPr>
          <w:lang w:val="fr-FR"/>
        </w:rPr>
        <w:t>une distance de 10 m</w:t>
      </w:r>
      <w:r>
        <w:rPr>
          <w:lang w:val="fr-FR"/>
        </w:rPr>
        <w:t>ètres</w:t>
      </w:r>
      <w:r w:rsidRPr="00CA3150">
        <w:rPr>
          <w:lang w:val="fr-FR"/>
        </w:rPr>
        <w:t>.</w:t>
      </w:r>
    </w:p>
    <w:p w:rsidR="00F9573C" w:rsidRDefault="00020520" w:rsidP="00020520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CA3150">
        <w:rPr>
          <w:lang w:val="fr-FR"/>
        </w:rPr>
        <w:t>Les mêmes amendem</w:t>
      </w:r>
      <w:r>
        <w:rPr>
          <w:lang w:val="fr-FR"/>
        </w:rPr>
        <w:t>ents que ceux proposés pour le paragraphe 5.6</w:t>
      </w:r>
      <w:r w:rsidRPr="00CA3150">
        <w:rPr>
          <w:lang w:val="fr-FR"/>
        </w:rPr>
        <w:t xml:space="preserve">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6</w:t>
      </w:r>
      <w:r w:rsidRPr="00CA3150">
        <w:rPr>
          <w:lang w:val="fr-FR"/>
        </w:rPr>
        <w:t xml:space="preserve"> sont égalem</w:t>
      </w:r>
      <w:r>
        <w:rPr>
          <w:lang w:val="fr-FR"/>
        </w:rPr>
        <w:t>ent proposés pour le paragraphe 6.8</w:t>
      </w:r>
      <w:r w:rsidRPr="00CA3150">
        <w:rPr>
          <w:lang w:val="fr-FR"/>
        </w:rPr>
        <w:t xml:space="preserve">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150">
        <w:rPr>
          <w:lang w:val="fr-FR"/>
        </w:rPr>
        <w:t xml:space="preserve">50 </w:t>
      </w:r>
      <w:r>
        <w:rPr>
          <w:lang w:val="fr-FR"/>
        </w:rPr>
        <w:t>concernant</w:t>
      </w:r>
      <w:r w:rsidRPr="00CA3150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CA3150">
        <w:rPr>
          <w:lang w:val="fr-FR"/>
        </w:rPr>
        <w:t xml:space="preserve">véhicules de </w:t>
      </w:r>
      <w:r>
        <w:rPr>
          <w:lang w:val="fr-FR"/>
        </w:rPr>
        <w:t>la catégorie </w:t>
      </w:r>
      <w:r w:rsidRPr="00CA3150">
        <w:rPr>
          <w:lang w:val="fr-FR"/>
        </w:rPr>
        <w:t xml:space="preserve">L. Contrairement </w:t>
      </w:r>
      <w:r>
        <w:rPr>
          <w:lang w:val="fr-FR"/>
        </w:rPr>
        <w:t>au paragraphe 1.3</w:t>
      </w:r>
      <w:r w:rsidRPr="00CA3150">
        <w:rPr>
          <w:lang w:val="fr-FR"/>
        </w:rPr>
        <w:t xml:space="preserve">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6, le paragraphe 2.2</w:t>
      </w:r>
      <w:r w:rsidRPr="00CA3150">
        <w:rPr>
          <w:lang w:val="fr-FR"/>
        </w:rPr>
        <w:t xml:space="preserve"> du </w:t>
      </w:r>
      <w:r>
        <w:rPr>
          <w:lang w:val="fr-FR"/>
        </w:rPr>
        <w:t>Règlement n</w:t>
      </w:r>
      <w:r w:rsidRPr="00CA315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150">
        <w:rPr>
          <w:lang w:val="fr-FR"/>
        </w:rPr>
        <w:t>50 ne définit pas l</w:t>
      </w:r>
      <w:r>
        <w:rPr>
          <w:lang w:val="fr-FR"/>
        </w:rPr>
        <w:t>’</w:t>
      </w:r>
      <w:r w:rsidRPr="00CA3150">
        <w:rPr>
          <w:lang w:val="fr-FR"/>
        </w:rPr>
        <w:t>activation séquentielle comme critère de différenciation de type</w:t>
      </w:r>
      <w:r>
        <w:rPr>
          <w:lang w:val="fr-FR"/>
        </w:rPr>
        <w:t xml:space="preserve"> et</w:t>
      </w:r>
      <w:r w:rsidRPr="00CA3150">
        <w:rPr>
          <w:lang w:val="fr-FR"/>
        </w:rPr>
        <w:t xml:space="preserve"> </w:t>
      </w:r>
      <w:r>
        <w:rPr>
          <w:lang w:val="fr-FR"/>
        </w:rPr>
        <w:t>il n’est donc pas nécessaire de le modifier</w:t>
      </w:r>
      <w:r w:rsidRPr="0038175B">
        <w:rPr>
          <w:lang w:val="fr-FR"/>
        </w:rPr>
        <w:t>.</w:t>
      </w:r>
    </w:p>
    <w:p w:rsidR="00020520" w:rsidRPr="00020520" w:rsidRDefault="00020520" w:rsidP="0002052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20520" w:rsidRPr="00020520" w:rsidSect="00790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3B" w:rsidRDefault="0058503B" w:rsidP="00F95C08">
      <w:pPr>
        <w:spacing w:line="240" w:lineRule="auto"/>
      </w:pPr>
    </w:p>
  </w:endnote>
  <w:endnote w:type="continuationSeparator" w:id="0">
    <w:p w:rsidR="0058503B" w:rsidRPr="00AC3823" w:rsidRDefault="0058503B" w:rsidP="00AC3823">
      <w:pPr>
        <w:pStyle w:val="Footer"/>
      </w:pPr>
    </w:p>
  </w:endnote>
  <w:endnote w:type="continuationNotice" w:id="1">
    <w:p w:rsidR="0058503B" w:rsidRDefault="005850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80" w:rsidRPr="00790480" w:rsidRDefault="00790480" w:rsidP="00790480">
    <w:pPr>
      <w:pStyle w:val="Footer"/>
      <w:tabs>
        <w:tab w:val="right" w:pos="9638"/>
      </w:tabs>
    </w:pPr>
    <w:r w:rsidRPr="00790480">
      <w:rPr>
        <w:b/>
        <w:sz w:val="18"/>
      </w:rPr>
      <w:fldChar w:fldCharType="begin"/>
    </w:r>
    <w:r w:rsidRPr="00790480">
      <w:rPr>
        <w:b/>
        <w:sz w:val="18"/>
      </w:rPr>
      <w:instrText xml:space="preserve"> PAGE  \* MERGEFORMAT </w:instrText>
    </w:r>
    <w:r w:rsidRPr="00790480">
      <w:rPr>
        <w:b/>
        <w:sz w:val="18"/>
      </w:rPr>
      <w:fldChar w:fldCharType="separate"/>
    </w:r>
    <w:r w:rsidR="006C3388">
      <w:rPr>
        <w:b/>
        <w:noProof/>
        <w:sz w:val="18"/>
      </w:rPr>
      <w:t>4</w:t>
    </w:r>
    <w:r w:rsidRPr="00790480">
      <w:rPr>
        <w:b/>
        <w:sz w:val="18"/>
      </w:rPr>
      <w:fldChar w:fldCharType="end"/>
    </w:r>
    <w:r>
      <w:rPr>
        <w:b/>
        <w:sz w:val="18"/>
      </w:rPr>
      <w:tab/>
    </w:r>
    <w:r>
      <w:t>GE.16-13756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80" w:rsidRPr="00790480" w:rsidRDefault="00790480" w:rsidP="00790480">
    <w:pPr>
      <w:pStyle w:val="Footer"/>
      <w:tabs>
        <w:tab w:val="right" w:pos="9638"/>
      </w:tabs>
      <w:rPr>
        <w:b/>
        <w:sz w:val="18"/>
      </w:rPr>
    </w:pPr>
    <w:r>
      <w:t>GE.16-13756</w:t>
    </w:r>
    <w:r>
      <w:tab/>
    </w:r>
    <w:r w:rsidRPr="00790480">
      <w:rPr>
        <w:b/>
        <w:sz w:val="18"/>
      </w:rPr>
      <w:fldChar w:fldCharType="begin"/>
    </w:r>
    <w:r w:rsidRPr="00790480">
      <w:rPr>
        <w:b/>
        <w:sz w:val="18"/>
      </w:rPr>
      <w:instrText xml:space="preserve"> PAGE  \* MERGEFORMAT </w:instrText>
    </w:r>
    <w:r w:rsidRPr="00790480">
      <w:rPr>
        <w:b/>
        <w:sz w:val="18"/>
      </w:rPr>
      <w:fldChar w:fldCharType="separate"/>
    </w:r>
    <w:r w:rsidR="006C3388">
      <w:rPr>
        <w:b/>
        <w:noProof/>
        <w:sz w:val="18"/>
      </w:rPr>
      <w:t>3</w:t>
    </w:r>
    <w:r w:rsidRPr="007904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790480" w:rsidRDefault="00790480" w:rsidP="0079048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0CF4932" wp14:editId="2B37AFE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16-13756  (F)    020916    060916</w:t>
    </w:r>
    <w:r>
      <w:rPr>
        <w:sz w:val="20"/>
      </w:rPr>
      <w:br/>
    </w:r>
    <w:r w:rsidRPr="00790480">
      <w:rPr>
        <w:rFonts w:ascii="C39T30Lfz" w:hAnsi="C39T30Lfz"/>
        <w:sz w:val="56"/>
      </w:rPr>
      <w:t></w:t>
    </w:r>
    <w:r w:rsidRPr="00790480">
      <w:rPr>
        <w:rFonts w:ascii="C39T30Lfz" w:hAnsi="C39T30Lfz"/>
        <w:sz w:val="56"/>
      </w:rPr>
      <w:t></w:t>
    </w:r>
    <w:r w:rsidRPr="00790480">
      <w:rPr>
        <w:rFonts w:ascii="C39T30Lfz" w:hAnsi="C39T30Lfz"/>
        <w:sz w:val="56"/>
      </w:rPr>
      <w:t></w:t>
    </w:r>
    <w:r w:rsidRPr="00790480">
      <w:rPr>
        <w:rFonts w:ascii="C39T30Lfz" w:hAnsi="C39T30Lfz"/>
        <w:sz w:val="56"/>
      </w:rPr>
      <w:t></w:t>
    </w:r>
    <w:r w:rsidRPr="00790480">
      <w:rPr>
        <w:rFonts w:ascii="C39T30Lfz" w:hAnsi="C39T30Lfz"/>
        <w:sz w:val="56"/>
      </w:rPr>
      <w:t></w:t>
    </w:r>
    <w:r w:rsidRPr="00790480">
      <w:rPr>
        <w:rFonts w:ascii="C39T30Lfz" w:hAnsi="C39T30Lfz"/>
        <w:sz w:val="56"/>
      </w:rPr>
      <w:t></w:t>
    </w:r>
    <w:r w:rsidRPr="00790480">
      <w:rPr>
        <w:rFonts w:ascii="C39T30Lfz" w:hAnsi="C39T30Lfz"/>
        <w:sz w:val="56"/>
      </w:rPr>
      <w:t></w:t>
    </w:r>
    <w:r w:rsidRPr="00790480">
      <w:rPr>
        <w:rFonts w:ascii="C39T30Lfz" w:hAnsi="C39T30Lfz"/>
        <w:sz w:val="56"/>
      </w:rPr>
      <w:t></w:t>
    </w:r>
    <w:r w:rsidRPr="0079048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3B" w:rsidRPr="00AC3823" w:rsidRDefault="005850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503B" w:rsidRPr="00AC3823" w:rsidRDefault="005850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8503B" w:rsidRPr="00AC3823" w:rsidRDefault="0058503B">
      <w:pPr>
        <w:spacing w:line="240" w:lineRule="auto"/>
        <w:rPr>
          <w:sz w:val="2"/>
          <w:szCs w:val="2"/>
        </w:rPr>
      </w:pPr>
    </w:p>
  </w:footnote>
  <w:footnote w:id="2">
    <w:p w:rsidR="00020520" w:rsidRPr="00020520" w:rsidRDefault="00020520">
      <w:pPr>
        <w:pStyle w:val="FootnoteText"/>
      </w:pPr>
      <w:r>
        <w:rPr>
          <w:rStyle w:val="FootnoteReference"/>
        </w:rPr>
        <w:tab/>
      </w:r>
      <w:r w:rsidRPr="0002052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20520">
        <w:rPr>
          <w:szCs w:val="18"/>
          <w:lang w:val="fr-FR"/>
        </w:rPr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80" w:rsidRPr="00790480" w:rsidRDefault="00790480">
    <w:pPr>
      <w:pStyle w:val="Header"/>
    </w:pPr>
    <w:r>
      <w:t>ECE/TRANS/WP.29/GRE/2016/20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80" w:rsidRPr="00790480" w:rsidRDefault="00790480" w:rsidP="00790480">
    <w:pPr>
      <w:pStyle w:val="Header"/>
      <w:jc w:val="right"/>
    </w:pPr>
    <w:r>
      <w:t>ECE/TRANS/WP.29/GRE/2016/20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3B"/>
    <w:rsid w:val="00017F94"/>
    <w:rsid w:val="00020520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0F06"/>
    <w:rsid w:val="003916DE"/>
    <w:rsid w:val="003D57D6"/>
    <w:rsid w:val="00441C3B"/>
    <w:rsid w:val="00446FE5"/>
    <w:rsid w:val="00452396"/>
    <w:rsid w:val="004837D8"/>
    <w:rsid w:val="004E468C"/>
    <w:rsid w:val="005505B7"/>
    <w:rsid w:val="00573BE5"/>
    <w:rsid w:val="0058503B"/>
    <w:rsid w:val="00586ED3"/>
    <w:rsid w:val="00596AA9"/>
    <w:rsid w:val="006C3388"/>
    <w:rsid w:val="0071601D"/>
    <w:rsid w:val="00790480"/>
    <w:rsid w:val="007A62E6"/>
    <w:rsid w:val="007F20FA"/>
    <w:rsid w:val="0080684C"/>
    <w:rsid w:val="00871C75"/>
    <w:rsid w:val="008776DC"/>
    <w:rsid w:val="008C0696"/>
    <w:rsid w:val="009705C8"/>
    <w:rsid w:val="009C1CF4"/>
    <w:rsid w:val="009F6B74"/>
    <w:rsid w:val="00A30353"/>
    <w:rsid w:val="00A71C17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E3531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2052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2052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20520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2052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2052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20520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7399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ECE/TRANS/WP.29/GRE/2016/20</vt:lpstr>
      <vt:lpstr>ECE/TRANS/WP.29/GRE/2016/20</vt:lpstr>
    </vt:vector>
  </TitlesOfParts>
  <Company>DCM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ECE/TRANS/WP.29/GRE/2016/20</dc:title>
  <dc:creator>Vu Thi Kim Thao</dc:creator>
  <cp:lastModifiedBy>Benedicte Boudol</cp:lastModifiedBy>
  <cp:revision>2</cp:revision>
  <cp:lastPrinted>2014-05-14T10:59:00Z</cp:lastPrinted>
  <dcterms:created xsi:type="dcterms:W3CDTF">2016-09-07T08:12:00Z</dcterms:created>
  <dcterms:modified xsi:type="dcterms:W3CDTF">2016-09-07T08:12:00Z</dcterms:modified>
</cp:coreProperties>
</file>