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9D" w:rsidRDefault="00E70B9D" w:rsidP="00E70B9D">
      <w:pPr>
        <w:spacing w:line="240" w:lineRule="auto"/>
        <w:rPr>
          <w:sz w:val="2"/>
        </w:rPr>
        <w:sectPr w:rsidR="00E70B9D" w:rsidSect="00E70B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E70B9D" w:rsidRDefault="00E70B9D" w:rsidP="00E70B9D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E70B9D" w:rsidRDefault="00E70B9D" w:rsidP="00E70B9D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5424C2" w:rsidRDefault="005424C2" w:rsidP="00813CB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33438">
        <w:rPr>
          <w:lang w:val="fr-FR"/>
        </w:rPr>
        <w:t>Forum mondial de l</w:t>
      </w:r>
      <w:r>
        <w:rPr>
          <w:lang w:val="fr-FR"/>
        </w:rPr>
        <w:t>’</w:t>
      </w:r>
      <w:r w:rsidRPr="00E33438">
        <w:rPr>
          <w:lang w:val="fr-FR"/>
        </w:rPr>
        <w:t xml:space="preserve">harmonisation des Règlements </w:t>
      </w:r>
      <w:r w:rsidR="00813CB7">
        <w:rPr>
          <w:lang w:val="fr-FR"/>
        </w:rPr>
        <w:br/>
      </w:r>
      <w:r w:rsidRPr="00E33438">
        <w:rPr>
          <w:lang w:val="fr-FR"/>
        </w:rPr>
        <w:t>concernant les véhicules</w:t>
      </w:r>
    </w:p>
    <w:p w:rsidR="00813CB7" w:rsidRPr="00813CB7" w:rsidRDefault="00813CB7" w:rsidP="00813CB7">
      <w:pPr>
        <w:spacing w:line="120" w:lineRule="exact"/>
        <w:rPr>
          <w:sz w:val="10"/>
          <w:lang w:val="fr-FR"/>
        </w:rPr>
      </w:pPr>
    </w:p>
    <w:p w:rsidR="005424C2" w:rsidRDefault="005424C2" w:rsidP="00813C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33438">
        <w:rPr>
          <w:lang w:val="fr-FR"/>
        </w:rPr>
        <w:t>Groupe de travail de l</w:t>
      </w:r>
      <w:r>
        <w:rPr>
          <w:lang w:val="fr-FR"/>
        </w:rPr>
        <w:t>’</w:t>
      </w:r>
      <w:r w:rsidRPr="00E33438">
        <w:rPr>
          <w:lang w:val="fr-FR"/>
        </w:rPr>
        <w:t xml:space="preserve">éclairage </w:t>
      </w:r>
      <w:r w:rsidR="00813CB7">
        <w:rPr>
          <w:lang w:val="fr-FR"/>
        </w:rPr>
        <w:br/>
      </w:r>
      <w:r w:rsidRPr="00E33438">
        <w:rPr>
          <w:lang w:val="fr-FR"/>
        </w:rPr>
        <w:t>et de la signalisation lumineuse</w:t>
      </w:r>
    </w:p>
    <w:p w:rsidR="00813CB7" w:rsidRPr="00813CB7" w:rsidRDefault="00813CB7" w:rsidP="00813CB7">
      <w:pPr>
        <w:spacing w:line="120" w:lineRule="exact"/>
        <w:rPr>
          <w:sz w:val="10"/>
          <w:lang w:val="fr-FR"/>
        </w:rPr>
      </w:pPr>
    </w:p>
    <w:p w:rsidR="005424C2" w:rsidRPr="00B252CD" w:rsidRDefault="005424C2" w:rsidP="00813C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33438">
        <w:rPr>
          <w:lang w:val="fr-FR"/>
        </w:rPr>
        <w:t>Soixante-quinzième session</w:t>
      </w:r>
    </w:p>
    <w:p w:rsidR="00E70B9D" w:rsidRPr="00FE63EC" w:rsidRDefault="00813CB7" w:rsidP="00813CB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Cs w:val="20"/>
        </w:rPr>
      </w:pPr>
      <w:r>
        <w:rPr>
          <w:lang w:val="fr-FR"/>
        </w:rPr>
        <w:t>Genève, 5-</w:t>
      </w:r>
      <w:r w:rsidR="005424C2" w:rsidRPr="00B252CD">
        <w:rPr>
          <w:lang w:val="fr-FR"/>
        </w:rPr>
        <w:t>8 avril 2016</w:t>
      </w:r>
    </w:p>
    <w:p w:rsidR="00813CB7" w:rsidRDefault="005424C2" w:rsidP="00813CB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B252CD">
        <w:rPr>
          <w:lang w:val="fr-FR"/>
        </w:rPr>
        <w:t>Point 6 a) de l</w:t>
      </w:r>
      <w:r>
        <w:rPr>
          <w:lang w:val="fr-FR"/>
        </w:rPr>
        <w:t>’</w:t>
      </w:r>
      <w:r w:rsidRPr="00B252CD">
        <w:rPr>
          <w:lang w:val="fr-FR"/>
        </w:rPr>
        <w:t>ordre du jour provisoire</w:t>
      </w:r>
    </w:p>
    <w:p w:rsidR="00E70B9D" w:rsidRDefault="005424C2" w:rsidP="00813C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33438">
        <w:rPr>
          <w:lang w:val="fr-FR"/>
        </w:rPr>
        <w:t>Règlement n</w:t>
      </w:r>
      <w:r w:rsidRPr="00672785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Pr="00E33438">
        <w:rPr>
          <w:lang w:val="fr-FR"/>
        </w:rPr>
        <w:t>48 (Installation des dispositifs d</w:t>
      </w:r>
      <w:r>
        <w:rPr>
          <w:lang w:val="fr-FR"/>
        </w:rPr>
        <w:t>’</w:t>
      </w:r>
      <w:r w:rsidRPr="00E33438">
        <w:rPr>
          <w:lang w:val="fr-FR"/>
        </w:rPr>
        <w:t xml:space="preserve">éclairage </w:t>
      </w:r>
      <w:r w:rsidR="00813CB7">
        <w:rPr>
          <w:lang w:val="fr-FR"/>
        </w:rPr>
        <w:br/>
      </w:r>
      <w:r w:rsidRPr="00E33438">
        <w:rPr>
          <w:lang w:val="fr-FR"/>
        </w:rPr>
        <w:t xml:space="preserve">et de signalisation lumineuse) </w:t>
      </w:r>
      <w:r w:rsidR="00E8051B">
        <w:rPr>
          <w:lang w:val="fr-FR"/>
        </w:rPr>
        <w:t xml:space="preserve">– </w:t>
      </w:r>
      <w:r w:rsidRPr="00B252CD">
        <w:rPr>
          <w:lang w:val="fr-FR"/>
        </w:rPr>
        <w:t>Proposition</w:t>
      </w:r>
      <w:r w:rsidR="00C16940">
        <w:rPr>
          <w:lang w:val="fr-FR"/>
        </w:rPr>
        <w:t>s</w:t>
      </w:r>
      <w:r w:rsidRPr="00B252CD">
        <w:rPr>
          <w:lang w:val="fr-FR"/>
        </w:rPr>
        <w:t xml:space="preserve"> d</w:t>
      </w:r>
      <w:r>
        <w:rPr>
          <w:lang w:val="fr-FR"/>
        </w:rPr>
        <w:t>’</w:t>
      </w:r>
      <w:r w:rsidRPr="00B252CD">
        <w:rPr>
          <w:lang w:val="fr-FR"/>
        </w:rPr>
        <w:t xml:space="preserve">amendements </w:t>
      </w:r>
      <w:r w:rsidR="00E8051B">
        <w:rPr>
          <w:lang w:val="fr-FR"/>
        </w:rPr>
        <w:br/>
      </w:r>
      <w:r w:rsidRPr="00B252CD">
        <w:rPr>
          <w:lang w:val="fr-FR"/>
        </w:rPr>
        <w:t>aux séries 05 et 06 d</w:t>
      </w:r>
      <w:r>
        <w:rPr>
          <w:lang w:val="fr-FR"/>
        </w:rPr>
        <w:t>’</w:t>
      </w:r>
      <w:r w:rsidRPr="00B252CD">
        <w:rPr>
          <w:lang w:val="fr-FR"/>
        </w:rPr>
        <w:t>amendements</w:t>
      </w:r>
    </w:p>
    <w:p w:rsidR="005424C2" w:rsidRPr="00813CB7" w:rsidRDefault="005424C2" w:rsidP="00813CB7">
      <w:pPr>
        <w:spacing w:line="120" w:lineRule="exact"/>
        <w:rPr>
          <w:b/>
          <w:bCs/>
          <w:sz w:val="10"/>
          <w:szCs w:val="24"/>
          <w:lang w:val="fr-FR"/>
        </w:rPr>
      </w:pPr>
    </w:p>
    <w:p w:rsidR="00813CB7" w:rsidRPr="00813CB7" w:rsidRDefault="00813CB7" w:rsidP="00813CB7">
      <w:pPr>
        <w:spacing w:line="120" w:lineRule="exact"/>
        <w:rPr>
          <w:b/>
          <w:bCs/>
          <w:sz w:val="10"/>
          <w:szCs w:val="24"/>
          <w:lang w:val="fr-FR"/>
        </w:rPr>
      </w:pPr>
    </w:p>
    <w:p w:rsidR="00813CB7" w:rsidRPr="00813CB7" w:rsidRDefault="00813CB7" w:rsidP="00813CB7">
      <w:pPr>
        <w:spacing w:line="120" w:lineRule="exact"/>
        <w:rPr>
          <w:b/>
          <w:bCs/>
          <w:sz w:val="10"/>
          <w:szCs w:val="24"/>
          <w:lang w:val="fr-FR"/>
        </w:rPr>
      </w:pPr>
    </w:p>
    <w:p w:rsidR="005424C2" w:rsidRDefault="005424C2" w:rsidP="00813C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B252CD">
        <w:rPr>
          <w:lang w:val="fr-FR"/>
        </w:rPr>
        <w:tab/>
      </w:r>
      <w:r w:rsidRPr="00B252CD">
        <w:rPr>
          <w:lang w:val="fr-FR"/>
        </w:rPr>
        <w:tab/>
        <w:t>Proposition d</w:t>
      </w:r>
      <w:r>
        <w:rPr>
          <w:lang w:val="fr-FR"/>
        </w:rPr>
        <w:t>’</w:t>
      </w:r>
      <w:r w:rsidRPr="00B252CD">
        <w:rPr>
          <w:lang w:val="fr-FR"/>
        </w:rPr>
        <w:t xml:space="preserve">amendements aux séries </w:t>
      </w:r>
      <w:r>
        <w:rPr>
          <w:lang w:val="fr-FR"/>
        </w:rPr>
        <w:t xml:space="preserve">03, </w:t>
      </w:r>
      <w:r w:rsidRPr="00B252CD">
        <w:rPr>
          <w:lang w:val="fr-FR"/>
        </w:rPr>
        <w:t>04, 05 et 06 d</w:t>
      </w:r>
      <w:r>
        <w:rPr>
          <w:lang w:val="fr-FR"/>
        </w:rPr>
        <w:t>’</w:t>
      </w:r>
      <w:r w:rsidRPr="00B252CD">
        <w:rPr>
          <w:lang w:val="fr-FR"/>
        </w:rPr>
        <w:t>amendements au Règlement n</w:t>
      </w:r>
      <w:r w:rsidRPr="00672785">
        <w:rPr>
          <w:vertAlign w:val="superscript"/>
          <w:lang w:val="fr-FR"/>
        </w:rPr>
        <w:t>o</w:t>
      </w:r>
      <w:r w:rsidRPr="00FE63EC">
        <w:rPr>
          <w:vertAlign w:val="superscript"/>
          <w:lang w:val="fr-FR"/>
        </w:rPr>
        <w:t> </w:t>
      </w:r>
      <w:r w:rsidRPr="00B252CD">
        <w:rPr>
          <w:lang w:val="fr-FR"/>
        </w:rPr>
        <w:t>48 (Installation des dispositifs d</w:t>
      </w:r>
      <w:r>
        <w:rPr>
          <w:lang w:val="fr-FR"/>
        </w:rPr>
        <w:t>’</w:t>
      </w:r>
      <w:r w:rsidRPr="00B252CD">
        <w:rPr>
          <w:lang w:val="fr-FR"/>
        </w:rPr>
        <w:t>éclairage et de signalisation lumineuse)</w:t>
      </w:r>
    </w:p>
    <w:p w:rsidR="00C16940" w:rsidRPr="00C16940" w:rsidRDefault="00C16940" w:rsidP="00C16940">
      <w:pPr>
        <w:pStyle w:val="SingleTxt"/>
        <w:spacing w:after="0" w:line="120" w:lineRule="exact"/>
        <w:rPr>
          <w:sz w:val="10"/>
          <w:lang w:val="fr-FR"/>
        </w:rPr>
      </w:pPr>
    </w:p>
    <w:p w:rsidR="00C16940" w:rsidRPr="00C16940" w:rsidRDefault="00C16940" w:rsidP="00C16940">
      <w:pPr>
        <w:pStyle w:val="SingleTxt"/>
        <w:spacing w:after="0" w:line="120" w:lineRule="exact"/>
        <w:rPr>
          <w:sz w:val="10"/>
          <w:lang w:val="fr-FR"/>
        </w:rPr>
      </w:pPr>
    </w:p>
    <w:p w:rsidR="005424C2" w:rsidRDefault="00C16940" w:rsidP="00C169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424C2" w:rsidRPr="00B252CD">
        <w:rPr>
          <w:lang w:val="fr-FR"/>
        </w:rPr>
        <w:t>Communication de l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 xml:space="preserve">expert du Groupe de travail </w:t>
      </w:r>
      <w:r>
        <w:rPr>
          <w:lang w:val="fr-FR"/>
        </w:rPr>
        <w:br/>
        <w:t>« </w:t>
      </w:r>
      <w:r w:rsidR="005424C2" w:rsidRPr="00B252CD">
        <w:rPr>
          <w:lang w:val="fr-FR"/>
        </w:rPr>
        <w:t>Bruxelles 1952</w:t>
      </w:r>
      <w:r>
        <w:rPr>
          <w:lang w:val="fr-FR"/>
        </w:rPr>
        <w:t> »</w:t>
      </w:r>
      <w:r w:rsidR="005424C2" w:rsidRPr="00B252CD">
        <w:rPr>
          <w:lang w:val="fr-FR"/>
        </w:rPr>
        <w:t xml:space="preserve"> (GTB)</w:t>
      </w:r>
      <w:r w:rsidRPr="0057089F">
        <w:rPr>
          <w:rStyle w:val="FootnoteReference"/>
          <w:b w:val="0"/>
          <w:sz w:val="20"/>
          <w:szCs w:val="20"/>
          <w:vertAlign w:val="baseline"/>
          <w:lang w:val="fr-FR"/>
        </w:rPr>
        <w:footnoteReference w:customMarkFollows="1" w:id="1"/>
        <w:t>*</w:t>
      </w:r>
    </w:p>
    <w:p w:rsidR="00C16940" w:rsidRPr="00C16940" w:rsidRDefault="00C16940" w:rsidP="00C16940">
      <w:pPr>
        <w:pStyle w:val="SingleTxt"/>
        <w:spacing w:after="0" w:line="120" w:lineRule="exact"/>
        <w:rPr>
          <w:sz w:val="10"/>
          <w:lang w:val="fr-FR"/>
        </w:rPr>
      </w:pPr>
    </w:p>
    <w:p w:rsidR="00C16940" w:rsidRPr="00C16940" w:rsidRDefault="00C16940" w:rsidP="00C16940">
      <w:pPr>
        <w:pStyle w:val="SingleTxt"/>
        <w:spacing w:after="0" w:line="120" w:lineRule="exact"/>
        <w:rPr>
          <w:sz w:val="10"/>
          <w:lang w:val="fr-FR"/>
        </w:rPr>
      </w:pPr>
    </w:p>
    <w:p w:rsidR="005424C2" w:rsidRDefault="00C16940" w:rsidP="00C16940">
      <w:pPr>
        <w:pStyle w:val="SingleTxt"/>
        <w:rPr>
          <w:lang w:val="fr-FR"/>
        </w:rPr>
      </w:pPr>
      <w:r>
        <w:rPr>
          <w:lang w:val="fr-FR"/>
        </w:rPr>
        <w:tab/>
      </w:r>
      <w:r w:rsidR="005424C2" w:rsidRPr="00B252CD">
        <w:rPr>
          <w:lang w:val="fr-FR"/>
        </w:rPr>
        <w:t>Le texte reproduit ci-après a été établi par l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 xml:space="preserve">expert du Groupe de travail </w:t>
      </w:r>
      <w:r>
        <w:rPr>
          <w:lang w:val="fr-FR"/>
        </w:rPr>
        <w:t>« </w:t>
      </w:r>
      <w:r w:rsidR="005424C2" w:rsidRPr="00B252CD">
        <w:rPr>
          <w:lang w:val="fr-FR"/>
        </w:rPr>
        <w:t>Bruxelles 1952</w:t>
      </w:r>
      <w:r>
        <w:rPr>
          <w:lang w:val="fr-FR"/>
        </w:rPr>
        <w:t> »</w:t>
      </w:r>
      <w:r w:rsidR="005424C2" w:rsidRPr="00B252CD">
        <w:rPr>
          <w:lang w:val="fr-FR"/>
        </w:rPr>
        <w:t xml:space="preserve"> (GTB) dans le but de simplifier les dispositions transitoires afin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éviter que plusieurs séries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 xml:space="preserve">amendements ne </w:t>
      </w:r>
      <w:r w:rsidR="005424C2">
        <w:rPr>
          <w:lang w:val="fr-FR"/>
        </w:rPr>
        <w:t>soient simultanément</w:t>
      </w:r>
      <w:r w:rsidR="005424C2" w:rsidRPr="00B252CD">
        <w:rPr>
          <w:lang w:val="fr-FR"/>
        </w:rPr>
        <w:t xml:space="preserve"> </w:t>
      </w:r>
      <w:r w:rsidR="005424C2">
        <w:rPr>
          <w:lang w:val="fr-FR"/>
        </w:rPr>
        <w:t xml:space="preserve">en </w:t>
      </w:r>
      <w:r w:rsidR="005424C2" w:rsidRPr="00B252CD">
        <w:rPr>
          <w:lang w:val="fr-FR"/>
        </w:rPr>
        <w:t>vigueur. Les modifications qu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il est proposé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apporter au texte actuel du Règlement sont signalées en caractères gras pour les ajouts ou biffés pour les suppressions.</w:t>
      </w:r>
    </w:p>
    <w:p w:rsidR="00C16940" w:rsidRDefault="00C16940">
      <w:pPr>
        <w:spacing w:line="240" w:lineRule="auto"/>
      </w:pPr>
      <w:r>
        <w:br w:type="page"/>
      </w:r>
    </w:p>
    <w:p w:rsidR="005424C2" w:rsidRDefault="005424C2" w:rsidP="00C169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B252CD">
        <w:rPr>
          <w:lang w:val="fr-FR"/>
        </w:rPr>
        <w:lastRenderedPageBreak/>
        <w:tab/>
        <w:t>I.</w:t>
      </w:r>
      <w:r w:rsidRPr="00B252CD">
        <w:rPr>
          <w:lang w:val="fr-FR"/>
        </w:rPr>
        <w:tab/>
        <w:t>Proposition</w:t>
      </w:r>
    </w:p>
    <w:p w:rsidR="00C16940" w:rsidRPr="00C16940" w:rsidRDefault="00C16940" w:rsidP="00C16940">
      <w:pPr>
        <w:pStyle w:val="SingleTxt"/>
        <w:spacing w:after="0" w:line="120" w:lineRule="exact"/>
        <w:rPr>
          <w:sz w:val="10"/>
          <w:lang w:val="fr-FR"/>
        </w:rPr>
      </w:pPr>
    </w:p>
    <w:p w:rsidR="00C16940" w:rsidRPr="00C16940" w:rsidRDefault="00C16940" w:rsidP="00C16940">
      <w:pPr>
        <w:pStyle w:val="SingleTxt"/>
        <w:spacing w:after="0" w:line="120" w:lineRule="exact"/>
        <w:rPr>
          <w:sz w:val="10"/>
          <w:lang w:val="fr-FR"/>
        </w:rPr>
      </w:pPr>
    </w:p>
    <w:p w:rsidR="005424C2" w:rsidRDefault="00C16940" w:rsidP="00C169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A.</w:t>
      </w:r>
      <w:r>
        <w:rPr>
          <w:lang w:val="fr-FR"/>
        </w:rPr>
        <w:tab/>
      </w:r>
      <w:r w:rsidR="005424C2" w:rsidRPr="00B252CD">
        <w:rPr>
          <w:lang w:val="fr-FR"/>
        </w:rPr>
        <w:t>Série 03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amendements</w:t>
      </w:r>
    </w:p>
    <w:p w:rsidR="00C16940" w:rsidRPr="00C16940" w:rsidRDefault="00C16940" w:rsidP="00C16940">
      <w:pPr>
        <w:pStyle w:val="SingleTxt"/>
        <w:spacing w:after="0" w:line="120" w:lineRule="exact"/>
        <w:rPr>
          <w:sz w:val="10"/>
          <w:lang w:val="fr-FR"/>
        </w:rPr>
      </w:pPr>
    </w:p>
    <w:p w:rsidR="00C16940" w:rsidRPr="00C16940" w:rsidRDefault="00C16940" w:rsidP="00C16940">
      <w:pPr>
        <w:pStyle w:val="SingleTxt"/>
        <w:spacing w:after="0" w:line="120" w:lineRule="exact"/>
        <w:rPr>
          <w:sz w:val="10"/>
          <w:lang w:val="fr-FR"/>
        </w:rPr>
      </w:pPr>
    </w:p>
    <w:p w:rsidR="005424C2" w:rsidRPr="00B252CD" w:rsidRDefault="005424C2" w:rsidP="00C16940">
      <w:pPr>
        <w:pStyle w:val="SingleTxt"/>
      </w:pPr>
      <w:r w:rsidRPr="00E33438">
        <w:rPr>
          <w:i/>
          <w:lang w:val="fr-FR"/>
        </w:rPr>
        <w:t>Annexe 1</w:t>
      </w:r>
      <w:r w:rsidR="00C16940">
        <w:rPr>
          <w:lang w:val="fr-FR"/>
        </w:rPr>
        <w:t>, ajouter un nouveau point 10.9</w:t>
      </w:r>
      <w:r w:rsidR="005374A6">
        <w:rPr>
          <w:lang w:val="fr-FR"/>
        </w:rPr>
        <w:t>, ainsi conçu :</w:t>
      </w:r>
    </w:p>
    <w:p w:rsidR="005424C2" w:rsidRPr="00C16940" w:rsidRDefault="00C16940" w:rsidP="00C1694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rFonts w:eastAsiaTheme="minorEastAsia"/>
          <w:b/>
          <w:lang w:val="ru-RU" w:eastAsia="zh-CN"/>
        </w:rPr>
      </w:pPr>
      <w:r>
        <w:rPr>
          <w:szCs w:val="24"/>
          <w:lang w:val="fr-FR"/>
        </w:rPr>
        <w:t>« </w:t>
      </w:r>
      <w:r>
        <w:rPr>
          <w:b/>
          <w:szCs w:val="24"/>
          <w:lang w:val="fr-FR"/>
        </w:rPr>
        <w:t>10.9</w:t>
      </w:r>
      <w:r w:rsidR="005424C2" w:rsidRPr="00E33438">
        <w:rPr>
          <w:b/>
          <w:szCs w:val="24"/>
          <w:lang w:val="fr-FR"/>
        </w:rPr>
        <w:tab/>
      </w:r>
      <w:r w:rsidR="005424C2" w:rsidRPr="00E33438">
        <w:rPr>
          <w:b/>
          <w:bCs/>
          <w:szCs w:val="24"/>
          <w:lang w:val="fr-FR"/>
        </w:rPr>
        <w:t xml:space="preserve">En cas </w:t>
      </w:r>
      <w:proofErr w:type="spellStart"/>
      <w:r w:rsidR="005424C2" w:rsidRPr="00C16940">
        <w:rPr>
          <w:rFonts w:eastAsiaTheme="minorEastAsia"/>
          <w:b/>
          <w:lang w:val="ru-RU" w:eastAsia="zh-CN"/>
        </w:rPr>
        <w:t>d’extension</w:t>
      </w:r>
      <w:proofErr w:type="spellEnd"/>
      <w:r w:rsidR="005424C2" w:rsidRPr="00E33438">
        <w:rPr>
          <w:b/>
          <w:bCs/>
          <w:szCs w:val="24"/>
          <w:lang w:val="fr-FR"/>
        </w:rPr>
        <w:t xml:space="preserve"> d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>homologation, observations concernant l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 xml:space="preserve">installation de dispositifs/systèmes/équipements facultatifs, autorisés par la série </w:t>
      </w:r>
      <w:r>
        <w:rPr>
          <w:b/>
          <w:bCs/>
          <w:szCs w:val="24"/>
          <w:lang w:val="fr-FR"/>
        </w:rPr>
        <w:t xml:space="preserve">… </w:t>
      </w:r>
      <w:r w:rsidR="005424C2" w:rsidRPr="00E33438">
        <w:rPr>
          <w:b/>
          <w:bCs/>
          <w:szCs w:val="24"/>
          <w:lang w:val="fr-FR"/>
        </w:rPr>
        <w:t>d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>amendements</w:t>
      </w:r>
      <w:r>
        <w:rPr>
          <w:b/>
          <w:bCs/>
          <w:szCs w:val="24"/>
          <w:lang w:val="fr-FR"/>
        </w:rPr>
        <w:t xml:space="preserve"> : </w:t>
      </w:r>
      <w:r>
        <w:rPr>
          <w:b/>
          <w:bCs/>
          <w:szCs w:val="24"/>
          <w:lang w:val="fr-FR"/>
        </w:rPr>
        <w:tab/>
      </w:r>
    </w:p>
    <w:p w:rsidR="00C16940" w:rsidRPr="00E33438" w:rsidRDefault="00C16940" w:rsidP="00C1694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/>
          <w:szCs w:val="24"/>
        </w:rPr>
      </w:pPr>
      <w:r>
        <w:rPr>
          <w:b/>
          <w:szCs w:val="24"/>
          <w:lang w:val="fr-FR"/>
        </w:rPr>
        <w:t>10.9.1</w:t>
      </w:r>
      <w:r w:rsidR="005424C2" w:rsidRPr="00E33438">
        <w:rPr>
          <w:b/>
          <w:szCs w:val="24"/>
          <w:lang w:val="fr-FR"/>
        </w:rPr>
        <w:tab/>
      </w:r>
      <w:r w:rsidR="005374A6">
        <w:rPr>
          <w:b/>
          <w:bCs/>
          <w:szCs w:val="24"/>
          <w:lang w:val="fr-FR"/>
        </w:rPr>
        <w:t>Nom du dispositif/système/équipement installé</w:t>
      </w:r>
      <w:r w:rsidR="00601DCC">
        <w:rPr>
          <w:b/>
          <w:bCs/>
          <w:szCs w:val="24"/>
          <w:lang w:val="fr-FR"/>
        </w:rPr>
        <w:t xml:space="preserve"> : </w:t>
      </w:r>
      <w:r>
        <w:rPr>
          <w:b/>
          <w:bCs/>
          <w:szCs w:val="24"/>
          <w:lang w:val="fr-FR"/>
        </w:rPr>
        <w:tab/>
      </w:r>
      <w:r w:rsidR="00412DE6">
        <w:rPr>
          <w:b/>
          <w:bCs/>
          <w:szCs w:val="24"/>
          <w:lang w:val="fr-FR"/>
        </w:rPr>
        <w:t xml:space="preserve"> </w:t>
      </w:r>
      <w:r w:rsidR="00412DE6">
        <w:rPr>
          <w:b/>
          <w:bCs/>
          <w:szCs w:val="24"/>
          <w:lang w:val="fr-FR"/>
        </w:rPr>
        <w:br/>
      </w:r>
      <w:r>
        <w:rPr>
          <w:b/>
          <w:bCs/>
          <w:szCs w:val="24"/>
          <w:lang w:val="fr-FR"/>
        </w:rPr>
        <w:tab/>
      </w:r>
      <w:r>
        <w:rPr>
          <w:b/>
          <w:bCs/>
          <w:szCs w:val="24"/>
          <w:lang w:val="fr-FR"/>
        </w:rPr>
        <w:tab/>
      </w:r>
    </w:p>
    <w:p w:rsidR="005424C2" w:rsidRDefault="005424C2" w:rsidP="00C1694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szCs w:val="24"/>
          <w:lang w:val="fr-FR"/>
        </w:rPr>
      </w:pPr>
      <w:r w:rsidRPr="00E33438">
        <w:rPr>
          <w:b/>
          <w:szCs w:val="24"/>
          <w:lang w:val="fr-FR"/>
        </w:rPr>
        <w:t>10.9.2</w:t>
      </w:r>
      <w:r w:rsidRPr="00B252CD">
        <w:rPr>
          <w:szCs w:val="24"/>
          <w:lang w:val="fr-FR"/>
        </w:rPr>
        <w:tab/>
      </w:r>
      <w:r w:rsidRPr="00B252CD">
        <w:rPr>
          <w:b/>
          <w:bCs/>
          <w:szCs w:val="24"/>
          <w:lang w:val="fr-FR"/>
        </w:rPr>
        <w:t>Liste des prescriptions pertinentes, par numéro de paragraphe,</w:t>
      </w:r>
      <w:r>
        <w:rPr>
          <w:b/>
          <w:bCs/>
          <w:szCs w:val="24"/>
          <w:lang w:val="fr-FR"/>
        </w:rPr>
        <w:t xml:space="preserve"> </w:t>
      </w:r>
      <w:r w:rsidRPr="00B252CD">
        <w:rPr>
          <w:b/>
          <w:bCs/>
          <w:szCs w:val="24"/>
          <w:lang w:val="fr-FR"/>
        </w:rPr>
        <w:t>de la série d</w:t>
      </w:r>
      <w:r>
        <w:rPr>
          <w:b/>
          <w:bCs/>
          <w:szCs w:val="24"/>
          <w:lang w:val="fr-FR"/>
        </w:rPr>
        <w:t>’</w:t>
      </w:r>
      <w:r w:rsidRPr="00B252CD">
        <w:rPr>
          <w:b/>
          <w:bCs/>
          <w:szCs w:val="24"/>
          <w:lang w:val="fr-FR"/>
        </w:rPr>
        <w:t xml:space="preserve">amendements appliquée pour son </w:t>
      </w:r>
      <w:r w:rsidRPr="00C16940">
        <w:rPr>
          <w:b/>
          <w:bCs/>
          <w:szCs w:val="24"/>
          <w:lang w:val="fr-FR"/>
        </w:rPr>
        <w:t>installation</w:t>
      </w:r>
      <w:r w:rsidR="00601DCC">
        <w:rPr>
          <w:b/>
          <w:szCs w:val="24"/>
          <w:lang w:val="fr-FR"/>
        </w:rPr>
        <w:t xml:space="preserve"> : </w:t>
      </w:r>
      <w:r w:rsidR="00C16940" w:rsidRPr="00C16940">
        <w:rPr>
          <w:b/>
          <w:szCs w:val="24"/>
          <w:lang w:val="fr-FR"/>
        </w:rPr>
        <w:tab/>
      </w:r>
      <w:r w:rsidR="00412DE6">
        <w:rPr>
          <w:b/>
          <w:szCs w:val="24"/>
          <w:lang w:val="fr-FR"/>
        </w:rPr>
        <w:t xml:space="preserve"> </w:t>
      </w:r>
      <w:r w:rsidR="00412DE6">
        <w:rPr>
          <w:b/>
          <w:szCs w:val="24"/>
          <w:lang w:val="fr-FR"/>
        </w:rPr>
        <w:br/>
      </w:r>
      <w:r w:rsidR="00C16940" w:rsidRPr="00C16940">
        <w:rPr>
          <w:b/>
          <w:szCs w:val="24"/>
          <w:lang w:val="fr-FR"/>
        </w:rPr>
        <w:tab/>
      </w:r>
      <w:r w:rsidR="00C16940" w:rsidRPr="00C16940">
        <w:rPr>
          <w:b/>
          <w:szCs w:val="24"/>
          <w:lang w:val="fr-FR"/>
        </w:rPr>
        <w:tab/>
      </w:r>
      <w:r w:rsidR="00C16940">
        <w:rPr>
          <w:szCs w:val="24"/>
          <w:lang w:val="fr-FR"/>
        </w:rPr>
        <w:t> »</w:t>
      </w:r>
      <w:r w:rsidR="005374A6">
        <w:rPr>
          <w:szCs w:val="24"/>
          <w:lang w:val="fr-FR"/>
        </w:rPr>
        <w:t>.</w:t>
      </w:r>
    </w:p>
    <w:p w:rsidR="005374A6" w:rsidRPr="005374A6" w:rsidRDefault="005374A6" w:rsidP="005374A6">
      <w:pPr>
        <w:pStyle w:val="SingleTxt"/>
        <w:spacing w:after="0" w:line="120" w:lineRule="exact"/>
        <w:rPr>
          <w:sz w:val="10"/>
        </w:rPr>
      </w:pPr>
    </w:p>
    <w:p w:rsidR="005374A6" w:rsidRPr="005374A6" w:rsidRDefault="005374A6" w:rsidP="005374A6">
      <w:pPr>
        <w:pStyle w:val="SingleTxt"/>
        <w:spacing w:after="0" w:line="120" w:lineRule="exact"/>
        <w:rPr>
          <w:sz w:val="10"/>
        </w:rPr>
      </w:pPr>
    </w:p>
    <w:p w:rsidR="005424C2" w:rsidRDefault="005374A6" w:rsidP="005374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B.</w:t>
      </w:r>
      <w:r>
        <w:rPr>
          <w:lang w:val="fr-FR"/>
        </w:rPr>
        <w:tab/>
      </w:r>
      <w:r w:rsidR="005424C2" w:rsidRPr="00B252CD">
        <w:rPr>
          <w:lang w:val="fr-FR"/>
        </w:rPr>
        <w:t>Série 04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amendements</w:t>
      </w:r>
    </w:p>
    <w:p w:rsidR="005374A6" w:rsidRPr="005374A6" w:rsidRDefault="005374A6" w:rsidP="005374A6">
      <w:pPr>
        <w:pStyle w:val="SingleTxt"/>
        <w:spacing w:after="0" w:line="120" w:lineRule="exact"/>
        <w:rPr>
          <w:sz w:val="10"/>
          <w:lang w:val="fr-FR"/>
        </w:rPr>
      </w:pPr>
    </w:p>
    <w:p w:rsidR="005374A6" w:rsidRPr="005374A6" w:rsidRDefault="005374A6" w:rsidP="005374A6">
      <w:pPr>
        <w:pStyle w:val="SingleTxt"/>
        <w:spacing w:after="0" w:line="120" w:lineRule="exact"/>
        <w:rPr>
          <w:sz w:val="10"/>
          <w:lang w:val="fr-FR"/>
        </w:rPr>
      </w:pPr>
    </w:p>
    <w:p w:rsidR="005424C2" w:rsidRPr="00E33438" w:rsidRDefault="005424C2" w:rsidP="005374A6">
      <w:pPr>
        <w:pStyle w:val="SingleTxt"/>
        <w:rPr>
          <w:szCs w:val="24"/>
        </w:rPr>
      </w:pPr>
      <w:r w:rsidRPr="00E33438">
        <w:rPr>
          <w:i/>
          <w:szCs w:val="24"/>
          <w:lang w:val="fr-FR"/>
        </w:rPr>
        <w:t>Annexe 1</w:t>
      </w:r>
      <w:r w:rsidRPr="00E33438">
        <w:rPr>
          <w:szCs w:val="24"/>
          <w:lang w:val="fr-FR"/>
        </w:rPr>
        <w:t xml:space="preserve">, ajouter un </w:t>
      </w:r>
      <w:r w:rsidRPr="005374A6">
        <w:rPr>
          <w:lang w:val="fr-FR"/>
        </w:rPr>
        <w:t>nouveau</w:t>
      </w:r>
      <w:r w:rsidR="005374A6">
        <w:rPr>
          <w:szCs w:val="24"/>
          <w:lang w:val="fr-FR"/>
        </w:rPr>
        <w:t xml:space="preserve"> point 10.</w:t>
      </w:r>
      <w:r w:rsidRPr="00E33438">
        <w:rPr>
          <w:szCs w:val="24"/>
          <w:lang w:val="fr-FR"/>
        </w:rPr>
        <w:t>9</w:t>
      </w:r>
      <w:r w:rsidR="005374A6">
        <w:rPr>
          <w:szCs w:val="24"/>
          <w:lang w:val="fr-FR"/>
        </w:rPr>
        <w:t>, ainsi conçu :</w:t>
      </w:r>
    </w:p>
    <w:p w:rsidR="005424C2" w:rsidRPr="00E33438" w:rsidRDefault="005374A6" w:rsidP="005374A6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/>
          <w:szCs w:val="24"/>
        </w:rPr>
      </w:pPr>
      <w:r>
        <w:rPr>
          <w:szCs w:val="24"/>
          <w:lang w:val="fr-FR"/>
        </w:rPr>
        <w:t>« </w:t>
      </w:r>
      <w:r w:rsidR="005424C2" w:rsidRPr="00E33438">
        <w:rPr>
          <w:b/>
          <w:szCs w:val="24"/>
          <w:lang w:val="fr-FR"/>
        </w:rPr>
        <w:t>10.9</w:t>
      </w:r>
      <w:r w:rsidR="005424C2" w:rsidRPr="00E33438">
        <w:rPr>
          <w:b/>
          <w:szCs w:val="24"/>
          <w:lang w:val="fr-FR"/>
        </w:rPr>
        <w:tab/>
      </w:r>
      <w:r w:rsidR="005424C2" w:rsidRPr="00E33438">
        <w:rPr>
          <w:b/>
          <w:bCs/>
          <w:szCs w:val="24"/>
          <w:lang w:val="fr-FR"/>
        </w:rPr>
        <w:t>En cas d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>extension d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>homologation, observations concernant l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 xml:space="preserve">installation de dispositifs/systèmes/équipements facultatifs, autorisés par la série </w:t>
      </w:r>
      <w:r>
        <w:rPr>
          <w:b/>
          <w:bCs/>
          <w:szCs w:val="24"/>
          <w:lang w:val="fr-FR"/>
        </w:rPr>
        <w:t xml:space="preserve">… </w:t>
      </w:r>
      <w:r w:rsidR="005424C2" w:rsidRPr="00E33438">
        <w:rPr>
          <w:b/>
          <w:bCs/>
          <w:szCs w:val="24"/>
          <w:lang w:val="fr-FR"/>
        </w:rPr>
        <w:t>d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>amendements</w:t>
      </w:r>
      <w:r>
        <w:rPr>
          <w:b/>
          <w:bCs/>
          <w:szCs w:val="24"/>
          <w:lang w:val="fr-FR"/>
        </w:rPr>
        <w:t> </w:t>
      </w:r>
      <w:r w:rsidR="005424C2" w:rsidRPr="00E33438">
        <w:rPr>
          <w:b/>
          <w:bCs/>
          <w:szCs w:val="24"/>
          <w:lang w:val="fr-FR"/>
        </w:rPr>
        <w:t>:</w:t>
      </w:r>
      <w:r>
        <w:rPr>
          <w:b/>
          <w:bCs/>
          <w:szCs w:val="24"/>
          <w:lang w:val="fr-FR"/>
        </w:rPr>
        <w:t xml:space="preserve"> </w:t>
      </w:r>
      <w:r>
        <w:rPr>
          <w:b/>
          <w:bCs/>
          <w:szCs w:val="24"/>
          <w:lang w:val="fr-FR"/>
        </w:rPr>
        <w:tab/>
      </w:r>
    </w:p>
    <w:p w:rsidR="005374A6" w:rsidRPr="00412DE6" w:rsidRDefault="005374A6" w:rsidP="005374A6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/>
          <w:bCs/>
          <w:szCs w:val="24"/>
          <w:lang w:val="fr-FR"/>
        </w:rPr>
      </w:pPr>
      <w:r>
        <w:rPr>
          <w:b/>
          <w:szCs w:val="24"/>
          <w:lang w:val="fr-FR"/>
        </w:rPr>
        <w:t>10.9.1</w:t>
      </w:r>
      <w:r w:rsidR="005424C2" w:rsidRPr="00E33438">
        <w:rPr>
          <w:b/>
          <w:szCs w:val="24"/>
          <w:lang w:val="fr-FR"/>
        </w:rPr>
        <w:tab/>
      </w:r>
      <w:r>
        <w:rPr>
          <w:b/>
          <w:bCs/>
          <w:szCs w:val="24"/>
          <w:lang w:val="fr-FR"/>
        </w:rPr>
        <w:t>Nom du disposi</w:t>
      </w:r>
      <w:r w:rsidR="00143F54">
        <w:rPr>
          <w:b/>
          <w:bCs/>
          <w:szCs w:val="24"/>
          <w:lang w:val="fr-FR"/>
        </w:rPr>
        <w:t xml:space="preserve">tif/système/équipement installé : </w:t>
      </w:r>
      <w:r>
        <w:rPr>
          <w:b/>
          <w:bCs/>
          <w:szCs w:val="24"/>
          <w:lang w:val="fr-FR"/>
        </w:rPr>
        <w:tab/>
      </w:r>
      <w:r w:rsidR="00412DE6">
        <w:rPr>
          <w:b/>
          <w:bCs/>
          <w:szCs w:val="24"/>
          <w:lang w:val="fr-FR"/>
        </w:rPr>
        <w:t xml:space="preserve"> </w:t>
      </w:r>
      <w:r w:rsidR="00412DE6">
        <w:rPr>
          <w:b/>
          <w:bCs/>
          <w:szCs w:val="24"/>
          <w:lang w:val="fr-FR"/>
        </w:rPr>
        <w:br/>
      </w:r>
      <w:r>
        <w:rPr>
          <w:b/>
          <w:bCs/>
          <w:szCs w:val="24"/>
          <w:lang w:val="fr-FR"/>
        </w:rPr>
        <w:tab/>
      </w:r>
      <w:r>
        <w:rPr>
          <w:b/>
          <w:bCs/>
          <w:szCs w:val="24"/>
          <w:lang w:val="fr-FR"/>
        </w:rPr>
        <w:tab/>
      </w:r>
    </w:p>
    <w:p w:rsidR="005424C2" w:rsidRDefault="005424C2" w:rsidP="005374A6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Cs/>
          <w:szCs w:val="24"/>
          <w:lang w:val="fr-FR"/>
        </w:rPr>
      </w:pPr>
      <w:r w:rsidRPr="00E33438">
        <w:rPr>
          <w:b/>
          <w:szCs w:val="24"/>
          <w:lang w:val="fr-FR"/>
        </w:rPr>
        <w:t>10.9.2</w:t>
      </w:r>
      <w:r w:rsidRPr="00B252CD">
        <w:rPr>
          <w:szCs w:val="24"/>
          <w:lang w:val="fr-FR"/>
        </w:rPr>
        <w:tab/>
      </w:r>
      <w:r w:rsidRPr="00B252CD">
        <w:rPr>
          <w:b/>
          <w:bCs/>
          <w:szCs w:val="24"/>
          <w:lang w:val="fr-FR"/>
        </w:rPr>
        <w:t>Liste des prescriptions pertinentes, par numéro de paragraphe,</w:t>
      </w:r>
      <w:r>
        <w:rPr>
          <w:b/>
          <w:bCs/>
          <w:szCs w:val="24"/>
          <w:lang w:val="fr-FR"/>
        </w:rPr>
        <w:t xml:space="preserve"> </w:t>
      </w:r>
      <w:r w:rsidRPr="00B252CD">
        <w:rPr>
          <w:b/>
          <w:bCs/>
          <w:szCs w:val="24"/>
          <w:lang w:val="fr-FR"/>
        </w:rPr>
        <w:t>de la série d</w:t>
      </w:r>
      <w:r>
        <w:rPr>
          <w:b/>
          <w:bCs/>
          <w:szCs w:val="24"/>
          <w:lang w:val="fr-FR"/>
        </w:rPr>
        <w:t>’</w:t>
      </w:r>
      <w:r w:rsidRPr="00B252CD">
        <w:rPr>
          <w:b/>
          <w:bCs/>
          <w:szCs w:val="24"/>
          <w:lang w:val="fr-FR"/>
        </w:rPr>
        <w:t xml:space="preserve">amendements </w:t>
      </w:r>
      <w:r w:rsidR="00143F54">
        <w:rPr>
          <w:b/>
          <w:bCs/>
          <w:szCs w:val="24"/>
          <w:lang w:val="fr-FR"/>
        </w:rPr>
        <w:t xml:space="preserve">appliquée pour son installation : </w:t>
      </w:r>
      <w:r w:rsidR="00412DE6">
        <w:rPr>
          <w:b/>
          <w:bCs/>
          <w:szCs w:val="24"/>
          <w:lang w:val="fr-FR"/>
        </w:rPr>
        <w:tab/>
        <w:t xml:space="preserve"> </w:t>
      </w:r>
      <w:r w:rsidR="00412DE6">
        <w:rPr>
          <w:b/>
          <w:bCs/>
          <w:szCs w:val="24"/>
          <w:lang w:val="fr-FR"/>
        </w:rPr>
        <w:br/>
      </w:r>
      <w:r w:rsidR="00412DE6">
        <w:rPr>
          <w:b/>
          <w:bCs/>
          <w:szCs w:val="24"/>
          <w:lang w:val="fr-FR"/>
        </w:rPr>
        <w:tab/>
      </w:r>
      <w:r w:rsidR="00412DE6">
        <w:rPr>
          <w:b/>
          <w:bCs/>
          <w:szCs w:val="24"/>
          <w:lang w:val="fr-FR"/>
        </w:rPr>
        <w:tab/>
      </w:r>
      <w:r w:rsidR="005374A6">
        <w:rPr>
          <w:b/>
          <w:bCs/>
          <w:szCs w:val="24"/>
          <w:lang w:val="fr-FR"/>
        </w:rPr>
        <w:t> </w:t>
      </w:r>
      <w:r w:rsidR="005374A6" w:rsidRPr="00412DE6">
        <w:rPr>
          <w:bCs/>
          <w:szCs w:val="24"/>
          <w:lang w:val="fr-FR"/>
        </w:rPr>
        <w:t>»</w:t>
      </w:r>
      <w:r w:rsidR="00412DE6" w:rsidRPr="00412DE6">
        <w:rPr>
          <w:bCs/>
          <w:szCs w:val="24"/>
          <w:lang w:val="fr-FR"/>
        </w:rPr>
        <w:t>.</w:t>
      </w:r>
    </w:p>
    <w:p w:rsidR="00412DE6" w:rsidRPr="00412DE6" w:rsidRDefault="00412DE6" w:rsidP="00412DE6">
      <w:pPr>
        <w:pStyle w:val="SingleTxt"/>
        <w:spacing w:after="0" w:line="120" w:lineRule="exact"/>
        <w:rPr>
          <w:sz w:val="10"/>
        </w:rPr>
      </w:pPr>
    </w:p>
    <w:p w:rsidR="00412DE6" w:rsidRPr="00412DE6" w:rsidRDefault="00412DE6" w:rsidP="00412DE6">
      <w:pPr>
        <w:pStyle w:val="SingleTxt"/>
        <w:spacing w:after="0" w:line="120" w:lineRule="exact"/>
        <w:rPr>
          <w:sz w:val="10"/>
        </w:rPr>
      </w:pPr>
    </w:p>
    <w:p w:rsidR="005424C2" w:rsidRDefault="00412DE6" w:rsidP="00412D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C.</w:t>
      </w:r>
      <w:r>
        <w:rPr>
          <w:lang w:val="fr-FR"/>
        </w:rPr>
        <w:tab/>
      </w:r>
      <w:r w:rsidR="005424C2" w:rsidRPr="00B252CD">
        <w:rPr>
          <w:lang w:val="fr-FR"/>
        </w:rPr>
        <w:t>Série 05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amendements</w:t>
      </w:r>
    </w:p>
    <w:p w:rsidR="00412DE6" w:rsidRPr="00412DE6" w:rsidRDefault="00412DE6" w:rsidP="00412DE6">
      <w:pPr>
        <w:pStyle w:val="SingleTxt"/>
        <w:spacing w:after="0" w:line="120" w:lineRule="exact"/>
        <w:rPr>
          <w:sz w:val="10"/>
          <w:lang w:val="fr-FR"/>
        </w:rPr>
      </w:pPr>
    </w:p>
    <w:p w:rsidR="00412DE6" w:rsidRPr="00412DE6" w:rsidRDefault="00412DE6" w:rsidP="00412DE6">
      <w:pPr>
        <w:pStyle w:val="SingleTxt"/>
        <w:spacing w:after="0" w:line="120" w:lineRule="exact"/>
        <w:rPr>
          <w:sz w:val="10"/>
          <w:lang w:val="fr-FR"/>
        </w:rPr>
      </w:pPr>
    </w:p>
    <w:p w:rsidR="005424C2" w:rsidRPr="00E33438" w:rsidRDefault="005424C2" w:rsidP="00412DE6">
      <w:pPr>
        <w:pStyle w:val="SingleTxt"/>
      </w:pPr>
      <w:r w:rsidRPr="00E33438">
        <w:rPr>
          <w:i/>
          <w:lang w:val="fr-FR"/>
        </w:rPr>
        <w:t>Annexe 1</w:t>
      </w:r>
      <w:r w:rsidR="00412DE6">
        <w:rPr>
          <w:lang w:val="fr-FR"/>
        </w:rPr>
        <w:t>, ajouter un nouveau point 10.9</w:t>
      </w:r>
      <w:r w:rsidRPr="00E33438">
        <w:rPr>
          <w:lang w:val="fr-FR"/>
        </w:rPr>
        <w:t>, ainsi conçu</w:t>
      </w:r>
      <w:r w:rsidR="00412DE6">
        <w:rPr>
          <w:lang w:val="fr-FR"/>
        </w:rPr>
        <w:t> </w:t>
      </w:r>
      <w:r w:rsidRPr="00E33438">
        <w:rPr>
          <w:lang w:val="fr-FR"/>
        </w:rPr>
        <w:t>:</w:t>
      </w:r>
    </w:p>
    <w:p w:rsidR="005424C2" w:rsidRPr="00E33438" w:rsidRDefault="00412DE6" w:rsidP="00412DE6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/>
          <w:szCs w:val="24"/>
        </w:rPr>
      </w:pPr>
      <w:r>
        <w:rPr>
          <w:szCs w:val="24"/>
          <w:lang w:val="fr-FR"/>
        </w:rPr>
        <w:t>« </w:t>
      </w:r>
      <w:r>
        <w:rPr>
          <w:b/>
          <w:szCs w:val="24"/>
          <w:lang w:val="fr-FR"/>
        </w:rPr>
        <w:t>10.9</w:t>
      </w:r>
      <w:r w:rsidR="005424C2" w:rsidRPr="00E33438">
        <w:rPr>
          <w:b/>
          <w:szCs w:val="24"/>
          <w:lang w:val="fr-FR"/>
        </w:rPr>
        <w:tab/>
      </w:r>
      <w:r w:rsidR="005424C2" w:rsidRPr="00E33438">
        <w:rPr>
          <w:b/>
          <w:bCs/>
          <w:szCs w:val="24"/>
          <w:lang w:val="fr-FR"/>
        </w:rPr>
        <w:t>En cas d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>extension d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>homologation, observations concernant l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 xml:space="preserve">installation de dispositifs/systèmes/équipements facultatifs, autorisés par la série </w:t>
      </w:r>
      <w:r>
        <w:rPr>
          <w:b/>
          <w:bCs/>
          <w:szCs w:val="24"/>
          <w:lang w:val="fr-FR"/>
        </w:rPr>
        <w:t xml:space="preserve">… </w:t>
      </w:r>
      <w:r w:rsidR="005424C2" w:rsidRPr="00E33438">
        <w:rPr>
          <w:b/>
          <w:bCs/>
          <w:szCs w:val="24"/>
          <w:lang w:val="fr-FR"/>
        </w:rPr>
        <w:t>d</w:t>
      </w:r>
      <w:r w:rsidR="005424C2">
        <w:rPr>
          <w:b/>
          <w:bCs/>
          <w:szCs w:val="24"/>
          <w:lang w:val="fr-FR"/>
        </w:rPr>
        <w:t>’</w:t>
      </w:r>
      <w:r w:rsidR="005424C2" w:rsidRPr="00E33438">
        <w:rPr>
          <w:b/>
          <w:bCs/>
          <w:szCs w:val="24"/>
          <w:lang w:val="fr-FR"/>
        </w:rPr>
        <w:t>amendements</w:t>
      </w:r>
      <w:r w:rsidR="00B40816">
        <w:rPr>
          <w:b/>
          <w:bCs/>
          <w:szCs w:val="24"/>
          <w:lang w:val="fr-FR"/>
        </w:rPr>
        <w:t> </w:t>
      </w:r>
      <w:r w:rsidR="005424C2" w:rsidRPr="00E33438">
        <w:rPr>
          <w:b/>
          <w:bCs/>
          <w:szCs w:val="24"/>
          <w:lang w:val="fr-FR"/>
        </w:rPr>
        <w:t>:</w:t>
      </w:r>
      <w:r>
        <w:rPr>
          <w:b/>
          <w:bCs/>
          <w:szCs w:val="24"/>
          <w:lang w:val="fr-FR"/>
        </w:rPr>
        <w:t xml:space="preserve"> </w:t>
      </w:r>
      <w:r>
        <w:rPr>
          <w:b/>
          <w:bCs/>
          <w:szCs w:val="24"/>
          <w:lang w:val="fr-FR"/>
        </w:rPr>
        <w:tab/>
      </w:r>
    </w:p>
    <w:p w:rsidR="005424C2" w:rsidRPr="00E33438" w:rsidRDefault="00412DE6" w:rsidP="00412DE6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/>
          <w:szCs w:val="24"/>
        </w:rPr>
      </w:pPr>
      <w:r>
        <w:rPr>
          <w:b/>
          <w:szCs w:val="24"/>
          <w:lang w:val="fr-FR"/>
        </w:rPr>
        <w:t>10.9.1</w:t>
      </w:r>
      <w:r w:rsidR="005424C2" w:rsidRPr="00E33438">
        <w:rPr>
          <w:b/>
          <w:szCs w:val="24"/>
          <w:lang w:val="fr-FR"/>
        </w:rPr>
        <w:tab/>
      </w:r>
      <w:r w:rsidR="005424C2" w:rsidRPr="00E33438">
        <w:rPr>
          <w:b/>
          <w:bCs/>
          <w:szCs w:val="24"/>
          <w:lang w:val="fr-FR"/>
        </w:rPr>
        <w:t>Nom d</w:t>
      </w:r>
      <w:r>
        <w:rPr>
          <w:b/>
          <w:bCs/>
          <w:szCs w:val="24"/>
          <w:lang w:val="fr-FR"/>
        </w:rPr>
        <w:t>u dispositif</w:t>
      </w:r>
      <w:r w:rsidR="005424C2" w:rsidRPr="00E33438">
        <w:rPr>
          <w:b/>
          <w:bCs/>
          <w:szCs w:val="24"/>
          <w:lang w:val="fr-FR"/>
        </w:rPr>
        <w:t>/système</w:t>
      </w:r>
      <w:r>
        <w:rPr>
          <w:b/>
          <w:bCs/>
          <w:szCs w:val="24"/>
          <w:lang w:val="fr-FR"/>
        </w:rPr>
        <w:t>/équipement installé</w:t>
      </w:r>
      <w:r w:rsidR="00143F54">
        <w:rPr>
          <w:b/>
          <w:bCs/>
          <w:szCs w:val="24"/>
          <w:lang w:val="fr-FR"/>
        </w:rPr>
        <w:t xml:space="preserve"> : </w:t>
      </w:r>
      <w:r>
        <w:rPr>
          <w:b/>
          <w:bCs/>
          <w:szCs w:val="24"/>
          <w:lang w:val="fr-FR"/>
        </w:rPr>
        <w:tab/>
        <w:t xml:space="preserve"> </w:t>
      </w:r>
      <w:r>
        <w:rPr>
          <w:b/>
          <w:bCs/>
          <w:szCs w:val="24"/>
          <w:lang w:val="fr-FR"/>
        </w:rPr>
        <w:br/>
      </w:r>
      <w:r>
        <w:rPr>
          <w:b/>
          <w:bCs/>
          <w:szCs w:val="24"/>
          <w:lang w:val="fr-FR"/>
        </w:rPr>
        <w:tab/>
      </w:r>
      <w:r>
        <w:rPr>
          <w:b/>
          <w:bCs/>
          <w:szCs w:val="24"/>
          <w:lang w:val="fr-FR"/>
        </w:rPr>
        <w:tab/>
      </w:r>
    </w:p>
    <w:p w:rsidR="005424C2" w:rsidRDefault="005424C2" w:rsidP="00515981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Cs/>
          <w:szCs w:val="24"/>
          <w:lang w:val="fr-FR"/>
        </w:rPr>
      </w:pPr>
      <w:r w:rsidRPr="00E33438">
        <w:rPr>
          <w:b/>
          <w:szCs w:val="24"/>
          <w:lang w:val="fr-FR"/>
        </w:rPr>
        <w:t>10.9.2</w:t>
      </w:r>
      <w:r w:rsidRPr="00B252CD">
        <w:rPr>
          <w:szCs w:val="24"/>
          <w:lang w:val="fr-FR"/>
        </w:rPr>
        <w:tab/>
      </w:r>
      <w:r w:rsidRPr="00B252CD">
        <w:rPr>
          <w:b/>
          <w:bCs/>
          <w:szCs w:val="24"/>
          <w:lang w:val="fr-FR"/>
        </w:rPr>
        <w:t>Liste des prescriptions pertinentes, par numéro de paragraphe,</w:t>
      </w:r>
      <w:r>
        <w:rPr>
          <w:b/>
          <w:bCs/>
          <w:szCs w:val="24"/>
          <w:lang w:val="fr-FR"/>
        </w:rPr>
        <w:t xml:space="preserve"> </w:t>
      </w:r>
      <w:r w:rsidRPr="00B252CD">
        <w:rPr>
          <w:b/>
          <w:bCs/>
          <w:szCs w:val="24"/>
          <w:lang w:val="fr-FR"/>
        </w:rPr>
        <w:t>de la série d</w:t>
      </w:r>
      <w:r>
        <w:rPr>
          <w:b/>
          <w:bCs/>
          <w:szCs w:val="24"/>
          <w:lang w:val="fr-FR"/>
        </w:rPr>
        <w:t>’</w:t>
      </w:r>
      <w:r w:rsidRPr="00B252CD">
        <w:rPr>
          <w:b/>
          <w:bCs/>
          <w:szCs w:val="24"/>
          <w:lang w:val="fr-FR"/>
        </w:rPr>
        <w:t xml:space="preserve">amendements </w:t>
      </w:r>
      <w:r w:rsidR="00143F54">
        <w:rPr>
          <w:b/>
          <w:bCs/>
          <w:szCs w:val="24"/>
          <w:lang w:val="fr-FR"/>
        </w:rPr>
        <w:t xml:space="preserve">appliquée pour son installation : </w:t>
      </w:r>
      <w:r w:rsidR="00515981">
        <w:rPr>
          <w:b/>
          <w:bCs/>
          <w:szCs w:val="24"/>
          <w:lang w:val="fr-FR"/>
        </w:rPr>
        <w:tab/>
      </w:r>
      <w:r w:rsidRPr="00B252CD">
        <w:rPr>
          <w:b/>
          <w:bCs/>
          <w:szCs w:val="24"/>
          <w:lang w:val="fr-FR"/>
        </w:rPr>
        <w:t xml:space="preserve"> </w:t>
      </w:r>
      <w:r w:rsidR="00515981">
        <w:rPr>
          <w:b/>
          <w:bCs/>
          <w:szCs w:val="24"/>
          <w:lang w:val="fr-FR"/>
        </w:rPr>
        <w:br/>
      </w:r>
      <w:r w:rsidR="00515981">
        <w:rPr>
          <w:b/>
          <w:bCs/>
          <w:szCs w:val="24"/>
          <w:lang w:val="fr-FR"/>
        </w:rPr>
        <w:tab/>
      </w:r>
      <w:r w:rsidR="00515981">
        <w:rPr>
          <w:b/>
          <w:bCs/>
          <w:szCs w:val="24"/>
          <w:lang w:val="fr-FR"/>
        </w:rPr>
        <w:tab/>
        <w:t> </w:t>
      </w:r>
      <w:r w:rsidR="00515981" w:rsidRPr="00515981">
        <w:rPr>
          <w:bCs/>
          <w:szCs w:val="24"/>
          <w:lang w:val="fr-FR"/>
        </w:rPr>
        <w:t>».</w:t>
      </w:r>
    </w:p>
    <w:p w:rsidR="00491BED" w:rsidRPr="00491BED" w:rsidRDefault="00491BED" w:rsidP="00491BED">
      <w:pPr>
        <w:pStyle w:val="SingleTxt"/>
        <w:spacing w:after="0" w:line="120" w:lineRule="exact"/>
        <w:rPr>
          <w:sz w:val="10"/>
        </w:rPr>
      </w:pPr>
    </w:p>
    <w:p w:rsidR="00491BED" w:rsidRPr="00491BED" w:rsidRDefault="00491BED" w:rsidP="00491BED">
      <w:pPr>
        <w:pStyle w:val="SingleTxt"/>
        <w:spacing w:after="0" w:line="120" w:lineRule="exact"/>
        <w:rPr>
          <w:sz w:val="10"/>
        </w:rPr>
      </w:pPr>
    </w:p>
    <w:p w:rsidR="005424C2" w:rsidRDefault="00491BED" w:rsidP="00491BE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D.</w:t>
      </w:r>
      <w:r>
        <w:rPr>
          <w:lang w:val="fr-FR"/>
        </w:rPr>
        <w:tab/>
      </w:r>
      <w:r w:rsidR="005424C2" w:rsidRPr="00B252CD">
        <w:rPr>
          <w:lang w:val="fr-FR"/>
        </w:rPr>
        <w:t>Série 06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amendements</w:t>
      </w:r>
    </w:p>
    <w:p w:rsidR="00491BED" w:rsidRPr="00491BED" w:rsidRDefault="00491BED" w:rsidP="00491BED">
      <w:pPr>
        <w:pStyle w:val="SingleTxt"/>
        <w:spacing w:after="0" w:line="120" w:lineRule="exact"/>
        <w:rPr>
          <w:sz w:val="10"/>
          <w:lang w:val="fr-FR"/>
        </w:rPr>
      </w:pPr>
    </w:p>
    <w:p w:rsidR="00491BED" w:rsidRPr="00491BED" w:rsidRDefault="00491BED" w:rsidP="00491BED">
      <w:pPr>
        <w:pStyle w:val="SingleTxt"/>
        <w:spacing w:after="0" w:line="120" w:lineRule="exact"/>
        <w:rPr>
          <w:sz w:val="10"/>
          <w:lang w:val="fr-FR"/>
        </w:rPr>
      </w:pPr>
    </w:p>
    <w:p w:rsidR="005424C2" w:rsidRPr="00B252CD" w:rsidRDefault="005424C2" w:rsidP="00491BED">
      <w:pPr>
        <w:pStyle w:val="SingleTxt"/>
        <w:rPr>
          <w:szCs w:val="24"/>
        </w:rPr>
      </w:pPr>
      <w:r w:rsidRPr="00B252CD">
        <w:rPr>
          <w:i/>
          <w:iCs/>
          <w:szCs w:val="24"/>
          <w:lang w:val="fr-FR"/>
        </w:rPr>
        <w:t xml:space="preserve">Paragraphe </w:t>
      </w:r>
      <w:r w:rsidRPr="00E33438">
        <w:rPr>
          <w:i/>
          <w:szCs w:val="24"/>
          <w:lang w:val="fr-FR"/>
        </w:rPr>
        <w:t>12.1.4</w:t>
      </w:r>
      <w:r w:rsidRPr="00B252CD">
        <w:rPr>
          <w:szCs w:val="24"/>
          <w:lang w:val="fr-FR"/>
        </w:rPr>
        <w:t xml:space="preserve">, </w:t>
      </w:r>
      <w:proofErr w:type="gramStart"/>
      <w:r>
        <w:rPr>
          <w:szCs w:val="24"/>
          <w:lang w:val="fr-FR"/>
        </w:rPr>
        <w:t>modifier</w:t>
      </w:r>
      <w:proofErr w:type="gramEnd"/>
      <w:r>
        <w:rPr>
          <w:szCs w:val="24"/>
          <w:lang w:val="fr-FR"/>
        </w:rPr>
        <w:t xml:space="preserve"> </w:t>
      </w:r>
      <w:r w:rsidRPr="00491BED">
        <w:rPr>
          <w:lang w:val="fr-FR"/>
        </w:rPr>
        <w:t>comme</w:t>
      </w:r>
      <w:r>
        <w:rPr>
          <w:szCs w:val="24"/>
          <w:lang w:val="fr-FR"/>
        </w:rPr>
        <w:t xml:space="preserve"> suit</w:t>
      </w:r>
      <w:r w:rsidR="00491BED">
        <w:rPr>
          <w:szCs w:val="24"/>
          <w:lang w:val="fr-FR"/>
        </w:rPr>
        <w:t> </w:t>
      </w:r>
      <w:r w:rsidRPr="00B252CD">
        <w:rPr>
          <w:szCs w:val="24"/>
          <w:lang w:val="fr-FR"/>
        </w:rPr>
        <w:t>:</w:t>
      </w:r>
    </w:p>
    <w:p w:rsidR="005424C2" w:rsidRPr="00B252CD" w:rsidRDefault="00491BED" w:rsidP="00491BED">
      <w:pPr>
        <w:pStyle w:val="SingleTxt"/>
        <w:ind w:left="2218" w:hanging="951"/>
        <w:rPr>
          <w:szCs w:val="24"/>
        </w:rPr>
      </w:pPr>
      <w:r>
        <w:rPr>
          <w:szCs w:val="24"/>
          <w:lang w:val="fr-FR"/>
        </w:rPr>
        <w:t>« 12.1.4</w:t>
      </w:r>
      <w:r w:rsidR="005424C2" w:rsidRPr="00B252CD">
        <w:rPr>
          <w:szCs w:val="24"/>
          <w:lang w:val="fr-FR"/>
        </w:rPr>
        <w:tab/>
        <w:t>Les homologations accordées au titre du présent Règlement avant la date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application obligatoire de la série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amendements la plus récente restent valables indéfiniment et les Parties contractantes appliquant le présent Règlement doivent continuer à les reconnaître et ne peuvent refuser</w:t>
      </w:r>
      <w:r>
        <w:rPr>
          <w:szCs w:val="24"/>
          <w:lang w:val="fr-FR"/>
        </w:rPr>
        <w:t> </w:t>
      </w:r>
      <w:r w:rsidR="005424C2" w:rsidRPr="00B252CD">
        <w:rPr>
          <w:szCs w:val="24"/>
          <w:lang w:val="fr-FR"/>
        </w:rPr>
        <w:t>:</w:t>
      </w:r>
    </w:p>
    <w:p w:rsidR="005424C2" w:rsidRPr="00B252CD" w:rsidRDefault="005424C2" w:rsidP="00491BED">
      <w:pPr>
        <w:pStyle w:val="SingleTxt"/>
        <w:ind w:left="2218" w:hanging="951"/>
        <w:rPr>
          <w:szCs w:val="24"/>
        </w:rPr>
      </w:pPr>
      <w:r w:rsidRPr="00491BED">
        <w:rPr>
          <w:b/>
          <w:szCs w:val="24"/>
          <w:lang w:val="fr-FR"/>
        </w:rPr>
        <w:t>12.1.4.1</w:t>
      </w:r>
      <w:r w:rsidRPr="00B252CD">
        <w:rPr>
          <w:szCs w:val="24"/>
          <w:lang w:val="fr-FR"/>
        </w:rPr>
        <w:tab/>
      </w:r>
      <w:r>
        <w:rPr>
          <w:szCs w:val="24"/>
          <w:lang w:val="fr-FR"/>
        </w:rPr>
        <w:t xml:space="preserve">de leur accorder </w:t>
      </w:r>
      <w:r w:rsidRPr="00B252CD">
        <w:rPr>
          <w:szCs w:val="24"/>
          <w:lang w:val="fr-FR"/>
        </w:rPr>
        <w:t>des extensions (sauf dans le cas indiqué au paragraphe 12.1.5 ci-dessous).</w:t>
      </w:r>
    </w:p>
    <w:p w:rsidR="005424C2" w:rsidRPr="00B252CD" w:rsidRDefault="005424C2" w:rsidP="00491BED">
      <w:pPr>
        <w:pStyle w:val="SingleTxt"/>
        <w:ind w:left="2218" w:hanging="951"/>
        <w:rPr>
          <w:rFonts w:eastAsia="+mn-ea" w:cs="+mn-cs"/>
          <w:b/>
          <w:bCs/>
          <w:kern w:val="24"/>
          <w:szCs w:val="24"/>
        </w:rPr>
      </w:pPr>
      <w:r w:rsidRPr="00491BED">
        <w:rPr>
          <w:b/>
          <w:szCs w:val="24"/>
          <w:lang w:val="fr-FR"/>
        </w:rPr>
        <w:lastRenderedPageBreak/>
        <w:t>12.1.4.2</w:t>
      </w:r>
      <w:r w:rsidRPr="00B252CD">
        <w:rPr>
          <w:szCs w:val="24"/>
          <w:lang w:val="fr-FR"/>
        </w:rPr>
        <w:tab/>
      </w:r>
      <w:r w:rsidRPr="00C82853">
        <w:rPr>
          <w:b/>
          <w:szCs w:val="24"/>
          <w:lang w:val="fr-FR"/>
        </w:rPr>
        <w:t>d</w:t>
      </w:r>
      <w:r>
        <w:rPr>
          <w:b/>
          <w:szCs w:val="24"/>
          <w:lang w:val="fr-FR"/>
        </w:rPr>
        <w:t>’</w:t>
      </w:r>
      <w:r w:rsidRPr="00C82853">
        <w:rPr>
          <w:b/>
          <w:szCs w:val="24"/>
          <w:lang w:val="fr-FR"/>
        </w:rPr>
        <w:t>accorder des extensions d</w:t>
      </w:r>
      <w:r>
        <w:rPr>
          <w:b/>
          <w:szCs w:val="24"/>
          <w:lang w:val="fr-FR"/>
        </w:rPr>
        <w:t>’</w:t>
      </w:r>
      <w:r w:rsidRPr="00C82853">
        <w:rPr>
          <w:b/>
          <w:szCs w:val="24"/>
          <w:lang w:val="fr-FR"/>
        </w:rPr>
        <w:t>homologations existantes pour un type de véhicule répondant aux prescriptions d</w:t>
      </w:r>
      <w:r>
        <w:rPr>
          <w:b/>
          <w:szCs w:val="24"/>
          <w:lang w:val="fr-FR"/>
        </w:rPr>
        <w:t>’</w:t>
      </w:r>
      <w:r w:rsidRPr="00C82853">
        <w:rPr>
          <w:b/>
          <w:szCs w:val="24"/>
          <w:lang w:val="fr-FR"/>
        </w:rPr>
        <w:t>une série d</w:t>
      </w:r>
      <w:r>
        <w:rPr>
          <w:b/>
          <w:szCs w:val="24"/>
          <w:lang w:val="fr-FR"/>
        </w:rPr>
        <w:t>’</w:t>
      </w:r>
      <w:r w:rsidRPr="00C82853">
        <w:rPr>
          <w:b/>
          <w:szCs w:val="24"/>
          <w:lang w:val="fr-FR"/>
        </w:rPr>
        <w:t>amendement</w:t>
      </w:r>
      <w:r w:rsidR="00491BED">
        <w:rPr>
          <w:b/>
          <w:szCs w:val="24"/>
          <w:lang w:val="fr-FR"/>
        </w:rPr>
        <w:t>s</w:t>
      </w:r>
      <w:r w:rsidRPr="00C82853">
        <w:rPr>
          <w:b/>
          <w:szCs w:val="24"/>
          <w:lang w:val="fr-FR"/>
        </w:rPr>
        <w:t xml:space="preserve"> encore en vigueur, sur lequel des dispositifs/systèmes/équipements autorisés au titre d</w:t>
      </w:r>
      <w:r>
        <w:rPr>
          <w:b/>
          <w:szCs w:val="24"/>
          <w:lang w:val="fr-FR"/>
        </w:rPr>
        <w:t>’</w:t>
      </w:r>
      <w:r w:rsidRPr="00C82853">
        <w:rPr>
          <w:b/>
          <w:szCs w:val="24"/>
          <w:lang w:val="fr-FR"/>
        </w:rPr>
        <w:t>une série d</w:t>
      </w:r>
      <w:r>
        <w:rPr>
          <w:b/>
          <w:szCs w:val="24"/>
          <w:lang w:val="fr-FR"/>
        </w:rPr>
        <w:t>’</w:t>
      </w:r>
      <w:r w:rsidRPr="00C82853">
        <w:rPr>
          <w:b/>
          <w:szCs w:val="24"/>
          <w:lang w:val="fr-FR"/>
        </w:rPr>
        <w:t>amendements ultérieure sont montés en option par le constructeur du véhicule, pour autant que toutes les prescriptions pertinentes de la série ultérieure en vigueur</w:t>
      </w:r>
      <w:r>
        <w:rPr>
          <w:b/>
          <w:szCs w:val="24"/>
          <w:lang w:val="fr-FR"/>
        </w:rPr>
        <w:t xml:space="preserve"> </w:t>
      </w:r>
      <w:r w:rsidRPr="00C82853">
        <w:rPr>
          <w:b/>
          <w:szCs w:val="24"/>
          <w:lang w:val="fr-FR"/>
        </w:rPr>
        <w:t>au moment de l</w:t>
      </w:r>
      <w:r>
        <w:rPr>
          <w:b/>
          <w:szCs w:val="24"/>
          <w:lang w:val="fr-FR"/>
        </w:rPr>
        <w:t>’</w:t>
      </w:r>
      <w:r w:rsidRPr="00C82853">
        <w:rPr>
          <w:b/>
          <w:szCs w:val="24"/>
          <w:lang w:val="fr-FR"/>
        </w:rPr>
        <w:t>homologation de type du véhicule soient remplies.</w:t>
      </w:r>
      <w:r w:rsidR="00491BED" w:rsidRPr="00491BED">
        <w:rPr>
          <w:szCs w:val="24"/>
          <w:lang w:val="fr-FR"/>
        </w:rPr>
        <w:t> ».</w:t>
      </w:r>
    </w:p>
    <w:p w:rsidR="005424C2" w:rsidRPr="00B252CD" w:rsidRDefault="005424C2" w:rsidP="005E57A1">
      <w:pPr>
        <w:pStyle w:val="SingleTxt"/>
        <w:rPr>
          <w:szCs w:val="24"/>
        </w:rPr>
      </w:pPr>
      <w:r w:rsidRPr="00E33438">
        <w:rPr>
          <w:i/>
          <w:szCs w:val="24"/>
          <w:lang w:val="fr-FR"/>
        </w:rPr>
        <w:t>Annexe 1</w:t>
      </w:r>
      <w:r w:rsidR="005E57A1">
        <w:rPr>
          <w:szCs w:val="24"/>
          <w:lang w:val="fr-FR"/>
        </w:rPr>
        <w:t>, ajouter un nouveau point 10.9</w:t>
      </w:r>
      <w:r w:rsidRPr="00B252CD">
        <w:rPr>
          <w:szCs w:val="24"/>
          <w:lang w:val="fr-FR"/>
        </w:rPr>
        <w:t>, ainsi conçu</w:t>
      </w:r>
      <w:r w:rsidR="005E57A1">
        <w:rPr>
          <w:szCs w:val="24"/>
          <w:lang w:val="fr-FR"/>
        </w:rPr>
        <w:t> </w:t>
      </w:r>
      <w:r w:rsidRPr="00B252CD">
        <w:rPr>
          <w:szCs w:val="24"/>
          <w:lang w:val="fr-FR"/>
        </w:rPr>
        <w:t>:</w:t>
      </w:r>
    </w:p>
    <w:p w:rsidR="005424C2" w:rsidRPr="00B252CD" w:rsidRDefault="005E57A1" w:rsidP="005E57A1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/>
          <w:szCs w:val="24"/>
        </w:rPr>
      </w:pPr>
      <w:r>
        <w:rPr>
          <w:szCs w:val="24"/>
          <w:lang w:val="fr-FR"/>
        </w:rPr>
        <w:t>« </w:t>
      </w:r>
      <w:r w:rsidRPr="005E57A1">
        <w:rPr>
          <w:b/>
          <w:szCs w:val="24"/>
          <w:lang w:val="fr-FR"/>
        </w:rPr>
        <w:t>10.9</w:t>
      </w:r>
      <w:r w:rsidR="005424C2" w:rsidRPr="00B252CD">
        <w:rPr>
          <w:szCs w:val="24"/>
          <w:lang w:val="fr-FR"/>
        </w:rPr>
        <w:tab/>
      </w:r>
      <w:r w:rsidR="005424C2" w:rsidRPr="00B252CD">
        <w:rPr>
          <w:b/>
          <w:bCs/>
          <w:szCs w:val="24"/>
          <w:lang w:val="fr-FR"/>
        </w:rPr>
        <w:t>En cas d</w:t>
      </w:r>
      <w:r w:rsidR="005424C2">
        <w:rPr>
          <w:b/>
          <w:bCs/>
          <w:szCs w:val="24"/>
          <w:lang w:val="fr-FR"/>
        </w:rPr>
        <w:t>’</w:t>
      </w:r>
      <w:r w:rsidR="005424C2" w:rsidRPr="00B252CD">
        <w:rPr>
          <w:b/>
          <w:bCs/>
          <w:szCs w:val="24"/>
          <w:lang w:val="fr-FR"/>
        </w:rPr>
        <w:t>extension d</w:t>
      </w:r>
      <w:r w:rsidR="005424C2">
        <w:rPr>
          <w:b/>
          <w:bCs/>
          <w:szCs w:val="24"/>
          <w:lang w:val="fr-FR"/>
        </w:rPr>
        <w:t>’</w:t>
      </w:r>
      <w:r w:rsidR="005424C2" w:rsidRPr="00B252CD">
        <w:rPr>
          <w:b/>
          <w:bCs/>
          <w:szCs w:val="24"/>
          <w:lang w:val="fr-FR"/>
        </w:rPr>
        <w:t>homologation, observations concernant l</w:t>
      </w:r>
      <w:r w:rsidR="005424C2">
        <w:rPr>
          <w:b/>
          <w:bCs/>
          <w:szCs w:val="24"/>
          <w:lang w:val="fr-FR"/>
        </w:rPr>
        <w:t>’</w:t>
      </w:r>
      <w:r w:rsidR="005424C2" w:rsidRPr="00B252CD">
        <w:rPr>
          <w:b/>
          <w:bCs/>
          <w:szCs w:val="24"/>
          <w:lang w:val="fr-FR"/>
        </w:rPr>
        <w:t xml:space="preserve">installation de dispositifs/systèmes/équipements facultatifs, autorisés par la série </w:t>
      </w:r>
      <w:r w:rsidR="00D70B6C">
        <w:rPr>
          <w:b/>
          <w:bCs/>
          <w:szCs w:val="24"/>
          <w:lang w:val="fr-FR"/>
        </w:rPr>
        <w:t xml:space="preserve">… </w:t>
      </w:r>
      <w:r w:rsidR="005424C2" w:rsidRPr="00B252CD">
        <w:rPr>
          <w:b/>
          <w:bCs/>
          <w:szCs w:val="24"/>
          <w:lang w:val="fr-FR"/>
        </w:rPr>
        <w:t>d</w:t>
      </w:r>
      <w:r w:rsidR="005424C2">
        <w:rPr>
          <w:b/>
          <w:bCs/>
          <w:szCs w:val="24"/>
          <w:lang w:val="fr-FR"/>
        </w:rPr>
        <w:t>’</w:t>
      </w:r>
      <w:r w:rsidR="005424C2" w:rsidRPr="00B252CD">
        <w:rPr>
          <w:b/>
          <w:bCs/>
          <w:szCs w:val="24"/>
          <w:lang w:val="fr-FR"/>
        </w:rPr>
        <w:t>amendements</w:t>
      </w:r>
      <w:r>
        <w:rPr>
          <w:b/>
          <w:bCs/>
          <w:szCs w:val="24"/>
          <w:lang w:val="fr-FR"/>
        </w:rPr>
        <w:t> :</w:t>
      </w:r>
    </w:p>
    <w:p w:rsidR="005424C2" w:rsidRPr="00B252CD" w:rsidRDefault="005424C2" w:rsidP="005E57A1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/>
          <w:szCs w:val="24"/>
        </w:rPr>
      </w:pPr>
      <w:r w:rsidRPr="005E57A1">
        <w:rPr>
          <w:b/>
          <w:szCs w:val="24"/>
          <w:lang w:val="fr-FR"/>
        </w:rPr>
        <w:t>10.9.1</w:t>
      </w:r>
      <w:r w:rsidRPr="00B252CD">
        <w:rPr>
          <w:szCs w:val="24"/>
          <w:lang w:val="fr-FR"/>
        </w:rPr>
        <w:tab/>
      </w:r>
      <w:r w:rsidR="00D70B6C">
        <w:rPr>
          <w:b/>
          <w:bCs/>
          <w:szCs w:val="24"/>
          <w:lang w:val="fr-FR"/>
        </w:rPr>
        <w:t>Nom du dispositif/système/équipement installé</w:t>
      </w:r>
      <w:r w:rsidR="004A1289">
        <w:rPr>
          <w:b/>
          <w:bCs/>
          <w:szCs w:val="24"/>
          <w:lang w:val="fr-FR"/>
        </w:rPr>
        <w:t xml:space="preserve"> : </w:t>
      </w:r>
      <w:r w:rsidR="005E57A1">
        <w:rPr>
          <w:b/>
          <w:bCs/>
          <w:szCs w:val="24"/>
          <w:lang w:val="fr-FR"/>
        </w:rPr>
        <w:tab/>
        <w:t xml:space="preserve"> </w:t>
      </w:r>
      <w:r w:rsidR="005E57A1">
        <w:rPr>
          <w:b/>
          <w:bCs/>
          <w:szCs w:val="24"/>
          <w:lang w:val="fr-FR"/>
        </w:rPr>
        <w:br/>
      </w:r>
      <w:r w:rsidR="005E57A1">
        <w:rPr>
          <w:b/>
          <w:bCs/>
          <w:szCs w:val="24"/>
          <w:lang w:val="fr-FR"/>
        </w:rPr>
        <w:tab/>
      </w:r>
      <w:r w:rsidR="005E57A1">
        <w:rPr>
          <w:b/>
          <w:bCs/>
          <w:szCs w:val="24"/>
          <w:lang w:val="fr-FR"/>
        </w:rPr>
        <w:tab/>
      </w:r>
    </w:p>
    <w:p w:rsidR="005424C2" w:rsidRDefault="005424C2" w:rsidP="005E57A1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leader="dot" w:pos="8820"/>
        </w:tabs>
        <w:ind w:left="2217" w:hanging="950"/>
        <w:rPr>
          <w:bCs/>
          <w:szCs w:val="24"/>
          <w:lang w:val="fr-FR"/>
        </w:rPr>
      </w:pPr>
      <w:r w:rsidRPr="005E57A1">
        <w:rPr>
          <w:b/>
          <w:szCs w:val="24"/>
          <w:lang w:val="fr-FR"/>
        </w:rPr>
        <w:t>10.9.2</w:t>
      </w:r>
      <w:r w:rsidRPr="00B252CD">
        <w:rPr>
          <w:szCs w:val="24"/>
          <w:lang w:val="fr-FR"/>
        </w:rPr>
        <w:tab/>
      </w:r>
      <w:r w:rsidRPr="00B252CD">
        <w:rPr>
          <w:b/>
          <w:bCs/>
          <w:szCs w:val="24"/>
          <w:lang w:val="fr-FR"/>
        </w:rPr>
        <w:t>Liste des prescriptions pertinentes, par numéro de paragraphe,</w:t>
      </w:r>
      <w:r>
        <w:rPr>
          <w:b/>
          <w:bCs/>
          <w:szCs w:val="24"/>
          <w:lang w:val="fr-FR"/>
        </w:rPr>
        <w:t xml:space="preserve"> </w:t>
      </w:r>
      <w:r w:rsidRPr="00B252CD">
        <w:rPr>
          <w:b/>
          <w:bCs/>
          <w:szCs w:val="24"/>
          <w:lang w:val="fr-FR"/>
        </w:rPr>
        <w:t>de la série d</w:t>
      </w:r>
      <w:r>
        <w:rPr>
          <w:b/>
          <w:bCs/>
          <w:szCs w:val="24"/>
          <w:lang w:val="fr-FR"/>
        </w:rPr>
        <w:t>’</w:t>
      </w:r>
      <w:r w:rsidRPr="00B252CD">
        <w:rPr>
          <w:b/>
          <w:bCs/>
          <w:szCs w:val="24"/>
          <w:lang w:val="fr-FR"/>
        </w:rPr>
        <w:t xml:space="preserve">amendements </w:t>
      </w:r>
      <w:r w:rsidR="004A1289">
        <w:rPr>
          <w:b/>
          <w:bCs/>
          <w:szCs w:val="24"/>
          <w:lang w:val="fr-FR"/>
        </w:rPr>
        <w:t xml:space="preserve">appliquée pour son installation : </w:t>
      </w:r>
      <w:r w:rsidR="005E57A1">
        <w:rPr>
          <w:b/>
          <w:bCs/>
          <w:szCs w:val="24"/>
          <w:lang w:val="fr-FR"/>
        </w:rPr>
        <w:tab/>
        <w:t xml:space="preserve"> </w:t>
      </w:r>
      <w:r w:rsidR="005E57A1">
        <w:rPr>
          <w:b/>
          <w:bCs/>
          <w:szCs w:val="24"/>
          <w:lang w:val="fr-FR"/>
        </w:rPr>
        <w:br/>
      </w:r>
      <w:r w:rsidR="005E57A1">
        <w:rPr>
          <w:b/>
          <w:bCs/>
          <w:szCs w:val="24"/>
          <w:lang w:val="fr-FR"/>
        </w:rPr>
        <w:tab/>
      </w:r>
      <w:r w:rsidR="005E57A1">
        <w:rPr>
          <w:b/>
          <w:bCs/>
          <w:szCs w:val="24"/>
          <w:lang w:val="fr-FR"/>
        </w:rPr>
        <w:tab/>
        <w:t> </w:t>
      </w:r>
      <w:r w:rsidR="005E57A1" w:rsidRPr="005E57A1">
        <w:rPr>
          <w:bCs/>
          <w:szCs w:val="24"/>
          <w:lang w:val="fr-FR"/>
        </w:rPr>
        <w:t>».</w:t>
      </w:r>
    </w:p>
    <w:p w:rsidR="00691C2A" w:rsidRPr="00691C2A" w:rsidRDefault="00691C2A" w:rsidP="00691C2A">
      <w:pPr>
        <w:pStyle w:val="SingleTxt"/>
        <w:spacing w:after="0" w:line="120" w:lineRule="exact"/>
        <w:rPr>
          <w:sz w:val="10"/>
        </w:rPr>
      </w:pPr>
    </w:p>
    <w:p w:rsidR="00691C2A" w:rsidRPr="00691C2A" w:rsidRDefault="00691C2A" w:rsidP="00691C2A">
      <w:pPr>
        <w:pStyle w:val="SingleTxt"/>
        <w:spacing w:after="0" w:line="120" w:lineRule="exact"/>
        <w:rPr>
          <w:sz w:val="10"/>
        </w:rPr>
      </w:pPr>
    </w:p>
    <w:p w:rsidR="005424C2" w:rsidRDefault="005424C2" w:rsidP="00691C2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B252CD">
        <w:rPr>
          <w:lang w:val="fr-FR"/>
        </w:rPr>
        <w:tab/>
        <w:t>II.</w:t>
      </w:r>
      <w:r w:rsidRPr="00B252CD">
        <w:rPr>
          <w:lang w:val="fr-FR"/>
        </w:rPr>
        <w:tab/>
        <w:t>Justification</w:t>
      </w:r>
    </w:p>
    <w:p w:rsidR="00691C2A" w:rsidRPr="00691C2A" w:rsidRDefault="00691C2A" w:rsidP="00691C2A">
      <w:pPr>
        <w:pStyle w:val="SingleTxt"/>
        <w:spacing w:after="0" w:line="120" w:lineRule="exact"/>
        <w:rPr>
          <w:sz w:val="10"/>
          <w:lang w:val="fr-FR"/>
        </w:rPr>
      </w:pPr>
    </w:p>
    <w:p w:rsidR="00691C2A" w:rsidRPr="00691C2A" w:rsidRDefault="00691C2A" w:rsidP="00691C2A">
      <w:pPr>
        <w:pStyle w:val="SingleTxt"/>
        <w:spacing w:after="0" w:line="120" w:lineRule="exact"/>
        <w:rPr>
          <w:sz w:val="10"/>
          <w:lang w:val="fr-FR"/>
        </w:rPr>
      </w:pPr>
    </w:p>
    <w:p w:rsidR="005424C2" w:rsidRPr="00B252CD" w:rsidRDefault="005424C2" w:rsidP="00691C2A">
      <w:pPr>
        <w:pStyle w:val="SingleTxt"/>
        <w:numPr>
          <w:ilvl w:val="0"/>
          <w:numId w:val="13"/>
        </w:numPr>
        <w:tabs>
          <w:tab w:val="clear" w:pos="475"/>
          <w:tab w:val="num" w:pos="1742"/>
        </w:tabs>
        <w:ind w:left="1267"/>
      </w:pPr>
      <w:r w:rsidRPr="00B252CD">
        <w:rPr>
          <w:lang w:val="fr-FR"/>
        </w:rPr>
        <w:t xml:space="preserve">La proposition originale du GTB visant à simplifier et mettre à jour les dispositions transitoires du </w:t>
      </w:r>
      <w:r w:rsidR="00144D6C" w:rsidRPr="00B252CD">
        <w:rPr>
          <w:lang w:val="fr-FR"/>
        </w:rPr>
        <w:t xml:space="preserve">Règlement </w:t>
      </w:r>
      <w:r w:rsidRPr="00B252CD">
        <w:rPr>
          <w:lang w:val="fr-FR"/>
        </w:rPr>
        <w:t>N</w:t>
      </w:r>
      <w:r w:rsidRPr="00672785">
        <w:rPr>
          <w:vertAlign w:val="superscript"/>
          <w:lang w:val="fr-FR"/>
        </w:rPr>
        <w:t>o</w:t>
      </w:r>
      <w:r w:rsidRPr="00691C2A">
        <w:rPr>
          <w:lang w:val="fr-FR"/>
        </w:rPr>
        <w:t> </w:t>
      </w:r>
      <w:r w:rsidRPr="00B252CD">
        <w:rPr>
          <w:lang w:val="fr-FR"/>
        </w:rPr>
        <w:t xml:space="preserve">48 a été présentée dans le </w:t>
      </w:r>
      <w:r w:rsidR="00691C2A">
        <w:rPr>
          <w:lang w:val="fr-FR"/>
        </w:rPr>
        <w:t>complément 3 à la série </w:t>
      </w:r>
      <w:r w:rsidRPr="00B252CD">
        <w:rPr>
          <w:lang w:val="fr-FR"/>
        </w:rPr>
        <w:t>06 d</w:t>
      </w:r>
      <w:r>
        <w:rPr>
          <w:lang w:val="fr-FR"/>
        </w:rPr>
        <w:t>’</w:t>
      </w:r>
      <w:r w:rsidRPr="00B252CD">
        <w:rPr>
          <w:lang w:val="fr-FR"/>
        </w:rPr>
        <w:t>amendements,</w:t>
      </w:r>
      <w:r w:rsidR="00691C2A">
        <w:rPr>
          <w:lang w:val="fr-FR"/>
        </w:rPr>
        <w:t xml:space="preserve"> et est entrée en vigueur le 10 </w:t>
      </w:r>
      <w:r w:rsidRPr="00B252CD">
        <w:rPr>
          <w:lang w:val="fr-FR"/>
        </w:rPr>
        <w:t xml:space="preserve">juin 2014. </w:t>
      </w:r>
      <w:r>
        <w:rPr>
          <w:lang w:val="fr-FR"/>
        </w:rPr>
        <w:t>Elle avait pour</w:t>
      </w:r>
      <w:r w:rsidRPr="00B252CD">
        <w:rPr>
          <w:lang w:val="fr-FR"/>
        </w:rPr>
        <w:t xml:space="preserve"> objectif d</w:t>
      </w:r>
      <w:r>
        <w:rPr>
          <w:lang w:val="fr-FR"/>
        </w:rPr>
        <w:t>’</w:t>
      </w:r>
      <w:r w:rsidRPr="00B252CD">
        <w:rPr>
          <w:lang w:val="fr-FR"/>
        </w:rPr>
        <w:t xml:space="preserve">éviter </w:t>
      </w:r>
      <w:r>
        <w:rPr>
          <w:lang w:val="fr-FR"/>
        </w:rPr>
        <w:t>de maintenir simultanément en vigueur</w:t>
      </w:r>
      <w:r w:rsidRPr="00B252CD">
        <w:rPr>
          <w:lang w:val="fr-FR"/>
        </w:rPr>
        <w:t xml:space="preserve"> plusieurs séries du Règlement. Cette </w:t>
      </w:r>
      <w:r>
        <w:rPr>
          <w:lang w:val="fr-FR"/>
        </w:rPr>
        <w:t>mesure</w:t>
      </w:r>
      <w:r w:rsidRPr="00B252CD">
        <w:rPr>
          <w:lang w:val="fr-FR"/>
        </w:rPr>
        <w:t xml:space="preserve"> est nécessaire pour réduire la charge de travail administratif et permettre </w:t>
      </w:r>
      <w:r>
        <w:rPr>
          <w:lang w:val="fr-FR"/>
        </w:rPr>
        <w:t>l’arrêt de</w:t>
      </w:r>
      <w:r w:rsidRPr="00B252CD">
        <w:rPr>
          <w:lang w:val="fr-FR"/>
        </w:rPr>
        <w:t xml:space="preserve"> toutes les séries antérieures</w:t>
      </w:r>
      <w:r>
        <w:rPr>
          <w:lang w:val="fr-FR"/>
        </w:rPr>
        <w:t xml:space="preserve">, qui deviennent des </w:t>
      </w:r>
      <w:r w:rsidR="00691C2A">
        <w:rPr>
          <w:lang w:val="fr-FR"/>
        </w:rPr>
        <w:t>« </w:t>
      </w:r>
      <w:r w:rsidRPr="00B252CD">
        <w:rPr>
          <w:lang w:val="fr-FR"/>
        </w:rPr>
        <w:t>versions d</w:t>
      </w:r>
      <w:r>
        <w:rPr>
          <w:lang w:val="fr-FR"/>
        </w:rPr>
        <w:t>’</w:t>
      </w:r>
      <w:r w:rsidRPr="00B252CD">
        <w:rPr>
          <w:lang w:val="fr-FR"/>
        </w:rPr>
        <w:t>un Règlement</w:t>
      </w:r>
      <w:r w:rsidR="00691C2A">
        <w:rPr>
          <w:lang w:val="fr-FR"/>
        </w:rPr>
        <w:t> »</w:t>
      </w:r>
      <w:r w:rsidRPr="00B252CD">
        <w:rPr>
          <w:lang w:val="fr-FR"/>
        </w:rPr>
        <w:t xml:space="preserve"> pouvant être référencées dans le Règlement </w:t>
      </w:r>
      <w:r w:rsidR="004A1289">
        <w:rPr>
          <w:lang w:val="fr-FR"/>
        </w:rPr>
        <w:t>N</w:t>
      </w:r>
      <w:r w:rsidRPr="00672785">
        <w:rPr>
          <w:vertAlign w:val="superscript"/>
          <w:lang w:val="fr-FR"/>
        </w:rPr>
        <w:t>o</w:t>
      </w:r>
      <w:r w:rsidRPr="00691C2A">
        <w:rPr>
          <w:lang w:val="fr-FR"/>
        </w:rPr>
        <w:t> </w:t>
      </w:r>
      <w:r w:rsidRPr="00B252CD">
        <w:rPr>
          <w:lang w:val="fr-FR"/>
        </w:rPr>
        <w:t>0 sur l</w:t>
      </w:r>
      <w:r>
        <w:rPr>
          <w:lang w:val="fr-FR"/>
        </w:rPr>
        <w:t>’</w:t>
      </w:r>
      <w:r w:rsidRPr="00B252CD">
        <w:rPr>
          <w:lang w:val="fr-FR"/>
        </w:rPr>
        <w:t xml:space="preserve">homologation de type internationale </w:t>
      </w:r>
      <w:r w:rsidR="00144D6C">
        <w:rPr>
          <w:lang w:val="fr-FR"/>
        </w:rPr>
        <w:t xml:space="preserve">de l’ensemble </w:t>
      </w:r>
      <w:r w:rsidRPr="00B252CD">
        <w:rPr>
          <w:lang w:val="fr-FR"/>
        </w:rPr>
        <w:t>du véhicule.</w:t>
      </w:r>
    </w:p>
    <w:p w:rsidR="005424C2" w:rsidRPr="00B252CD" w:rsidRDefault="005424C2" w:rsidP="00C8159C">
      <w:pPr>
        <w:pStyle w:val="SingleTxt"/>
        <w:numPr>
          <w:ilvl w:val="0"/>
          <w:numId w:val="13"/>
        </w:numPr>
        <w:tabs>
          <w:tab w:val="clear" w:pos="475"/>
          <w:tab w:val="num" w:pos="1742"/>
        </w:tabs>
        <w:ind w:left="1267"/>
        <w:rPr>
          <w:szCs w:val="24"/>
        </w:rPr>
      </w:pPr>
      <w:r w:rsidRPr="00B252CD">
        <w:rPr>
          <w:szCs w:val="24"/>
          <w:lang w:val="fr-FR"/>
        </w:rPr>
        <w:t>L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>objectif énoncé ci-dessus s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 xml:space="preserve">est </w:t>
      </w:r>
      <w:r w:rsidRPr="00C8159C">
        <w:rPr>
          <w:lang w:val="fr-FR"/>
        </w:rPr>
        <w:t>matérialisé</w:t>
      </w:r>
      <w:r w:rsidRPr="00B252CD">
        <w:rPr>
          <w:szCs w:val="24"/>
          <w:lang w:val="fr-FR"/>
        </w:rPr>
        <w:t xml:space="preserve"> par l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 xml:space="preserve">adoption de dispositions transitoires simplifiées. Selon cette nouvelle </w:t>
      </w:r>
      <w:r>
        <w:rPr>
          <w:szCs w:val="24"/>
          <w:lang w:val="fr-FR"/>
        </w:rPr>
        <w:t>méthode</w:t>
      </w:r>
      <w:r w:rsidRPr="00B252CD">
        <w:rPr>
          <w:szCs w:val="24"/>
          <w:lang w:val="fr-FR"/>
        </w:rPr>
        <w:t>, seule la dernière version (</w:t>
      </w:r>
      <w:r w:rsidR="00C8159C">
        <w:rPr>
          <w:szCs w:val="24"/>
          <w:lang w:val="fr-FR"/>
        </w:rPr>
        <w:t>série</w:t>
      </w:r>
      <w:r w:rsidRPr="00B252CD">
        <w:rPr>
          <w:szCs w:val="24"/>
          <w:lang w:val="fr-FR"/>
        </w:rPr>
        <w:t xml:space="preserve"> d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 xml:space="preserve">amendements du Règlement) </w:t>
      </w:r>
      <w:r w:rsidR="00C8159C">
        <w:rPr>
          <w:szCs w:val="24"/>
          <w:lang w:val="fr-FR"/>
        </w:rPr>
        <w:t>doit être en vigueur.</w:t>
      </w:r>
    </w:p>
    <w:p w:rsidR="005424C2" w:rsidRPr="00F1140C" w:rsidRDefault="005424C2" w:rsidP="00F1140C">
      <w:pPr>
        <w:pStyle w:val="SingleTxt"/>
        <w:numPr>
          <w:ilvl w:val="0"/>
          <w:numId w:val="13"/>
        </w:numPr>
        <w:tabs>
          <w:tab w:val="clear" w:pos="475"/>
          <w:tab w:val="num" w:pos="1742"/>
        </w:tabs>
        <w:ind w:left="1267"/>
        <w:rPr>
          <w:szCs w:val="24"/>
          <w:lang w:val="fr-FR"/>
        </w:rPr>
      </w:pPr>
      <w:r w:rsidRPr="00B252CD">
        <w:rPr>
          <w:szCs w:val="24"/>
          <w:lang w:val="fr-FR"/>
        </w:rPr>
        <w:t>Toutefois, une autre question s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 xml:space="preserve">est posée concernant la possibilité </w:t>
      </w:r>
      <w:r>
        <w:rPr>
          <w:szCs w:val="24"/>
          <w:lang w:val="fr-FR"/>
        </w:rPr>
        <w:t>d’appliquer de manière</w:t>
      </w:r>
      <w:r w:rsidRPr="00B252CD">
        <w:rPr>
          <w:szCs w:val="24"/>
          <w:lang w:val="fr-FR"/>
        </w:rPr>
        <w:t xml:space="preserve"> partielle une série d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>amendements afin d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>installer de</w:t>
      </w:r>
      <w:r>
        <w:rPr>
          <w:szCs w:val="24"/>
          <w:lang w:val="fr-FR"/>
        </w:rPr>
        <w:t xml:space="preserve"> nouveaux</w:t>
      </w:r>
      <w:r w:rsidRPr="00B252CD">
        <w:rPr>
          <w:szCs w:val="24"/>
          <w:lang w:val="fr-FR"/>
        </w:rPr>
        <w:t xml:space="preserve"> dispositifs/s</w:t>
      </w:r>
      <w:r>
        <w:rPr>
          <w:szCs w:val="24"/>
          <w:lang w:val="fr-FR"/>
        </w:rPr>
        <w:t>ystèmes</w:t>
      </w:r>
      <w:r w:rsidRPr="00B252CD">
        <w:rPr>
          <w:szCs w:val="24"/>
          <w:lang w:val="fr-FR"/>
        </w:rPr>
        <w:t xml:space="preserve">/équipements </w:t>
      </w:r>
      <w:r w:rsidR="00F1140C">
        <w:rPr>
          <w:szCs w:val="24"/>
          <w:lang w:val="fr-FR"/>
        </w:rPr>
        <w:t>sur un véhicule déjà approuvé</w:t>
      </w:r>
      <w:r w:rsidRPr="00B252CD">
        <w:rPr>
          <w:szCs w:val="24"/>
          <w:lang w:val="fr-FR"/>
        </w:rPr>
        <w:t xml:space="preserve"> en application d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>une série</w:t>
      </w:r>
      <w:r w:rsidR="00F1140C">
        <w:rPr>
          <w:szCs w:val="24"/>
          <w:lang w:val="fr-FR"/>
        </w:rPr>
        <w:t xml:space="preserve"> antérieure</w:t>
      </w:r>
      <w:r w:rsidRPr="00B252CD">
        <w:rPr>
          <w:szCs w:val="24"/>
          <w:lang w:val="fr-FR"/>
        </w:rPr>
        <w:t>, en étendant l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 xml:space="preserve">homologation existante plutôt </w:t>
      </w:r>
      <w:r>
        <w:rPr>
          <w:szCs w:val="24"/>
          <w:lang w:val="fr-FR"/>
        </w:rPr>
        <w:t>qu’en</w:t>
      </w:r>
      <w:r w:rsidRPr="00B252CD">
        <w:rPr>
          <w:szCs w:val="24"/>
          <w:lang w:val="fr-FR"/>
        </w:rPr>
        <w:t xml:space="preserve"> demand</w:t>
      </w:r>
      <w:r>
        <w:rPr>
          <w:szCs w:val="24"/>
          <w:lang w:val="fr-FR"/>
        </w:rPr>
        <w:t>ant</w:t>
      </w:r>
      <w:r w:rsidRPr="00B252CD">
        <w:rPr>
          <w:szCs w:val="24"/>
          <w:lang w:val="fr-FR"/>
        </w:rPr>
        <w:t xml:space="preserve"> une nouvelle </w:t>
      </w:r>
      <w:r>
        <w:rPr>
          <w:szCs w:val="24"/>
          <w:lang w:val="fr-FR"/>
        </w:rPr>
        <w:t>homologa</w:t>
      </w:r>
      <w:r w:rsidRPr="00B252CD">
        <w:rPr>
          <w:szCs w:val="24"/>
          <w:lang w:val="fr-FR"/>
        </w:rPr>
        <w:t>tion sur la base de la dernière série d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>amendements.</w:t>
      </w:r>
    </w:p>
    <w:p w:rsidR="005424C2" w:rsidRPr="00B252CD" w:rsidRDefault="005424C2" w:rsidP="002E3633">
      <w:pPr>
        <w:pStyle w:val="SingleTxt"/>
        <w:keepNext/>
        <w:numPr>
          <w:ilvl w:val="0"/>
          <w:numId w:val="13"/>
        </w:numPr>
        <w:tabs>
          <w:tab w:val="clear" w:pos="475"/>
          <w:tab w:val="num" w:pos="1742"/>
        </w:tabs>
        <w:ind w:left="1267"/>
        <w:rPr>
          <w:szCs w:val="24"/>
        </w:rPr>
      </w:pPr>
      <w:r w:rsidRPr="00B252CD">
        <w:rPr>
          <w:szCs w:val="24"/>
          <w:lang w:val="fr-FR"/>
        </w:rPr>
        <w:t>Cett</w:t>
      </w:r>
      <w:r>
        <w:rPr>
          <w:szCs w:val="24"/>
          <w:lang w:val="fr-FR"/>
        </w:rPr>
        <w:t>e question de l’installation de</w:t>
      </w:r>
      <w:r w:rsidRPr="00B252CD">
        <w:rPr>
          <w:szCs w:val="24"/>
          <w:lang w:val="fr-FR"/>
        </w:rPr>
        <w:t xml:space="preserve"> nouvelles technologies sur des véhicules homologués </w:t>
      </w:r>
      <w:r>
        <w:rPr>
          <w:szCs w:val="24"/>
          <w:lang w:val="fr-FR"/>
        </w:rPr>
        <w:t>au titre d’</w:t>
      </w:r>
      <w:r w:rsidRPr="00B252CD">
        <w:rPr>
          <w:szCs w:val="24"/>
          <w:lang w:val="fr-FR"/>
        </w:rPr>
        <w:t>une série d</w:t>
      </w:r>
      <w:r>
        <w:rPr>
          <w:szCs w:val="24"/>
          <w:lang w:val="fr-FR"/>
        </w:rPr>
        <w:t>’</w:t>
      </w:r>
      <w:r w:rsidRPr="00B252CD">
        <w:rPr>
          <w:szCs w:val="24"/>
          <w:lang w:val="fr-FR"/>
        </w:rPr>
        <w:t xml:space="preserve">amendements antérieure </w:t>
      </w:r>
      <w:r w:rsidR="002E3633">
        <w:rPr>
          <w:szCs w:val="24"/>
          <w:lang w:val="fr-FR"/>
        </w:rPr>
        <w:t>renvoie</w:t>
      </w:r>
      <w:r w:rsidRPr="00B252CD">
        <w:rPr>
          <w:szCs w:val="24"/>
          <w:lang w:val="fr-FR"/>
        </w:rPr>
        <w:t xml:space="preserve"> </w:t>
      </w:r>
      <w:r>
        <w:rPr>
          <w:szCs w:val="24"/>
          <w:lang w:val="fr-FR"/>
        </w:rPr>
        <w:t>à</w:t>
      </w:r>
      <w:r w:rsidRPr="00B252CD">
        <w:rPr>
          <w:szCs w:val="24"/>
          <w:lang w:val="fr-FR"/>
        </w:rPr>
        <w:t xml:space="preserve"> des principes importants que le GTB souhaiterait préciser. Ils p</w:t>
      </w:r>
      <w:r w:rsidR="002E3633">
        <w:rPr>
          <w:szCs w:val="24"/>
          <w:lang w:val="fr-FR"/>
        </w:rPr>
        <w:t>euvent être résumés comme suit :</w:t>
      </w:r>
    </w:p>
    <w:p w:rsidR="005424C2" w:rsidRPr="00B252CD" w:rsidRDefault="002E3633" w:rsidP="002E3633">
      <w:pPr>
        <w:pStyle w:val="SingleTxt"/>
      </w:pPr>
      <w:r>
        <w:rPr>
          <w:lang w:val="fr-FR"/>
        </w:rPr>
        <w:tab/>
      </w:r>
      <w:r w:rsidR="005424C2">
        <w:rPr>
          <w:lang w:val="fr-FR"/>
        </w:rPr>
        <w:t>a)</w:t>
      </w:r>
      <w:r w:rsidR="005424C2">
        <w:rPr>
          <w:lang w:val="fr-FR"/>
        </w:rPr>
        <w:tab/>
      </w:r>
      <w:r w:rsidR="005424C2" w:rsidRPr="00B252CD">
        <w:rPr>
          <w:lang w:val="fr-FR"/>
        </w:rPr>
        <w:t>Le principal objet du Règlement est de garantir des niveaux adéquats (minimum</w:t>
      </w:r>
      <w:r>
        <w:rPr>
          <w:lang w:val="fr-FR"/>
        </w:rPr>
        <w:t>s</w:t>
      </w:r>
      <w:r w:rsidR="005424C2" w:rsidRPr="00B252CD">
        <w:rPr>
          <w:lang w:val="fr-FR"/>
        </w:rPr>
        <w:t>) de sécurité de la circulation; pa</w:t>
      </w:r>
      <w:r>
        <w:rPr>
          <w:lang w:val="fr-FR"/>
        </w:rPr>
        <w:t>r exemple, prévoir un éclairage</w:t>
      </w:r>
      <w:r w:rsidR="005424C2" w:rsidRPr="00B252CD">
        <w:rPr>
          <w:lang w:val="fr-FR"/>
        </w:rPr>
        <w:t xml:space="preserve"> </w:t>
      </w:r>
      <w:r>
        <w:rPr>
          <w:lang w:val="fr-FR"/>
        </w:rPr>
        <w:t>(</w:t>
      </w:r>
      <w:r w:rsidR="005424C2" w:rsidRPr="00B252CD">
        <w:rPr>
          <w:lang w:val="fr-FR"/>
        </w:rPr>
        <w:t>phares</w:t>
      </w:r>
      <w:r>
        <w:rPr>
          <w:lang w:val="fr-FR"/>
        </w:rPr>
        <w:t>)</w:t>
      </w:r>
      <w:r w:rsidR="005424C2" w:rsidRPr="00B252CD">
        <w:rPr>
          <w:lang w:val="fr-FR"/>
        </w:rPr>
        <w:t xml:space="preserve"> suffisant pour éviter </w:t>
      </w:r>
      <w:r w:rsidR="005424C2">
        <w:rPr>
          <w:lang w:val="fr-FR"/>
        </w:rPr>
        <w:t>de heurter</w:t>
      </w:r>
      <w:r w:rsidR="005424C2" w:rsidRPr="00B252CD">
        <w:rPr>
          <w:lang w:val="fr-FR"/>
        </w:rPr>
        <w:t xml:space="preserve"> des obstacles et des piétons, des niveaux </w:t>
      </w:r>
      <w:r w:rsidR="005424C2">
        <w:rPr>
          <w:lang w:val="fr-FR"/>
        </w:rPr>
        <w:t>maximum</w:t>
      </w:r>
      <w:r>
        <w:rPr>
          <w:lang w:val="fr-FR"/>
        </w:rPr>
        <w:t>s</w:t>
      </w:r>
      <w:r w:rsidR="005424C2">
        <w:rPr>
          <w:lang w:val="fr-FR"/>
        </w:rPr>
        <w:t xml:space="preserve"> </w:t>
      </w:r>
      <w:r w:rsidR="005424C2" w:rsidRPr="00B252CD">
        <w:rPr>
          <w:lang w:val="fr-FR"/>
        </w:rPr>
        <w:t>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 xml:space="preserve">éblouissement </w:t>
      </w:r>
      <w:r w:rsidR="005424C2" w:rsidRPr="008424D5">
        <w:rPr>
          <w:lang w:val="fr-FR"/>
        </w:rPr>
        <w:t xml:space="preserve">pour les conducteurs </w:t>
      </w:r>
      <w:r w:rsidR="005424C2">
        <w:rPr>
          <w:lang w:val="fr-FR"/>
        </w:rPr>
        <w:t xml:space="preserve">venant </w:t>
      </w:r>
      <w:r w:rsidR="005424C2" w:rsidRPr="008424D5">
        <w:rPr>
          <w:lang w:val="fr-FR"/>
        </w:rPr>
        <w:t>en sens inverse</w:t>
      </w:r>
      <w:r w:rsidR="005424C2">
        <w:rPr>
          <w:lang w:val="fr-FR"/>
        </w:rPr>
        <w:t>, une intensité lumineuse et des niveaux d’éblouissement maximum</w:t>
      </w:r>
      <w:r>
        <w:rPr>
          <w:lang w:val="fr-FR"/>
        </w:rPr>
        <w:t>s</w:t>
      </w:r>
      <w:r w:rsidR="005424C2">
        <w:rPr>
          <w:lang w:val="fr-FR"/>
        </w:rPr>
        <w:t xml:space="preserve"> </w:t>
      </w:r>
      <w:r>
        <w:rPr>
          <w:lang w:val="fr-FR"/>
        </w:rPr>
        <w:t>pour les</w:t>
      </w:r>
      <w:r w:rsidR="005424C2" w:rsidRPr="00B252CD">
        <w:rPr>
          <w:lang w:val="fr-FR"/>
        </w:rPr>
        <w:t xml:space="preserve"> feux de signalisation indiqu</w:t>
      </w:r>
      <w:r w:rsidR="005424C2">
        <w:rPr>
          <w:lang w:val="fr-FR"/>
        </w:rPr>
        <w:t>ant</w:t>
      </w:r>
      <w:r w:rsidR="005424C2" w:rsidRPr="00B252CD">
        <w:rPr>
          <w:lang w:val="fr-FR"/>
        </w:rPr>
        <w:t xml:space="preserve"> la présence des véhicules et </w:t>
      </w:r>
      <w:r w:rsidR="005424C2">
        <w:rPr>
          <w:lang w:val="fr-FR"/>
        </w:rPr>
        <w:t>permettant d’</w:t>
      </w:r>
      <w:r w:rsidR="005424C2" w:rsidRPr="00B252CD">
        <w:rPr>
          <w:lang w:val="fr-FR"/>
        </w:rPr>
        <w:t>ant</w:t>
      </w:r>
      <w:r>
        <w:rPr>
          <w:lang w:val="fr-FR"/>
        </w:rPr>
        <w:t xml:space="preserve">iciper leur déplacement, </w:t>
      </w:r>
      <w:r w:rsidR="00340BAC">
        <w:rPr>
          <w:lang w:val="fr-FR"/>
        </w:rPr>
        <w:t>etc.</w:t>
      </w:r>
      <w:r>
        <w:rPr>
          <w:lang w:val="fr-FR"/>
        </w:rPr>
        <w:t>;</w:t>
      </w:r>
    </w:p>
    <w:p w:rsidR="005424C2" w:rsidRPr="00B252CD" w:rsidRDefault="002E3633" w:rsidP="002E3633">
      <w:pPr>
        <w:pStyle w:val="SingleTxt"/>
        <w:rPr>
          <w:szCs w:val="24"/>
        </w:rPr>
      </w:pPr>
      <w:r>
        <w:rPr>
          <w:szCs w:val="24"/>
          <w:lang w:val="fr-FR"/>
        </w:rPr>
        <w:tab/>
      </w:r>
      <w:r w:rsidR="005424C2">
        <w:rPr>
          <w:szCs w:val="24"/>
          <w:lang w:val="fr-FR"/>
        </w:rPr>
        <w:t>b)</w:t>
      </w:r>
      <w:r w:rsidR="005424C2">
        <w:rPr>
          <w:szCs w:val="24"/>
          <w:lang w:val="fr-FR"/>
        </w:rPr>
        <w:tab/>
        <w:t>Le</w:t>
      </w:r>
      <w:r w:rsidR="005424C2" w:rsidRPr="008424D5">
        <w:rPr>
          <w:szCs w:val="24"/>
          <w:lang w:val="fr-FR"/>
        </w:rPr>
        <w:t xml:space="preserve"> </w:t>
      </w:r>
      <w:r w:rsidR="005424C2" w:rsidRPr="002E3633">
        <w:rPr>
          <w:lang w:val="fr-FR"/>
        </w:rPr>
        <w:t>Règlement</w:t>
      </w:r>
      <w:r w:rsidR="005424C2" w:rsidRPr="008424D5">
        <w:rPr>
          <w:szCs w:val="24"/>
          <w:lang w:val="fr-FR"/>
        </w:rPr>
        <w:t xml:space="preserve"> n</w:t>
      </w:r>
      <w:r w:rsidR="005424C2" w:rsidRPr="00672785">
        <w:rPr>
          <w:szCs w:val="24"/>
          <w:vertAlign w:val="superscript"/>
          <w:lang w:val="fr-FR"/>
        </w:rPr>
        <w:t>o</w:t>
      </w:r>
      <w:r w:rsidR="005424C2" w:rsidRPr="002E3633">
        <w:rPr>
          <w:szCs w:val="24"/>
          <w:lang w:val="fr-FR"/>
        </w:rPr>
        <w:t> </w:t>
      </w:r>
      <w:r w:rsidR="005424C2" w:rsidRPr="008424D5">
        <w:rPr>
          <w:szCs w:val="24"/>
          <w:lang w:val="fr-FR"/>
        </w:rPr>
        <w:t>48</w:t>
      </w:r>
      <w:r w:rsidR="005424C2">
        <w:rPr>
          <w:szCs w:val="24"/>
          <w:lang w:val="fr-FR"/>
        </w:rPr>
        <w:t xml:space="preserve"> régit l’</w:t>
      </w:r>
      <w:r w:rsidR="005424C2" w:rsidRPr="00B252CD">
        <w:rPr>
          <w:szCs w:val="24"/>
          <w:lang w:val="fr-FR"/>
        </w:rPr>
        <w:t xml:space="preserve">installation </w:t>
      </w:r>
      <w:r>
        <w:rPr>
          <w:szCs w:val="24"/>
          <w:lang w:val="fr-FR"/>
        </w:rPr>
        <w:t>des équipements</w:t>
      </w:r>
      <w:r w:rsidR="005424C2" w:rsidRPr="00B252CD">
        <w:rPr>
          <w:szCs w:val="24"/>
          <w:lang w:val="fr-FR"/>
        </w:rPr>
        <w:t xml:space="preserve"> garanti</w:t>
      </w:r>
      <w:r w:rsidR="005424C2">
        <w:rPr>
          <w:szCs w:val="24"/>
          <w:lang w:val="fr-FR"/>
        </w:rPr>
        <w:t>ssan</w:t>
      </w:r>
      <w:r w:rsidR="005424C2" w:rsidRPr="00B252CD">
        <w:rPr>
          <w:szCs w:val="24"/>
          <w:lang w:val="fr-FR"/>
        </w:rPr>
        <w:t>t les niveaux adéquats (minimum</w:t>
      </w:r>
      <w:r>
        <w:rPr>
          <w:szCs w:val="24"/>
          <w:lang w:val="fr-FR"/>
        </w:rPr>
        <w:t>s</w:t>
      </w:r>
      <w:r w:rsidR="005424C2" w:rsidRPr="00B252CD">
        <w:rPr>
          <w:szCs w:val="24"/>
          <w:lang w:val="fr-FR"/>
        </w:rPr>
        <w:t>) de sécurité de la circulation, tel</w:t>
      </w:r>
      <w:r w:rsidR="005424C2">
        <w:rPr>
          <w:szCs w:val="24"/>
          <w:lang w:val="fr-FR"/>
        </w:rPr>
        <w:t>s</w:t>
      </w:r>
      <w:r w:rsidR="005424C2" w:rsidRPr="00B252CD">
        <w:rPr>
          <w:szCs w:val="24"/>
          <w:lang w:val="fr-FR"/>
        </w:rPr>
        <w:t xml:space="preserve"> que décrit</w:t>
      </w:r>
      <w:r>
        <w:rPr>
          <w:szCs w:val="24"/>
          <w:lang w:val="fr-FR"/>
        </w:rPr>
        <w:t>s dans l’alinéa </w:t>
      </w:r>
      <w:r w:rsidR="005424C2">
        <w:rPr>
          <w:szCs w:val="24"/>
          <w:lang w:val="fr-FR"/>
        </w:rPr>
        <w:t>a) ci-dessus</w:t>
      </w:r>
      <w:r w:rsidR="005424C2" w:rsidRPr="00B252CD">
        <w:rPr>
          <w:szCs w:val="24"/>
          <w:lang w:val="fr-FR"/>
        </w:rPr>
        <w:t xml:space="preserve">. </w:t>
      </w:r>
      <w:r w:rsidR="005424C2">
        <w:rPr>
          <w:szCs w:val="24"/>
          <w:lang w:val="fr-FR"/>
        </w:rPr>
        <w:t>À</w:t>
      </w:r>
      <w:r w:rsidR="005424C2" w:rsidRPr="00B252CD">
        <w:rPr>
          <w:szCs w:val="24"/>
          <w:lang w:val="fr-FR"/>
        </w:rPr>
        <w:t xml:space="preserve"> cet égard, la </w:t>
      </w:r>
      <w:r w:rsidR="005424C2">
        <w:rPr>
          <w:szCs w:val="24"/>
          <w:lang w:val="fr-FR"/>
        </w:rPr>
        <w:t xml:space="preserve">dernière </w:t>
      </w:r>
      <w:r w:rsidR="005424C2" w:rsidRPr="00B252CD">
        <w:rPr>
          <w:szCs w:val="24"/>
          <w:lang w:val="fr-FR"/>
        </w:rPr>
        <w:t xml:space="preserve">version du Règlement définit clairement les </w:t>
      </w:r>
      <w:r w:rsidR="005424C2">
        <w:rPr>
          <w:szCs w:val="24"/>
          <w:lang w:val="fr-FR"/>
        </w:rPr>
        <w:t>critères</w:t>
      </w:r>
      <w:r w:rsidR="005424C2" w:rsidRPr="00B252CD">
        <w:rPr>
          <w:szCs w:val="24"/>
          <w:lang w:val="fr-FR"/>
        </w:rPr>
        <w:t xml:space="preserve"> et les dispositions provisoires </w:t>
      </w:r>
      <w:r w:rsidR="005424C2">
        <w:rPr>
          <w:szCs w:val="24"/>
          <w:lang w:val="fr-FR"/>
        </w:rPr>
        <w:t>précisent</w:t>
      </w:r>
      <w:r w:rsidR="005424C2" w:rsidRPr="00B252CD">
        <w:rPr>
          <w:szCs w:val="24"/>
          <w:lang w:val="fr-FR"/>
        </w:rPr>
        <w:t xml:space="preserve"> à partir de quelle date le véhicule doit </w:t>
      </w:r>
      <w:r>
        <w:rPr>
          <w:szCs w:val="24"/>
          <w:lang w:val="fr-FR"/>
        </w:rPr>
        <w:t>se</w:t>
      </w:r>
      <w:r w:rsidR="005424C2" w:rsidRPr="00B252CD">
        <w:rPr>
          <w:szCs w:val="24"/>
          <w:lang w:val="fr-FR"/>
        </w:rPr>
        <w:t xml:space="preserve"> conformer</w:t>
      </w:r>
      <w:r>
        <w:rPr>
          <w:szCs w:val="24"/>
          <w:lang w:val="fr-FR"/>
        </w:rPr>
        <w:t xml:space="preserve"> aux prescriptions visées;</w:t>
      </w:r>
    </w:p>
    <w:p w:rsidR="005424C2" w:rsidRPr="002E3633" w:rsidRDefault="002E3633" w:rsidP="002E3633">
      <w:pPr>
        <w:pStyle w:val="SingleTxt"/>
        <w:rPr>
          <w:szCs w:val="24"/>
          <w:lang w:val="fr-FR"/>
        </w:rPr>
      </w:pPr>
      <w:r>
        <w:rPr>
          <w:szCs w:val="24"/>
          <w:lang w:val="fr-FR"/>
        </w:rPr>
        <w:lastRenderedPageBreak/>
        <w:tab/>
      </w:r>
      <w:r w:rsidR="005424C2" w:rsidRPr="00B252CD">
        <w:rPr>
          <w:szCs w:val="24"/>
          <w:lang w:val="fr-FR"/>
        </w:rPr>
        <w:t>c)</w:t>
      </w:r>
      <w:r w:rsidR="005424C2"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Les Règlements comprennent également des prescriptions minimum</w:t>
      </w:r>
      <w:r>
        <w:rPr>
          <w:szCs w:val="24"/>
          <w:lang w:val="fr-FR"/>
        </w:rPr>
        <w:t>s</w:t>
      </w:r>
      <w:r w:rsidR="005424C2" w:rsidRPr="00B252CD">
        <w:rPr>
          <w:szCs w:val="24"/>
          <w:lang w:val="fr-FR"/>
        </w:rPr>
        <w:t xml:space="preserve"> concernant l</w:t>
      </w:r>
      <w:r>
        <w:rPr>
          <w:szCs w:val="24"/>
          <w:lang w:val="fr-FR"/>
        </w:rPr>
        <w:t xml:space="preserve">es </w:t>
      </w:r>
      <w:r w:rsidR="005424C2" w:rsidRPr="00B252CD">
        <w:rPr>
          <w:szCs w:val="24"/>
          <w:lang w:val="fr-FR"/>
        </w:rPr>
        <w:t>équipement</w:t>
      </w:r>
      <w:r>
        <w:rPr>
          <w:szCs w:val="24"/>
          <w:lang w:val="fr-FR"/>
        </w:rPr>
        <w:t>s</w:t>
      </w:r>
      <w:r w:rsidR="005424C2" w:rsidRPr="00B252CD">
        <w:rPr>
          <w:szCs w:val="24"/>
          <w:lang w:val="fr-FR"/>
        </w:rPr>
        <w:t xml:space="preserve"> que le constructeur peut installer</w:t>
      </w:r>
      <w:r w:rsidR="005424C2">
        <w:rPr>
          <w:szCs w:val="24"/>
          <w:lang w:val="fr-FR"/>
        </w:rPr>
        <w:t xml:space="preserve"> à titre facultatif</w:t>
      </w:r>
      <w:r w:rsidR="005424C2" w:rsidRPr="00B252CD">
        <w:rPr>
          <w:szCs w:val="24"/>
          <w:lang w:val="fr-FR"/>
        </w:rPr>
        <w:t>. Dans de nombreux cas, les constructeurs de véhicu</w:t>
      </w:r>
      <w:r>
        <w:rPr>
          <w:szCs w:val="24"/>
          <w:lang w:val="fr-FR"/>
        </w:rPr>
        <w:t>les choisissent</w:t>
      </w:r>
      <w:r w:rsidR="005424C2" w:rsidRPr="00B252CD">
        <w:rPr>
          <w:szCs w:val="24"/>
          <w:lang w:val="fr-FR"/>
        </w:rPr>
        <w:t xml:space="preserve">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 xml:space="preserve">installer des dispositifs facultatifs qui ajoutent des fonctions permettant </w:t>
      </w:r>
      <w:r w:rsidR="005424C2">
        <w:rPr>
          <w:szCs w:val="24"/>
          <w:lang w:val="fr-FR"/>
        </w:rPr>
        <w:t>de renforcer</w:t>
      </w:r>
      <w:r w:rsidR="005424C2" w:rsidRPr="00B252CD">
        <w:rPr>
          <w:szCs w:val="24"/>
          <w:lang w:val="fr-FR"/>
        </w:rPr>
        <w:t xml:space="preserve"> la sécurité ou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améliorer l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 xml:space="preserve">aide à la conduite. </w:t>
      </w:r>
      <w:r w:rsidR="005424C2">
        <w:rPr>
          <w:szCs w:val="24"/>
          <w:lang w:val="fr-FR"/>
        </w:rPr>
        <w:t>Il est alors</w:t>
      </w:r>
      <w:r w:rsidR="005424C2" w:rsidRPr="00B252CD">
        <w:rPr>
          <w:szCs w:val="24"/>
          <w:lang w:val="fr-FR"/>
        </w:rPr>
        <w:t xml:space="preserve"> important que </w:t>
      </w:r>
      <w:r w:rsidR="005424C2">
        <w:rPr>
          <w:szCs w:val="24"/>
          <w:lang w:val="fr-FR"/>
        </w:rPr>
        <w:t>l’équipement</w:t>
      </w:r>
      <w:r w:rsidR="005424C2" w:rsidRPr="00B252CD">
        <w:rPr>
          <w:szCs w:val="24"/>
          <w:lang w:val="fr-FR"/>
        </w:rPr>
        <w:t xml:space="preserve"> facultatif soit homologué afin de garantir </w:t>
      </w:r>
      <w:r w:rsidR="005424C2">
        <w:rPr>
          <w:szCs w:val="24"/>
          <w:lang w:val="fr-FR"/>
        </w:rPr>
        <w:t>sa</w:t>
      </w:r>
      <w:r w:rsidR="005424C2" w:rsidRPr="00B252CD">
        <w:rPr>
          <w:szCs w:val="24"/>
          <w:lang w:val="fr-FR"/>
        </w:rPr>
        <w:t xml:space="preserve"> conformité avec la réglementation en termes de performance et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installation, mais cela ne devrait pas signifier que seuls les véhicules homologués au titre de la dernière série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 xml:space="preserve">amendements sont autorisés à </w:t>
      </w:r>
      <w:r>
        <w:rPr>
          <w:szCs w:val="24"/>
          <w:lang w:val="fr-FR"/>
        </w:rPr>
        <w:t>tirer parti des nouvelles</w:t>
      </w:r>
      <w:r w:rsidR="005424C2" w:rsidRPr="00B252CD">
        <w:rPr>
          <w:szCs w:val="24"/>
          <w:lang w:val="fr-FR"/>
        </w:rPr>
        <w:t xml:space="preserve"> technologies </w:t>
      </w:r>
      <w:r>
        <w:rPr>
          <w:szCs w:val="24"/>
          <w:lang w:val="fr-FR"/>
        </w:rPr>
        <w:t>mises en œuvre</w:t>
      </w:r>
      <w:r w:rsidR="005424C2" w:rsidRPr="00B252CD">
        <w:rPr>
          <w:szCs w:val="24"/>
          <w:lang w:val="fr-FR"/>
        </w:rPr>
        <w:t>;</w:t>
      </w:r>
    </w:p>
    <w:p w:rsidR="005424C2" w:rsidRPr="002E3633" w:rsidRDefault="002E3633" w:rsidP="002E3633">
      <w:pPr>
        <w:pStyle w:val="SingleTxt"/>
        <w:rPr>
          <w:szCs w:val="24"/>
          <w:lang w:val="fr-FR"/>
        </w:rPr>
      </w:pPr>
      <w:r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d)</w:t>
      </w:r>
      <w:r w:rsidR="005424C2">
        <w:rPr>
          <w:szCs w:val="24"/>
          <w:lang w:val="fr-FR"/>
        </w:rPr>
        <w:tab/>
        <w:t>Par conséquent, l</w:t>
      </w:r>
      <w:r w:rsidR="005424C2" w:rsidRPr="00B252CD">
        <w:rPr>
          <w:szCs w:val="24"/>
          <w:lang w:val="fr-FR"/>
        </w:rPr>
        <w:t>a réglementation ne devrait pas faire obstacle à l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installation facultative de nouvelles technologies utiles sur un véhicule homologué, qu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il s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agisse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 xml:space="preserve">une </w:t>
      </w:r>
      <w:r w:rsidR="005424C2">
        <w:rPr>
          <w:szCs w:val="24"/>
          <w:lang w:val="fr-FR"/>
        </w:rPr>
        <w:t xml:space="preserve">nouvelle </w:t>
      </w:r>
      <w:r w:rsidR="005424C2" w:rsidRPr="00B252CD">
        <w:rPr>
          <w:szCs w:val="24"/>
          <w:lang w:val="fr-FR"/>
        </w:rPr>
        <w:t>homologation ou de l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extension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une homologation existante.</w:t>
      </w:r>
    </w:p>
    <w:p w:rsidR="005424C2" w:rsidRPr="002E3633" w:rsidRDefault="005424C2" w:rsidP="002E3633">
      <w:pPr>
        <w:pStyle w:val="SingleTxt"/>
        <w:numPr>
          <w:ilvl w:val="0"/>
          <w:numId w:val="13"/>
        </w:numPr>
        <w:tabs>
          <w:tab w:val="clear" w:pos="475"/>
          <w:tab w:val="num" w:pos="1742"/>
        </w:tabs>
        <w:ind w:left="1267"/>
        <w:rPr>
          <w:szCs w:val="24"/>
          <w:lang w:val="fr-FR"/>
        </w:rPr>
      </w:pPr>
      <w:r w:rsidRPr="00B252CD">
        <w:rPr>
          <w:szCs w:val="24"/>
          <w:lang w:val="fr-FR"/>
        </w:rPr>
        <w:t>Le texte proposé, qui est fondé sur les principes susmentionnés, a été formulé pour que soient respecté</w:t>
      </w:r>
      <w:r>
        <w:rPr>
          <w:szCs w:val="24"/>
          <w:lang w:val="fr-FR"/>
        </w:rPr>
        <w:t>e</w:t>
      </w:r>
      <w:r w:rsidRPr="00B252CD">
        <w:rPr>
          <w:szCs w:val="24"/>
          <w:lang w:val="fr-FR"/>
        </w:rPr>
        <w:t xml:space="preserve">s, en cas </w:t>
      </w:r>
      <w:r>
        <w:rPr>
          <w:szCs w:val="24"/>
          <w:lang w:val="fr-FR"/>
        </w:rPr>
        <w:t>d’extension</w:t>
      </w:r>
      <w:r w:rsidRPr="00B252CD">
        <w:rPr>
          <w:szCs w:val="24"/>
          <w:lang w:val="fr-FR"/>
        </w:rPr>
        <w:t xml:space="preserve"> d</w:t>
      </w:r>
      <w:r>
        <w:rPr>
          <w:szCs w:val="24"/>
          <w:lang w:val="fr-FR"/>
        </w:rPr>
        <w:t>’</w:t>
      </w:r>
      <w:r w:rsidR="002E3633">
        <w:rPr>
          <w:szCs w:val="24"/>
          <w:lang w:val="fr-FR"/>
        </w:rPr>
        <w:t>une homologation existante :</w:t>
      </w:r>
    </w:p>
    <w:p w:rsidR="005424C2" w:rsidRPr="002E3633" w:rsidRDefault="002E3633" w:rsidP="002E3633">
      <w:pPr>
        <w:pStyle w:val="SingleTxt"/>
        <w:rPr>
          <w:szCs w:val="24"/>
          <w:lang w:val="fr-FR"/>
        </w:rPr>
      </w:pPr>
      <w:r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a)</w:t>
      </w:r>
      <w:r w:rsidR="005424C2"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 xml:space="preserve">La nécessité de garantir </w:t>
      </w:r>
      <w:r w:rsidR="005424C2">
        <w:rPr>
          <w:szCs w:val="24"/>
          <w:lang w:val="fr-FR"/>
        </w:rPr>
        <w:t>la bonne installation</w:t>
      </w:r>
      <w:r w:rsidR="005424C2" w:rsidRPr="00B252CD">
        <w:rPr>
          <w:szCs w:val="24"/>
          <w:lang w:val="fr-FR"/>
        </w:rPr>
        <w:t xml:space="preserve"> du </w:t>
      </w:r>
      <w:r>
        <w:rPr>
          <w:szCs w:val="24"/>
          <w:lang w:val="fr-FR"/>
        </w:rPr>
        <w:t>« </w:t>
      </w:r>
      <w:r w:rsidR="005424C2" w:rsidRPr="00B252CD">
        <w:rPr>
          <w:szCs w:val="24"/>
          <w:lang w:val="fr-FR"/>
        </w:rPr>
        <w:t>nouveau</w:t>
      </w:r>
      <w:r>
        <w:rPr>
          <w:szCs w:val="24"/>
          <w:lang w:val="fr-FR"/>
        </w:rPr>
        <w:t> »</w:t>
      </w:r>
      <w:r w:rsidR="005424C2" w:rsidRPr="00B252CD">
        <w:rPr>
          <w:szCs w:val="24"/>
          <w:lang w:val="fr-FR"/>
        </w:rPr>
        <w:t xml:space="preserve"> dispositif/système/équipement;</w:t>
      </w:r>
    </w:p>
    <w:p w:rsidR="005424C2" w:rsidRPr="002E3633" w:rsidRDefault="002E3633" w:rsidP="002E3633">
      <w:pPr>
        <w:pStyle w:val="SingleTxt"/>
        <w:rPr>
          <w:szCs w:val="24"/>
          <w:lang w:val="fr-FR"/>
        </w:rPr>
      </w:pPr>
      <w:r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b)</w:t>
      </w:r>
      <w:r w:rsidR="005424C2"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La nécessité de bien préciser les détails de cette installation dans la fiche de communication de l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extension de l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homologation existante;</w:t>
      </w:r>
    </w:p>
    <w:p w:rsidR="005424C2" w:rsidRPr="002E3633" w:rsidRDefault="002E3633" w:rsidP="002E3633">
      <w:pPr>
        <w:pStyle w:val="SingleTxt"/>
        <w:rPr>
          <w:szCs w:val="24"/>
          <w:lang w:val="fr-FR"/>
        </w:rPr>
      </w:pPr>
      <w:r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c)</w:t>
      </w:r>
      <w:r w:rsidR="005424C2">
        <w:rPr>
          <w:szCs w:val="24"/>
          <w:lang w:val="fr-FR"/>
        </w:rPr>
        <w:tab/>
      </w:r>
      <w:r w:rsidR="005424C2" w:rsidRPr="002E3633">
        <w:rPr>
          <w:spacing w:val="2"/>
          <w:szCs w:val="24"/>
          <w:lang w:val="fr-FR"/>
        </w:rPr>
        <w:t xml:space="preserve">La nécessité de n’autoriser l’installation de </w:t>
      </w:r>
      <w:r w:rsidRPr="002E3633">
        <w:rPr>
          <w:spacing w:val="2"/>
          <w:szCs w:val="24"/>
          <w:lang w:val="fr-FR"/>
        </w:rPr>
        <w:t>« </w:t>
      </w:r>
      <w:r w:rsidR="005424C2" w:rsidRPr="002E3633">
        <w:rPr>
          <w:spacing w:val="2"/>
          <w:szCs w:val="24"/>
          <w:lang w:val="fr-FR"/>
        </w:rPr>
        <w:t>nouveaux</w:t>
      </w:r>
      <w:r w:rsidRPr="002E3633">
        <w:rPr>
          <w:spacing w:val="2"/>
          <w:szCs w:val="24"/>
          <w:lang w:val="fr-FR"/>
        </w:rPr>
        <w:t> »</w:t>
      </w:r>
      <w:r w:rsidR="005424C2" w:rsidRPr="002E3633">
        <w:rPr>
          <w:spacing w:val="2"/>
          <w:szCs w:val="24"/>
          <w:lang w:val="fr-FR"/>
        </w:rPr>
        <w:t xml:space="preserve"> dispositifs/systèmes/équipements que lorsque toutes les </w:t>
      </w:r>
      <w:r w:rsidRPr="002E3633">
        <w:rPr>
          <w:spacing w:val="2"/>
          <w:szCs w:val="24"/>
          <w:lang w:val="fr-FR"/>
        </w:rPr>
        <w:t>« </w:t>
      </w:r>
      <w:r w:rsidR="005424C2" w:rsidRPr="002E3633">
        <w:rPr>
          <w:spacing w:val="2"/>
          <w:szCs w:val="24"/>
          <w:lang w:val="fr-FR"/>
        </w:rPr>
        <w:t>prescriptions pertinentes</w:t>
      </w:r>
      <w:r w:rsidRPr="002E3633">
        <w:rPr>
          <w:spacing w:val="2"/>
          <w:szCs w:val="24"/>
          <w:lang w:val="fr-FR"/>
        </w:rPr>
        <w:t> »</w:t>
      </w:r>
      <w:r w:rsidR="005424C2" w:rsidRPr="002E3633">
        <w:rPr>
          <w:spacing w:val="2"/>
          <w:szCs w:val="24"/>
          <w:lang w:val="fr-FR"/>
        </w:rPr>
        <w:t xml:space="preserve"> sont appliquées (le terme </w:t>
      </w:r>
      <w:r w:rsidRPr="002E3633">
        <w:rPr>
          <w:spacing w:val="2"/>
          <w:szCs w:val="24"/>
          <w:lang w:val="fr-FR"/>
        </w:rPr>
        <w:t>« </w:t>
      </w:r>
      <w:r w:rsidR="005424C2" w:rsidRPr="002E3633">
        <w:rPr>
          <w:spacing w:val="2"/>
          <w:szCs w:val="24"/>
          <w:lang w:val="fr-FR"/>
        </w:rPr>
        <w:t>prescriptions pertinentes</w:t>
      </w:r>
      <w:r w:rsidRPr="002E3633">
        <w:rPr>
          <w:spacing w:val="2"/>
          <w:szCs w:val="24"/>
          <w:lang w:val="fr-FR"/>
        </w:rPr>
        <w:t> »</w:t>
      </w:r>
      <w:r w:rsidR="005424C2" w:rsidRPr="002E3633">
        <w:rPr>
          <w:spacing w:val="2"/>
          <w:szCs w:val="24"/>
          <w:lang w:val="fr-FR"/>
        </w:rPr>
        <w:t xml:space="preserve"> signifie que toutes les définitions, prescriptions générales et particulières, </w:t>
      </w:r>
      <w:r>
        <w:rPr>
          <w:spacing w:val="2"/>
          <w:szCs w:val="24"/>
          <w:lang w:val="fr-FR"/>
        </w:rPr>
        <w:t xml:space="preserve">et </w:t>
      </w:r>
      <w:r w:rsidR="005424C2" w:rsidRPr="002E3633">
        <w:rPr>
          <w:spacing w:val="2"/>
          <w:szCs w:val="24"/>
          <w:lang w:val="fr-FR"/>
        </w:rPr>
        <w:t xml:space="preserve">prescriptions relatives à l’interaction avec d’autres dispositifs/systèmes/équipements mentionnés dans la série d’amendements ayant prévu l’installation de </w:t>
      </w:r>
      <w:r w:rsidRPr="002E3633">
        <w:rPr>
          <w:spacing w:val="2"/>
          <w:szCs w:val="24"/>
          <w:lang w:val="fr-FR"/>
        </w:rPr>
        <w:t>« </w:t>
      </w:r>
      <w:r w:rsidR="005424C2" w:rsidRPr="002E3633">
        <w:rPr>
          <w:spacing w:val="2"/>
          <w:szCs w:val="24"/>
          <w:lang w:val="fr-FR"/>
        </w:rPr>
        <w:t>nouveaux</w:t>
      </w:r>
      <w:r w:rsidRPr="002E3633">
        <w:rPr>
          <w:spacing w:val="2"/>
          <w:szCs w:val="24"/>
          <w:lang w:val="fr-FR"/>
        </w:rPr>
        <w:t> »</w:t>
      </w:r>
      <w:r w:rsidR="005424C2" w:rsidRPr="002E3633">
        <w:rPr>
          <w:spacing w:val="2"/>
          <w:szCs w:val="24"/>
          <w:lang w:val="fr-FR"/>
        </w:rPr>
        <w:t xml:space="preserve"> dispositifs/systèmes/équipements sont respectées);</w:t>
      </w:r>
    </w:p>
    <w:p w:rsidR="005424C2" w:rsidRPr="002E3633" w:rsidRDefault="002E3633" w:rsidP="002E3633">
      <w:pPr>
        <w:pStyle w:val="SingleTxt"/>
        <w:rPr>
          <w:szCs w:val="24"/>
          <w:lang w:val="fr-FR"/>
        </w:rPr>
      </w:pPr>
      <w:r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d)</w:t>
      </w:r>
      <w:r w:rsidR="005424C2"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La nécessité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insérer dans le texte de toutes les séries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amendements applicables restant</w:t>
      </w:r>
      <w:r w:rsidR="005424C2">
        <w:rPr>
          <w:szCs w:val="24"/>
          <w:lang w:val="fr-FR"/>
        </w:rPr>
        <w:t>e</w:t>
      </w:r>
      <w:r w:rsidR="005424C2" w:rsidRPr="00B252CD">
        <w:rPr>
          <w:szCs w:val="24"/>
          <w:lang w:val="fr-FR"/>
        </w:rPr>
        <w:t xml:space="preserve">s (03, 04, 05 et 06; </w:t>
      </w:r>
      <w:r w:rsidR="005424C2">
        <w:rPr>
          <w:szCs w:val="24"/>
          <w:lang w:val="fr-FR"/>
        </w:rPr>
        <w:t xml:space="preserve">pour </w:t>
      </w:r>
      <w:r w:rsidR="005424C2" w:rsidRPr="00B252CD">
        <w:rPr>
          <w:szCs w:val="24"/>
          <w:lang w:val="fr-FR"/>
        </w:rPr>
        <w:t>cette dernière</w:t>
      </w:r>
      <w:r w:rsidR="005424C2">
        <w:rPr>
          <w:szCs w:val="24"/>
          <w:lang w:val="fr-FR"/>
        </w:rPr>
        <w:t>,</w:t>
      </w:r>
      <w:r w:rsidR="005424C2" w:rsidRPr="00B252CD">
        <w:rPr>
          <w:szCs w:val="24"/>
          <w:lang w:val="fr-FR"/>
        </w:rPr>
        <w:t xml:space="preserve"> en prévision de nouvelles séries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 xml:space="preserve">amendements) </w:t>
      </w:r>
      <w:r w:rsidR="005424C2">
        <w:rPr>
          <w:szCs w:val="24"/>
          <w:lang w:val="fr-FR"/>
        </w:rPr>
        <w:t>un</w:t>
      </w:r>
      <w:r w:rsidR="005424C2" w:rsidRPr="00B252CD">
        <w:rPr>
          <w:szCs w:val="24"/>
          <w:lang w:val="fr-FR"/>
        </w:rPr>
        <w:t xml:space="preserve"> nouveau paragraphe</w:t>
      </w:r>
      <w:r>
        <w:rPr>
          <w:szCs w:val="24"/>
          <w:lang w:val="fr-FR"/>
        </w:rPr>
        <w:t xml:space="preserve"> et les alinéas correspondants</w:t>
      </w:r>
      <w:r w:rsidR="005424C2" w:rsidRPr="00B252CD">
        <w:rPr>
          <w:szCs w:val="24"/>
          <w:lang w:val="fr-FR"/>
        </w:rPr>
        <w:t xml:space="preserve"> sur la fiche de communication</w:t>
      </w:r>
      <w:r w:rsidR="005424C2">
        <w:rPr>
          <w:szCs w:val="24"/>
          <w:lang w:val="fr-FR"/>
        </w:rPr>
        <w:t>.</w:t>
      </w:r>
      <w:r w:rsidR="005424C2" w:rsidRPr="00B252CD">
        <w:rPr>
          <w:szCs w:val="24"/>
          <w:lang w:val="fr-FR"/>
        </w:rPr>
        <w:t xml:space="preserve"> Ces ajouts aux informations à faire figurer sur la fi</w:t>
      </w:r>
      <w:r>
        <w:rPr>
          <w:szCs w:val="24"/>
          <w:lang w:val="fr-FR"/>
        </w:rPr>
        <w:t>che de communication indiquent :</w:t>
      </w:r>
    </w:p>
    <w:p w:rsidR="005424C2" w:rsidRPr="00B252CD" w:rsidRDefault="002E3633" w:rsidP="002E3633">
      <w:pPr>
        <w:pStyle w:val="SingleTxt"/>
        <w:ind w:left="1742" w:hanging="475"/>
      </w:pPr>
      <w:r>
        <w:rPr>
          <w:lang w:val="fr-FR"/>
        </w:rPr>
        <w:tab/>
        <w:t>i)</w:t>
      </w:r>
      <w:r>
        <w:rPr>
          <w:lang w:val="fr-FR"/>
        </w:rPr>
        <w:tab/>
      </w:r>
      <w:r w:rsidR="005822A4" w:rsidRPr="00B252CD">
        <w:rPr>
          <w:lang w:val="fr-FR"/>
        </w:rPr>
        <w:t xml:space="preserve">En </w:t>
      </w:r>
      <w:r w:rsidR="005424C2" w:rsidRPr="00B252CD">
        <w:rPr>
          <w:lang w:val="fr-FR"/>
        </w:rPr>
        <w:t>cas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extension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 xml:space="preserve">homologation, </w:t>
      </w:r>
      <w:r w:rsidR="005424C2">
        <w:rPr>
          <w:lang w:val="fr-FR"/>
        </w:rPr>
        <w:t xml:space="preserve">que </w:t>
      </w:r>
      <w:r w:rsidR="005424C2" w:rsidRPr="00B252CD">
        <w:rPr>
          <w:lang w:val="fr-FR"/>
        </w:rPr>
        <w:t xml:space="preserve">le dispositif/système/équipement est installé </w:t>
      </w:r>
      <w:r w:rsidR="005424C2">
        <w:rPr>
          <w:lang w:val="fr-FR"/>
        </w:rPr>
        <w:t>au titre</w:t>
      </w:r>
      <w:r w:rsidR="005424C2" w:rsidRPr="00B252CD">
        <w:rPr>
          <w:lang w:val="fr-FR"/>
        </w:rPr>
        <w:t xml:space="preserve">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une série particulière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amendements (</w:t>
      </w:r>
      <w:r>
        <w:rPr>
          <w:lang w:val="fr-FR"/>
        </w:rPr>
        <w:t>qu</w:t>
      </w:r>
      <w:r w:rsidR="005424C2">
        <w:rPr>
          <w:lang w:val="fr-FR"/>
        </w:rPr>
        <w:t xml:space="preserve">’il </w:t>
      </w:r>
      <w:r>
        <w:rPr>
          <w:lang w:val="fr-FR"/>
        </w:rPr>
        <w:t>n’est</w:t>
      </w:r>
      <w:r w:rsidR="005424C2">
        <w:rPr>
          <w:lang w:val="fr-FR"/>
        </w:rPr>
        <w:t xml:space="preserve"> pas celle sur laquelle porte la demande d’</w:t>
      </w:r>
      <w:r w:rsidR="005424C2" w:rsidRPr="00B252CD">
        <w:rPr>
          <w:lang w:val="fr-FR"/>
        </w:rPr>
        <w:t>extension d</w:t>
      </w:r>
      <w:r w:rsidR="005424C2">
        <w:rPr>
          <w:lang w:val="fr-FR"/>
        </w:rPr>
        <w:t>’</w:t>
      </w:r>
      <w:r w:rsidR="005424C2" w:rsidRPr="00B252CD">
        <w:rPr>
          <w:lang w:val="fr-FR"/>
        </w:rPr>
        <w:t>homologation);</w:t>
      </w:r>
    </w:p>
    <w:p w:rsidR="005424C2" w:rsidRDefault="002E3633" w:rsidP="002E3633">
      <w:pPr>
        <w:pStyle w:val="SingleTxt"/>
        <w:ind w:left="1742" w:hanging="475"/>
        <w:rPr>
          <w:szCs w:val="24"/>
          <w:lang w:val="fr-FR"/>
        </w:rPr>
      </w:pPr>
      <w:r>
        <w:rPr>
          <w:szCs w:val="24"/>
          <w:lang w:val="fr-FR"/>
        </w:rPr>
        <w:tab/>
        <w:t>ii)</w:t>
      </w:r>
      <w:r>
        <w:rPr>
          <w:szCs w:val="24"/>
          <w:lang w:val="fr-FR"/>
        </w:rPr>
        <w:tab/>
      </w:r>
      <w:r w:rsidR="005424C2" w:rsidRPr="00B252CD">
        <w:rPr>
          <w:szCs w:val="24"/>
          <w:lang w:val="fr-FR"/>
        </w:rPr>
        <w:t>Les critères appliqués pour l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installation du disposit</w:t>
      </w:r>
      <w:r>
        <w:rPr>
          <w:szCs w:val="24"/>
          <w:lang w:val="fr-FR"/>
        </w:rPr>
        <w:t>if/</w:t>
      </w:r>
      <w:r w:rsidR="005424C2" w:rsidRPr="00B252CD">
        <w:rPr>
          <w:szCs w:val="24"/>
          <w:lang w:val="fr-FR"/>
        </w:rPr>
        <w:t>système/équipement</w:t>
      </w:r>
      <w:r>
        <w:rPr>
          <w:szCs w:val="24"/>
          <w:lang w:val="fr-FR"/>
        </w:rPr>
        <w:t>,</w:t>
      </w:r>
      <w:r w:rsidR="005424C2" w:rsidRPr="00B252CD">
        <w:rPr>
          <w:szCs w:val="24"/>
          <w:lang w:val="fr-FR"/>
        </w:rPr>
        <w:t xml:space="preserve"> </w:t>
      </w:r>
      <w:r w:rsidR="005424C2">
        <w:rPr>
          <w:szCs w:val="24"/>
          <w:lang w:val="fr-FR"/>
        </w:rPr>
        <w:t>afin de</w:t>
      </w:r>
      <w:r w:rsidR="005424C2" w:rsidRPr="00B252CD">
        <w:rPr>
          <w:szCs w:val="24"/>
          <w:lang w:val="fr-FR"/>
        </w:rPr>
        <w:t xml:space="preserve"> fournir aux a</w:t>
      </w:r>
      <w:r w:rsidR="005424C2">
        <w:rPr>
          <w:szCs w:val="24"/>
          <w:lang w:val="fr-FR"/>
        </w:rPr>
        <w:t>utorités d’homologation de type</w:t>
      </w:r>
      <w:r w:rsidR="005424C2" w:rsidRPr="00B252CD">
        <w:rPr>
          <w:szCs w:val="24"/>
          <w:lang w:val="fr-FR"/>
        </w:rPr>
        <w:t xml:space="preserve"> toutes les références nécessaires, même si les critères appliqués ne figurent pas dans la série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 xml:space="preserve">amendements sur </w:t>
      </w:r>
      <w:r>
        <w:rPr>
          <w:szCs w:val="24"/>
          <w:lang w:val="fr-FR"/>
        </w:rPr>
        <w:t>laquelle</w:t>
      </w:r>
      <w:r w:rsidR="005424C2" w:rsidRPr="00B252CD">
        <w:rPr>
          <w:szCs w:val="24"/>
          <w:lang w:val="fr-FR"/>
        </w:rPr>
        <w:t xml:space="preserve"> </w:t>
      </w:r>
      <w:r w:rsidR="005424C2">
        <w:rPr>
          <w:szCs w:val="24"/>
          <w:lang w:val="fr-FR"/>
        </w:rPr>
        <w:t>porte la demande d’</w:t>
      </w:r>
      <w:r w:rsidR="005424C2" w:rsidRPr="00B252CD">
        <w:rPr>
          <w:szCs w:val="24"/>
          <w:lang w:val="fr-FR"/>
        </w:rPr>
        <w:t>extension d</w:t>
      </w:r>
      <w:r w:rsidR="005424C2">
        <w:rPr>
          <w:szCs w:val="24"/>
          <w:lang w:val="fr-FR"/>
        </w:rPr>
        <w:t>’</w:t>
      </w:r>
      <w:r w:rsidR="005424C2" w:rsidRPr="00B252CD">
        <w:rPr>
          <w:szCs w:val="24"/>
          <w:lang w:val="fr-FR"/>
        </w:rPr>
        <w:t>homologation.</w:t>
      </w:r>
    </w:p>
    <w:p w:rsidR="00ED7215" w:rsidRPr="00ED7215" w:rsidRDefault="00ED7215" w:rsidP="00ED721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D7215" w:rsidRPr="00ED7215" w:rsidSect="00E70B9D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E5" w:rsidRDefault="008F7BE5" w:rsidP="00F3330B">
      <w:pPr>
        <w:spacing w:line="240" w:lineRule="auto"/>
      </w:pPr>
      <w:r>
        <w:separator/>
      </w:r>
    </w:p>
  </w:endnote>
  <w:endnote w:type="continuationSeparator" w:id="0">
    <w:p w:rsidR="008F7BE5" w:rsidRDefault="008F7BE5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0B9D" w:rsidTr="00E70B9D">
      <w:trPr>
        <w:jc w:val="center"/>
      </w:trPr>
      <w:tc>
        <w:tcPr>
          <w:tcW w:w="5126" w:type="dxa"/>
          <w:shd w:val="clear" w:color="auto" w:fill="auto"/>
        </w:tcPr>
        <w:p w:rsidR="00E70B9D" w:rsidRPr="00E70B9D" w:rsidRDefault="00E70B9D" w:rsidP="00E70B9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35B7C">
            <w:rPr>
              <w:b w:val="0"/>
              <w:w w:val="103"/>
              <w:sz w:val="14"/>
            </w:rPr>
            <w:t>GE.16-00595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70B9D" w:rsidRPr="00E70B9D" w:rsidRDefault="00E70B9D" w:rsidP="00E70B9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201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201D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E70B9D" w:rsidRPr="00E70B9D" w:rsidRDefault="00E70B9D" w:rsidP="00E70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0B9D" w:rsidTr="00E70B9D">
      <w:trPr>
        <w:jc w:val="center"/>
      </w:trPr>
      <w:tc>
        <w:tcPr>
          <w:tcW w:w="5126" w:type="dxa"/>
          <w:shd w:val="clear" w:color="auto" w:fill="auto"/>
        </w:tcPr>
        <w:p w:rsidR="00E70B9D" w:rsidRPr="00E70B9D" w:rsidRDefault="00E70B9D" w:rsidP="00E70B9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201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201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70B9D" w:rsidRPr="00E70B9D" w:rsidRDefault="00E70B9D" w:rsidP="00E70B9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35B7C">
            <w:rPr>
              <w:b w:val="0"/>
              <w:w w:val="103"/>
              <w:sz w:val="14"/>
            </w:rPr>
            <w:t>GE.16-00595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70B9D" w:rsidRPr="00E70B9D" w:rsidRDefault="00E70B9D" w:rsidP="00E70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9D" w:rsidRDefault="00E70B9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5F4EA4" wp14:editId="5D58C66A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E/2016/10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E/2016/10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E70B9D" w:rsidTr="00E70B9D">
      <w:tc>
        <w:tcPr>
          <w:tcW w:w="3859" w:type="dxa"/>
        </w:tcPr>
        <w:p w:rsidR="00E70B9D" w:rsidRDefault="00E70B9D" w:rsidP="00E70B9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535B7C">
            <w:rPr>
              <w:b w:val="0"/>
              <w:sz w:val="20"/>
            </w:rPr>
            <w:t>GE.16-00595 (F)</w:t>
          </w:r>
          <w:r>
            <w:rPr>
              <w:b w:val="0"/>
              <w:sz w:val="20"/>
            </w:rPr>
            <w:fldChar w:fldCharType="end"/>
          </w:r>
          <w:r w:rsidR="00921D98">
            <w:rPr>
              <w:b w:val="0"/>
              <w:sz w:val="20"/>
            </w:rPr>
            <w:t xml:space="preserve">    22</w:t>
          </w:r>
          <w:r>
            <w:rPr>
              <w:b w:val="0"/>
              <w:sz w:val="20"/>
            </w:rPr>
            <w:t>0216    230216</w:t>
          </w:r>
        </w:p>
        <w:p w:rsidR="00E70B9D" w:rsidRPr="00E70B9D" w:rsidRDefault="00E70B9D" w:rsidP="00E70B9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535B7C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*1600595*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E70B9D" w:rsidRDefault="00E70B9D" w:rsidP="00E70B9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1C0AC5F" wp14:editId="47A1868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0B9D" w:rsidRPr="00E70B9D" w:rsidRDefault="00E70B9D" w:rsidP="00E70B9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E5" w:rsidRPr="0057089F" w:rsidRDefault="0057089F" w:rsidP="0057089F">
      <w:pPr>
        <w:pStyle w:val="Footer"/>
        <w:spacing w:after="80"/>
        <w:ind w:left="792"/>
        <w:rPr>
          <w:sz w:val="16"/>
        </w:rPr>
      </w:pPr>
      <w:r w:rsidRPr="0057089F">
        <w:rPr>
          <w:sz w:val="16"/>
        </w:rPr>
        <w:t>__________________</w:t>
      </w:r>
    </w:p>
  </w:footnote>
  <w:footnote w:type="continuationSeparator" w:id="0">
    <w:p w:rsidR="008F7BE5" w:rsidRPr="0057089F" w:rsidRDefault="0057089F" w:rsidP="0057089F">
      <w:pPr>
        <w:pStyle w:val="Footer"/>
        <w:spacing w:after="80"/>
        <w:ind w:left="792"/>
        <w:rPr>
          <w:sz w:val="16"/>
        </w:rPr>
      </w:pPr>
      <w:r w:rsidRPr="0057089F">
        <w:rPr>
          <w:sz w:val="16"/>
        </w:rPr>
        <w:t>__________________</w:t>
      </w:r>
    </w:p>
  </w:footnote>
  <w:footnote w:id="1">
    <w:p w:rsidR="00C16940" w:rsidRPr="00C16940" w:rsidRDefault="00C16940" w:rsidP="0057089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rPr>
          <w:rStyle w:val="FootnoteReference"/>
        </w:rPr>
        <w:tab/>
      </w:r>
      <w:r w:rsidRPr="00C16940">
        <w:rPr>
          <w:rStyle w:val="FootnoteReference"/>
          <w:vertAlign w:val="baseline"/>
        </w:rPr>
        <w:t>*</w:t>
      </w:r>
      <w:r>
        <w:tab/>
      </w:r>
      <w:r>
        <w:rPr>
          <w:lang w:val="fr-FR"/>
        </w:rPr>
        <w:t>Conformément au programme de travail du Comité des transports intérieurs pour la période 2014-2018 (ECE/TRANS/240, par.</w:t>
      </w:r>
      <w:r w:rsidR="008951C2">
        <w:rPr>
          <w:lang w:val="fr-FR"/>
        </w:rPr>
        <w:t> </w:t>
      </w:r>
      <w:r>
        <w:rPr>
          <w:lang w:val="fr-FR"/>
        </w:rPr>
        <w:t>105, et ECE</w:t>
      </w:r>
      <w:r w:rsidR="008951C2">
        <w:rPr>
          <w:lang w:val="fr-FR"/>
        </w:rPr>
        <w:t>/TRANS/2014/26, activité </w:t>
      </w:r>
      <w:r>
        <w:rPr>
          <w:lang w:val="fr-FR"/>
        </w:rPr>
        <w:t>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0B9D" w:rsidTr="00E70B9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0B9D" w:rsidRPr="00E70B9D" w:rsidRDefault="00E70B9D" w:rsidP="00E70B9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35B7C">
            <w:rPr>
              <w:b/>
              <w:color w:val="000000"/>
            </w:rPr>
            <w:t>ECE/TRANS/WP.29/GRE/2016/10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B9D" w:rsidRDefault="00E70B9D" w:rsidP="00E70B9D">
          <w:pPr>
            <w:pStyle w:val="Header"/>
          </w:pPr>
        </w:p>
      </w:tc>
    </w:tr>
  </w:tbl>
  <w:p w:rsidR="00E70B9D" w:rsidRPr="00E70B9D" w:rsidRDefault="00E70B9D" w:rsidP="00E70B9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0B9D" w:rsidTr="00E70B9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0B9D" w:rsidRDefault="00E70B9D" w:rsidP="00E70B9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70B9D" w:rsidRPr="00E70B9D" w:rsidRDefault="00E70B9D" w:rsidP="00E70B9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35B7C">
            <w:rPr>
              <w:b/>
              <w:color w:val="000000"/>
            </w:rPr>
            <w:t>ECE/TRANS/WP.29/GRE/2016/10</w:t>
          </w:r>
          <w:r>
            <w:rPr>
              <w:b/>
              <w:color w:val="000000"/>
            </w:rPr>
            <w:fldChar w:fldCharType="end"/>
          </w:r>
        </w:p>
      </w:tc>
    </w:tr>
  </w:tbl>
  <w:p w:rsidR="00E70B9D" w:rsidRPr="00E70B9D" w:rsidRDefault="00E70B9D" w:rsidP="00E70B9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E70B9D" w:rsidTr="00E70B9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70B9D" w:rsidRDefault="00E70B9D" w:rsidP="00E70B9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70B9D" w:rsidRPr="00E70B9D" w:rsidRDefault="00E70B9D" w:rsidP="00E70B9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70B9D" w:rsidRDefault="00E70B9D" w:rsidP="00E70B9D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70B9D" w:rsidRPr="00E70B9D" w:rsidRDefault="00E70B9D" w:rsidP="00E70B9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/TRANS/WP.29/GRE/2016/10</w:t>
          </w:r>
        </w:p>
      </w:tc>
    </w:tr>
    <w:tr w:rsidR="00E70B9D" w:rsidRPr="00E70B9D" w:rsidTr="00E70B9D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B9D" w:rsidRPr="00E70B9D" w:rsidRDefault="00E70B9D" w:rsidP="00E70B9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5F306B4" wp14:editId="6754FC4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B9D" w:rsidRPr="00E70B9D" w:rsidRDefault="00E70B9D" w:rsidP="00E70B9D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B9D" w:rsidRPr="00E70B9D" w:rsidRDefault="00E70B9D" w:rsidP="00E70B9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B9D" w:rsidRDefault="00E70B9D" w:rsidP="00E70B9D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E70B9D" w:rsidRDefault="0057089F" w:rsidP="00E70B9D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18 </w:t>
          </w:r>
          <w:proofErr w:type="spellStart"/>
          <w:r>
            <w:rPr>
              <w:color w:val="000000"/>
            </w:rPr>
            <w:t>janvier</w:t>
          </w:r>
          <w:proofErr w:type="spellEnd"/>
          <w:r w:rsidR="00E70B9D">
            <w:rPr>
              <w:color w:val="000000"/>
            </w:rPr>
            <w:t xml:space="preserve"> 2016</w:t>
          </w:r>
        </w:p>
        <w:p w:rsidR="00E70B9D" w:rsidRDefault="00E70B9D" w:rsidP="00E70B9D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E70B9D" w:rsidRPr="00E70B9D" w:rsidRDefault="00E70B9D" w:rsidP="00E70B9D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E70B9D" w:rsidRPr="00E70B9D" w:rsidRDefault="00E70B9D" w:rsidP="00E70B9D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05A52851"/>
    <w:multiLevelType w:val="singleLevel"/>
    <w:tmpl w:val="4858CF0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2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6CF3C9A"/>
    <w:multiLevelType w:val="singleLevel"/>
    <w:tmpl w:val="4858CF0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E1D"/>
    <w:multiLevelType w:val="hybridMultilevel"/>
    <w:tmpl w:val="CFCC8034"/>
    <w:lvl w:ilvl="0" w:tplc="6C9295D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55477C"/>
    <w:multiLevelType w:val="hybridMultilevel"/>
    <w:tmpl w:val="55225AC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A7C97"/>
    <w:multiLevelType w:val="singleLevel"/>
    <w:tmpl w:val="4858CF0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10">
    <w:nsid w:val="587243D6"/>
    <w:multiLevelType w:val="singleLevel"/>
    <w:tmpl w:val="4858CF0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6D0411AD"/>
    <w:multiLevelType w:val="singleLevel"/>
    <w:tmpl w:val="4858CF0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00595*"/>
    <w:docVar w:name="CreationDt" w:val="2/23/2016 12:04 PM"/>
    <w:docVar w:name="DocCategory" w:val="Doc"/>
    <w:docVar w:name="DocType" w:val="Final"/>
    <w:docVar w:name="DutyStation" w:val="Geneva"/>
    <w:docVar w:name="FooterJN" w:val="GE.16-00595"/>
    <w:docVar w:name="jobn" w:val="GE.16-00595 (F)"/>
    <w:docVar w:name="jobnDT" w:val="GE.16-00595 (F)   230216"/>
    <w:docVar w:name="jobnDTDT" w:val="GE.16-00595 (F)   230216   230216"/>
    <w:docVar w:name="JobNo" w:val="GE.1600595F"/>
    <w:docVar w:name="JobNo2" w:val="GE.1600673F"/>
    <w:docVar w:name="LocalDrive" w:val="0"/>
    <w:docVar w:name="OandT" w:val="OKRZESIK"/>
    <w:docVar w:name="PaperSize" w:val="A4"/>
    <w:docVar w:name="sss1" w:val="ECE/TRANS/WP.29/GRE/2016/10"/>
    <w:docVar w:name="sss2" w:val="-"/>
    <w:docVar w:name="Symbol1" w:val="ECE/TRANS/WP.29/GRE/2016/10"/>
    <w:docVar w:name="Symbol2" w:val="-"/>
  </w:docVars>
  <w:rsids>
    <w:rsidRoot w:val="008F7BE5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4DE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3F54"/>
    <w:rsid w:val="00144D6C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633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0BAC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2DE6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8F4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BED"/>
    <w:rsid w:val="00491CD5"/>
    <w:rsid w:val="00492510"/>
    <w:rsid w:val="00492DC3"/>
    <w:rsid w:val="004973EC"/>
    <w:rsid w:val="004A0AA6"/>
    <w:rsid w:val="004A1289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5981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5B7C"/>
    <w:rsid w:val="005372C0"/>
    <w:rsid w:val="005374A6"/>
    <w:rsid w:val="00541630"/>
    <w:rsid w:val="0054168D"/>
    <w:rsid w:val="00542357"/>
    <w:rsid w:val="005424C2"/>
    <w:rsid w:val="00551176"/>
    <w:rsid w:val="00551EAE"/>
    <w:rsid w:val="00552150"/>
    <w:rsid w:val="005522D6"/>
    <w:rsid w:val="005536AE"/>
    <w:rsid w:val="00554B37"/>
    <w:rsid w:val="0055536F"/>
    <w:rsid w:val="005669CA"/>
    <w:rsid w:val="0057089F"/>
    <w:rsid w:val="00575199"/>
    <w:rsid w:val="005770F6"/>
    <w:rsid w:val="00577899"/>
    <w:rsid w:val="00577BDD"/>
    <w:rsid w:val="005811A3"/>
    <w:rsid w:val="005822A4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E57A1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1DCC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1C2A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201D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3CB7"/>
    <w:rsid w:val="00814C2A"/>
    <w:rsid w:val="00816ECE"/>
    <w:rsid w:val="008173CF"/>
    <w:rsid w:val="00817884"/>
    <w:rsid w:val="0082537E"/>
    <w:rsid w:val="00825502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25"/>
    <w:rsid w:val="00890BEA"/>
    <w:rsid w:val="00890EF0"/>
    <w:rsid w:val="0089184F"/>
    <w:rsid w:val="00891ADA"/>
    <w:rsid w:val="008951C2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8F7BE5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1D9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38B2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0816"/>
    <w:rsid w:val="00B41711"/>
    <w:rsid w:val="00B44EB6"/>
    <w:rsid w:val="00B503F3"/>
    <w:rsid w:val="00B504C9"/>
    <w:rsid w:val="00B529E2"/>
    <w:rsid w:val="00B52A47"/>
    <w:rsid w:val="00B52E34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3FB3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16940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159C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1DB6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0B6C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A5031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0D6B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478B5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0B9D"/>
    <w:rsid w:val="00E71BAD"/>
    <w:rsid w:val="00E733FF"/>
    <w:rsid w:val="00E74106"/>
    <w:rsid w:val="00E74864"/>
    <w:rsid w:val="00E754E8"/>
    <w:rsid w:val="00E75EF4"/>
    <w:rsid w:val="00E8051B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215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140C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55C87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2133"/>
    <w:rsid w:val="00FC4133"/>
    <w:rsid w:val="00FC41DA"/>
    <w:rsid w:val="00FC5C65"/>
    <w:rsid w:val="00FC75B8"/>
    <w:rsid w:val="00FC75D3"/>
    <w:rsid w:val="00FD318F"/>
    <w:rsid w:val="00FD54BE"/>
    <w:rsid w:val="00FD7C00"/>
    <w:rsid w:val="00FD7CD4"/>
    <w:rsid w:val="00FE2498"/>
    <w:rsid w:val="00FE3548"/>
    <w:rsid w:val="00FE3F2D"/>
    <w:rsid w:val="00FE63EC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uiPriority w:val="99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E70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9D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9D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5424C2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5424C2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5424C2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5424C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5424C2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5424C2"/>
    <w:rPr>
      <w:rFonts w:ascii="Times New Roman" w:eastAsia="Calibri" w:hAnsi="Times New Roman"/>
      <w:b/>
      <w:sz w:val="28"/>
      <w:lang w:val="fr-CH"/>
    </w:rPr>
  </w:style>
  <w:style w:type="character" w:customStyle="1" w:styleId="H1GChar">
    <w:name w:val="_ H_1_G Char"/>
    <w:link w:val="H1G"/>
    <w:rsid w:val="005424C2"/>
    <w:rPr>
      <w:rFonts w:ascii="Times New Roman" w:eastAsia="Calibri" w:hAnsi="Times New Roman"/>
      <w:b/>
      <w:sz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uiPriority w:val="99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E70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9D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9D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5424C2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5424C2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5424C2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5424C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5424C2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5424C2"/>
    <w:rPr>
      <w:rFonts w:ascii="Times New Roman" w:eastAsia="Calibri" w:hAnsi="Times New Roman"/>
      <w:b/>
      <w:sz w:val="28"/>
      <w:lang w:val="fr-CH"/>
    </w:rPr>
  </w:style>
  <w:style w:type="character" w:customStyle="1" w:styleId="H1GChar">
    <w:name w:val="_ H_1_G Char"/>
    <w:link w:val="H1G"/>
    <w:rsid w:val="005424C2"/>
    <w:rPr>
      <w:rFonts w:ascii="Times New Roman" w:eastAsia="Calibri" w:hAnsi="Times New Roman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9005-8CC4-460B-BFFD-EA8026F7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Caillot</cp:lastModifiedBy>
  <cp:revision>2</cp:revision>
  <cp:lastPrinted>2016-02-23T15:49:00Z</cp:lastPrinted>
  <dcterms:created xsi:type="dcterms:W3CDTF">2016-02-24T10:43:00Z</dcterms:created>
  <dcterms:modified xsi:type="dcterms:W3CDTF">2016-02-24T10:43:00Z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1600595F</vt:lpwstr>
  </property>
  <property fmtid="{D5CDD505-2E9C-101B-9397-08002B2CF9AE}" pid="3" name="ODSRefJobNo">
    <vt:lpwstr>1600673F</vt:lpwstr>
  </property>
  <property fmtid="{D5CDD505-2E9C-101B-9397-08002B2CF9AE}" pid="4" name="Symbol1">
    <vt:lpwstr>ECE/TRANS/WP.29/GRE/2016/10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février 2016</vt:lpwstr>
  </property>
  <property fmtid="{D5CDD505-2E9C-101B-9397-08002B2CF9AE}" pid="12" name="Original">
    <vt:lpwstr>anglais</vt:lpwstr>
  </property>
  <property fmtid="{D5CDD505-2E9C-101B-9397-08002B2CF9AE}" pid="13" name="Release Date">
    <vt:lpwstr>230216</vt:lpwstr>
  </property>
</Properties>
</file>