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732AD2" w:rsidP="0005586D">
            <w:pPr>
              <w:jc w:val="right"/>
            </w:pPr>
            <w:r w:rsidRPr="00525E6C">
              <w:rPr>
                <w:sz w:val="40"/>
              </w:rPr>
              <w:t>ECE</w:t>
            </w:r>
            <w:r w:rsidRPr="00525E6C">
              <w:t>/TRANS/WP.29/GRE/201</w:t>
            </w:r>
            <w:r w:rsidR="0005586D" w:rsidRPr="00525E6C">
              <w:t>6</w:t>
            </w:r>
            <w:r w:rsidRPr="00525E6C">
              <w:t>/</w:t>
            </w:r>
            <w:r w:rsidR="0005586D" w:rsidRPr="00525E6C">
              <w:t>4</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en-GB"/>
              </w:rPr>
              <w:drawing>
                <wp:inline distT="0" distB="0" distL="0" distR="0" wp14:anchorId="79FD1317" wp14:editId="7CD24373">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732AD2" w:rsidRPr="00525E6C" w:rsidRDefault="0005586D" w:rsidP="00732AD2">
            <w:pPr>
              <w:spacing w:line="240" w:lineRule="exact"/>
            </w:pPr>
            <w:r w:rsidRPr="00525E6C">
              <w:t xml:space="preserve">22 January </w:t>
            </w:r>
            <w:r w:rsidR="00732AD2" w:rsidRPr="00525E6C">
              <w:t>201</w:t>
            </w:r>
            <w:r w:rsidRPr="00525E6C">
              <w:t>6</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0866FB" w:rsidRPr="00525E6C" w:rsidRDefault="000866FB" w:rsidP="000866FB">
      <w:pPr>
        <w:rPr>
          <w:b/>
        </w:rPr>
      </w:pPr>
      <w:r w:rsidRPr="00525E6C">
        <w:rPr>
          <w:b/>
        </w:rPr>
        <w:t xml:space="preserve">Seventy-fifth </w:t>
      </w:r>
      <w:proofErr w:type="gramStart"/>
      <w:r w:rsidRPr="00525E6C">
        <w:rPr>
          <w:b/>
        </w:rPr>
        <w:t>session</w:t>
      </w:r>
      <w:proofErr w:type="gramEnd"/>
    </w:p>
    <w:p w:rsidR="000866FB" w:rsidRPr="00525E6C" w:rsidRDefault="000866FB" w:rsidP="000866FB">
      <w:pPr>
        <w:rPr>
          <w:bCs/>
        </w:rPr>
      </w:pPr>
      <w:r w:rsidRPr="00525E6C">
        <w:t>Geneva</w:t>
      </w:r>
      <w:r w:rsidRPr="00525E6C">
        <w:rPr>
          <w:bCs/>
        </w:rPr>
        <w:t>, 5–8 April 2016</w:t>
      </w:r>
    </w:p>
    <w:p w:rsidR="00732AD2" w:rsidRPr="00525E6C" w:rsidRDefault="00732AD2" w:rsidP="00732AD2">
      <w:pPr>
        <w:ind w:right="1134"/>
        <w:rPr>
          <w:bCs/>
        </w:rPr>
      </w:pPr>
      <w:r w:rsidRPr="00525E6C">
        <w:rPr>
          <w:bCs/>
        </w:rPr>
        <w:t>Item 4</w:t>
      </w:r>
      <w:r w:rsidR="0073646C" w:rsidRPr="00525E6C">
        <w:rPr>
          <w:bCs/>
        </w:rPr>
        <w:t xml:space="preserve"> </w:t>
      </w:r>
      <w:r w:rsidRPr="00525E6C">
        <w:rPr>
          <w:bCs/>
        </w:rPr>
        <w:t>of the provisional agenda</w:t>
      </w:r>
    </w:p>
    <w:p w:rsidR="00732AD2" w:rsidRPr="00525E6C" w:rsidRDefault="005067BB" w:rsidP="00732AD2">
      <w:pPr>
        <w:ind w:right="1134"/>
        <w:rPr>
          <w:bCs/>
        </w:rPr>
      </w:pPr>
      <w:r w:rsidRPr="00525E6C">
        <w:rPr>
          <w:b/>
          <w:bCs/>
          <w:lang w:val="en-US"/>
        </w:rPr>
        <w:t>Simplification of lighting and light-signalling Regulations</w:t>
      </w:r>
    </w:p>
    <w:p w:rsidR="00732AD2" w:rsidRPr="00525E6C" w:rsidRDefault="00732AD2" w:rsidP="00732AD2">
      <w:pPr>
        <w:pStyle w:val="HChG"/>
      </w:pPr>
      <w:r w:rsidRPr="00525E6C">
        <w:tab/>
      </w:r>
      <w:r w:rsidRPr="00525E6C">
        <w:tab/>
      </w:r>
      <w:r w:rsidR="008B2727" w:rsidRPr="00525E6C">
        <w:t xml:space="preserve">Proposal for Supplement </w:t>
      </w:r>
      <w:r w:rsidR="006B5A40" w:rsidRPr="00525E6C">
        <w:t>6</w:t>
      </w:r>
      <w:r w:rsidR="008B2727" w:rsidRPr="00525E6C">
        <w:t xml:space="preserve"> to the original version of Regulation No. 128 (Light emitting diodes light sources)</w:t>
      </w:r>
    </w:p>
    <w:p w:rsidR="00732AD2" w:rsidRPr="00525E6C" w:rsidRDefault="00732AD2" w:rsidP="00732AD2">
      <w:pPr>
        <w:pStyle w:val="H1G"/>
        <w:ind w:firstLine="0"/>
        <w:rPr>
          <w:szCs w:val="24"/>
        </w:rPr>
      </w:pPr>
      <w:r w:rsidRPr="00525E6C">
        <w:rPr>
          <w:szCs w:val="24"/>
        </w:rPr>
        <w:t xml:space="preserve">Submitted by the </w:t>
      </w:r>
      <w:r w:rsidR="005067BB" w:rsidRPr="00525E6C">
        <w:rPr>
          <w:szCs w:val="24"/>
        </w:rPr>
        <w:t>Informal Working Group "Simplification of the Lighting and Light-Signalling Regulations"</w:t>
      </w:r>
      <w:r w:rsidR="007D0A5D" w:rsidRPr="00525E6C">
        <w:footnoteReference w:customMarkFollows="1" w:id="2"/>
        <w:t>*</w:t>
      </w:r>
      <w:r w:rsidR="005067BB" w:rsidRPr="00525E6C">
        <w:rPr>
          <w:szCs w:val="24"/>
        </w:rPr>
        <w:t xml:space="preserve"> </w:t>
      </w:r>
    </w:p>
    <w:p w:rsidR="00732AD2" w:rsidRPr="00525E6C" w:rsidRDefault="0005586D" w:rsidP="00732AD2">
      <w:pPr>
        <w:pStyle w:val="SingleTxtG"/>
        <w:tabs>
          <w:tab w:val="left" w:pos="8505"/>
        </w:tabs>
        <w:ind w:firstLine="567"/>
      </w:pPr>
      <w:r w:rsidRPr="00525E6C">
        <w:t xml:space="preserve">The text reproduced below was prepared by the experts from the Informal Working Group "Simplification of the Lighting and Light-Signalling Regulations" (IWG SLR) to simplify the content and amendment process of the light source Regulations. It is based on ECE/TRANS/WP.29/GRE/2015/27 and takes into account comments received at the seventy-fourth session of GRE (ECE/TRANS/WP.29/GRE/74, para. 9). The modifications to the existing text of the Regulation are marked in bold for new or strikethrough for deleted characters.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10"/>
          <w:footerReference w:type="first" r:id="rId11"/>
          <w:pgSz w:w="11906" w:h="16838"/>
          <w:pgMar w:top="1701" w:right="1134" w:bottom="1618" w:left="1134" w:header="1134" w:footer="1582" w:gutter="0"/>
          <w:cols w:space="720"/>
          <w:docGrid w:linePitch="272"/>
        </w:sectPr>
      </w:pPr>
    </w:p>
    <w:p w:rsidR="00E048CF" w:rsidRPr="00525E6C" w:rsidRDefault="00914CE3" w:rsidP="00914CE3">
      <w:pPr>
        <w:pStyle w:val="HChG"/>
      </w:pPr>
      <w:r w:rsidRPr="00525E6C">
        <w:lastRenderedPageBreak/>
        <w:tab/>
      </w:r>
      <w:r w:rsidR="00E048CF" w:rsidRPr="00525E6C">
        <w:t>I.</w:t>
      </w:r>
      <w:r w:rsidR="00E048CF" w:rsidRPr="00525E6C">
        <w:tab/>
        <w:t>Proposal</w:t>
      </w:r>
    </w:p>
    <w:p w:rsidR="006B5A40" w:rsidRPr="00525E6C" w:rsidRDefault="006B5A40" w:rsidP="008B2727">
      <w:pPr>
        <w:pStyle w:val="para0"/>
        <w:rPr>
          <w:lang w:val="en-US"/>
        </w:rPr>
      </w:pPr>
      <w:r w:rsidRPr="00525E6C">
        <w:rPr>
          <w:i/>
          <w:lang w:val="en-US"/>
        </w:rPr>
        <w:t xml:space="preserve">The title, </w:t>
      </w:r>
      <w:r w:rsidRPr="00525E6C">
        <w:rPr>
          <w:lang w:val="en-US"/>
        </w:rPr>
        <w:t>amend to read:</w:t>
      </w:r>
    </w:p>
    <w:p w:rsidR="006B5A40" w:rsidRPr="00525E6C" w:rsidRDefault="006B5A40" w:rsidP="006B5A40">
      <w:pPr>
        <w:pStyle w:val="para0"/>
        <w:ind w:left="1134" w:firstLine="0"/>
        <w:rPr>
          <w:lang w:val="en-GB"/>
        </w:rPr>
      </w:pPr>
      <w:r w:rsidRPr="00525E6C">
        <w:rPr>
          <w:lang w:val="en-US"/>
        </w:rPr>
        <w:t>“</w:t>
      </w:r>
      <w:r w:rsidRPr="00525E6C">
        <w:rPr>
          <w:lang w:val="en-GB"/>
        </w:rPr>
        <w:t xml:space="preserve">Uniform provisions concerning the approval of light emitting diode (LED) light sources for use in approved lamps </w:t>
      </w:r>
      <w:r w:rsidRPr="00525E6C">
        <w:rPr>
          <w:strike/>
          <w:lang w:val="en-GB"/>
        </w:rPr>
        <w:t>units</w:t>
      </w:r>
      <w:r w:rsidRPr="00525E6C">
        <w:rPr>
          <w:lang w:val="en-GB"/>
        </w:rPr>
        <w:t xml:space="preserve"> on power-driven vehicles and their trailers”</w:t>
      </w:r>
    </w:p>
    <w:p w:rsidR="008B2727" w:rsidRPr="00525E6C" w:rsidRDefault="008B2727" w:rsidP="008B2727">
      <w:pPr>
        <w:pStyle w:val="para0"/>
        <w:rPr>
          <w:lang w:val="en-US"/>
        </w:rPr>
      </w:pPr>
      <w:r w:rsidRPr="00525E6C">
        <w:rPr>
          <w:i/>
          <w:lang w:val="en-US"/>
        </w:rPr>
        <w:t xml:space="preserve">Paragraph </w:t>
      </w:r>
      <w:proofErr w:type="gramStart"/>
      <w:r w:rsidRPr="00525E6C">
        <w:rPr>
          <w:i/>
          <w:lang w:val="en-US"/>
        </w:rPr>
        <w:t>1</w:t>
      </w:r>
      <w:r w:rsidR="002E5D7D" w:rsidRPr="00525E6C">
        <w:rPr>
          <w:i/>
          <w:lang w:val="en-US"/>
        </w:rPr>
        <w:t>.</w:t>
      </w:r>
      <w:r w:rsidRPr="00525E6C">
        <w:rPr>
          <w:i/>
          <w:lang w:val="en-US"/>
        </w:rPr>
        <w:t>,</w:t>
      </w:r>
      <w:proofErr w:type="gramEnd"/>
      <w:r w:rsidRPr="00525E6C">
        <w:rPr>
          <w:lang w:val="en-US"/>
        </w:rPr>
        <w:t xml:space="preserve"> amend to read:</w:t>
      </w:r>
    </w:p>
    <w:p w:rsidR="006B5A40" w:rsidRPr="00525E6C" w:rsidRDefault="002E5D7D" w:rsidP="008B2727">
      <w:pPr>
        <w:pStyle w:val="para0"/>
        <w:rPr>
          <w:bCs/>
          <w:lang w:val="en-US"/>
        </w:rPr>
      </w:pPr>
      <w:r w:rsidRPr="00525E6C">
        <w:rPr>
          <w:bCs/>
          <w:lang w:val="en-US"/>
        </w:rPr>
        <w:t>"</w:t>
      </w:r>
      <w:r w:rsidR="008B2727" w:rsidRPr="00525E6C">
        <w:rPr>
          <w:bCs/>
          <w:lang w:val="en-US"/>
        </w:rPr>
        <w:t>1.</w:t>
      </w:r>
      <w:r w:rsidR="008B2727" w:rsidRPr="00525E6C">
        <w:rPr>
          <w:bCs/>
          <w:lang w:val="en-US"/>
        </w:rPr>
        <w:tab/>
      </w:r>
      <w:r w:rsidR="006B5A40" w:rsidRPr="00525E6C">
        <w:rPr>
          <w:bCs/>
          <w:lang w:val="en-US"/>
        </w:rPr>
        <w:t>Scope</w:t>
      </w:r>
    </w:p>
    <w:p w:rsidR="008B2727" w:rsidRPr="00525E6C" w:rsidRDefault="008B2727" w:rsidP="006B5A40">
      <w:pPr>
        <w:pStyle w:val="para0"/>
        <w:ind w:firstLine="0"/>
        <w:rPr>
          <w:bCs/>
          <w:lang w:val="en-US"/>
        </w:rPr>
      </w:pPr>
      <w:r w:rsidRPr="00525E6C">
        <w:rPr>
          <w:bCs/>
          <w:lang w:val="en-US"/>
        </w:rPr>
        <w:t xml:space="preserve">This Regulation applies to LED light sources shown in Annex 1 and intended for use in approved </w:t>
      </w:r>
      <w:r w:rsidRPr="00525E6C">
        <w:rPr>
          <w:bCs/>
          <w:strike/>
          <w:lang w:val="en-US"/>
        </w:rPr>
        <w:t>signalling</w:t>
      </w:r>
      <w:r w:rsidRPr="00525E6C">
        <w:rPr>
          <w:bCs/>
          <w:lang w:val="en-US"/>
        </w:rPr>
        <w:t xml:space="preserve"> lamp</w:t>
      </w:r>
      <w:r w:rsidR="006B5A40" w:rsidRPr="00525E6C">
        <w:rPr>
          <w:b/>
          <w:bCs/>
          <w:lang w:val="en-US"/>
        </w:rPr>
        <w:t>s</w:t>
      </w:r>
      <w:r w:rsidRPr="00525E6C">
        <w:rPr>
          <w:bCs/>
          <w:lang w:val="en-US"/>
        </w:rPr>
        <w:t xml:space="preserve"> </w:t>
      </w:r>
      <w:r w:rsidRPr="00525E6C">
        <w:rPr>
          <w:bCs/>
          <w:strike/>
          <w:lang w:val="en-US"/>
        </w:rPr>
        <w:t>units</w:t>
      </w:r>
      <w:r w:rsidRPr="00525E6C">
        <w:rPr>
          <w:bCs/>
          <w:lang w:val="en-US"/>
        </w:rPr>
        <w:t xml:space="preserve"> of power-driven vehicles and of their trailers.</w:t>
      </w:r>
      <w:r w:rsidR="002E5D7D" w:rsidRPr="00525E6C">
        <w:rPr>
          <w:bCs/>
          <w:lang w:val="en-US"/>
        </w:rPr>
        <w:t>"</w:t>
      </w:r>
    </w:p>
    <w:p w:rsidR="006B5A40" w:rsidRPr="00525E6C" w:rsidRDefault="006B5A40" w:rsidP="008B2727">
      <w:pPr>
        <w:pStyle w:val="para0"/>
        <w:rPr>
          <w:bCs/>
          <w:lang w:val="en-US"/>
        </w:rPr>
      </w:pPr>
      <w:r w:rsidRPr="00525E6C">
        <w:rPr>
          <w:bCs/>
          <w:i/>
          <w:lang w:val="en-US"/>
        </w:rPr>
        <w:t xml:space="preserve">Paragraph 3.1., </w:t>
      </w:r>
      <w:r w:rsidR="00721608" w:rsidRPr="00525E6C">
        <w:rPr>
          <w:bCs/>
          <w:lang w:val="en-US"/>
        </w:rPr>
        <w:t>replace</w:t>
      </w:r>
      <w:r w:rsidRPr="00525E6C">
        <w:rPr>
          <w:bCs/>
          <w:lang w:val="en-US"/>
        </w:rPr>
        <w:t xml:space="preserve"> to read:</w:t>
      </w:r>
    </w:p>
    <w:p w:rsidR="006B5A40" w:rsidRPr="00525E6C" w:rsidRDefault="00721608" w:rsidP="006B5A40">
      <w:pPr>
        <w:spacing w:after="120"/>
        <w:ind w:left="2268" w:right="1134" w:hanging="1134"/>
        <w:jc w:val="both"/>
        <w:rPr>
          <w:bCs/>
          <w:lang w:val="x-none"/>
        </w:rPr>
      </w:pPr>
      <w:r w:rsidRPr="00525E6C">
        <w:rPr>
          <w:bCs/>
          <w:lang w:val="en-US"/>
        </w:rPr>
        <w:t>“</w:t>
      </w:r>
      <w:r w:rsidR="006B5A40" w:rsidRPr="00525E6C">
        <w:rPr>
          <w:bCs/>
          <w:lang w:val="x-none"/>
        </w:rPr>
        <w:t>3.1.</w:t>
      </w:r>
      <w:r w:rsidR="006B5A40" w:rsidRPr="00525E6C">
        <w:rPr>
          <w:bCs/>
          <w:lang w:val="x-none"/>
        </w:rPr>
        <w:tab/>
        <w:t>Definitions</w:t>
      </w:r>
    </w:p>
    <w:p w:rsidR="00721608" w:rsidRPr="00525E6C" w:rsidRDefault="00721608" w:rsidP="00721608">
      <w:pPr>
        <w:pStyle w:val="para0"/>
        <w:ind w:firstLine="0"/>
        <w:rPr>
          <w:bCs/>
          <w:i/>
          <w:lang w:val="en-GB"/>
        </w:rPr>
      </w:pPr>
      <w:r w:rsidRPr="00525E6C">
        <w:rPr>
          <w:b/>
          <w:lang w:val="en-GB"/>
        </w:rPr>
        <w:t>The definitions given in the Resolution [No. y] or its subsequent revisions, applicable at the time of application for type-approval, shall apply. “</w:t>
      </w:r>
    </w:p>
    <w:p w:rsidR="00951000" w:rsidRPr="00525E6C" w:rsidRDefault="00951000" w:rsidP="008B2727">
      <w:pPr>
        <w:pStyle w:val="para0"/>
        <w:rPr>
          <w:bCs/>
          <w:lang w:val="en-US"/>
        </w:rPr>
      </w:pPr>
      <w:r w:rsidRPr="00525E6C">
        <w:rPr>
          <w:bCs/>
          <w:i/>
          <w:lang w:val="en-US"/>
        </w:rPr>
        <w:t>Paragraph 3.2.7.,</w:t>
      </w:r>
      <w:r w:rsidRPr="00525E6C">
        <w:rPr>
          <w:bCs/>
          <w:lang w:val="en-US"/>
        </w:rPr>
        <w:t xml:space="preserve"> amend to read:</w:t>
      </w:r>
    </w:p>
    <w:p w:rsidR="00951000" w:rsidRPr="00525E6C" w:rsidRDefault="00721608" w:rsidP="00951000">
      <w:pPr>
        <w:pStyle w:val="para0"/>
        <w:rPr>
          <w:bCs/>
          <w:lang w:val="en-GB"/>
        </w:rPr>
      </w:pPr>
      <w:r w:rsidRPr="00525E6C">
        <w:rPr>
          <w:lang w:val="en-US"/>
        </w:rPr>
        <w:t>“</w:t>
      </w:r>
      <w:r w:rsidR="00951000" w:rsidRPr="00525E6C">
        <w:rPr>
          <w:lang w:val="en-US"/>
        </w:rPr>
        <w:t>3.2.7.</w:t>
      </w:r>
      <w:r w:rsidR="00951000" w:rsidRPr="00525E6C">
        <w:rPr>
          <w:lang w:val="en-US"/>
        </w:rPr>
        <w:tab/>
        <w:t xml:space="preserve">The solid state junction(s) </w:t>
      </w:r>
      <w:r w:rsidR="00951000" w:rsidRPr="00525E6C">
        <w:rPr>
          <w:b/>
          <w:lang w:val="en-GB"/>
        </w:rPr>
        <w:t xml:space="preserve">and possibly </w:t>
      </w:r>
      <w:r w:rsidR="0010567B" w:rsidRPr="00525E6C">
        <w:rPr>
          <w:b/>
          <w:lang w:val="en-GB"/>
        </w:rPr>
        <w:t>one or more</w:t>
      </w:r>
      <w:r w:rsidR="00951000" w:rsidRPr="00525E6C">
        <w:rPr>
          <w:b/>
          <w:lang w:val="en-GB"/>
        </w:rPr>
        <w:t xml:space="preserve"> element</w:t>
      </w:r>
      <w:r w:rsidR="0010567B" w:rsidRPr="00525E6C">
        <w:rPr>
          <w:b/>
          <w:lang w:val="en-GB"/>
        </w:rPr>
        <w:t>s</w:t>
      </w:r>
      <w:r w:rsidR="00951000" w:rsidRPr="00525E6C">
        <w:rPr>
          <w:b/>
          <w:lang w:val="en-GB"/>
        </w:rPr>
        <w:t xml:space="preserve"> for fluorescence-based conversion</w:t>
      </w:r>
      <w:r w:rsidR="00951000" w:rsidRPr="00525E6C">
        <w:rPr>
          <w:lang w:val="en-US"/>
        </w:rPr>
        <w:t xml:space="preserve"> shall be the only element(s) of the LED light source that generate</w:t>
      </w:r>
      <w:r w:rsidR="00951000" w:rsidRPr="00525E6C">
        <w:rPr>
          <w:b/>
          <w:lang w:val="en-US"/>
        </w:rPr>
        <w:t>(s)</w:t>
      </w:r>
      <w:r w:rsidR="00951000" w:rsidRPr="00525E6C">
        <w:rPr>
          <w:lang w:val="en-US"/>
        </w:rPr>
        <w:t xml:space="preserve"> and emit</w:t>
      </w:r>
      <w:r w:rsidR="00951000" w:rsidRPr="00525E6C">
        <w:rPr>
          <w:b/>
          <w:lang w:val="en-US"/>
        </w:rPr>
        <w:t>(s)</w:t>
      </w:r>
      <w:r w:rsidR="00951000" w:rsidRPr="00525E6C">
        <w:rPr>
          <w:lang w:val="en-US"/>
        </w:rPr>
        <w:t xml:space="preserve"> light</w:t>
      </w:r>
      <w:r w:rsidR="00951000" w:rsidRPr="00525E6C">
        <w:rPr>
          <w:strike/>
          <w:lang w:val="en-US"/>
        </w:rPr>
        <w:t>, either directly or via fluorescence-based conversion</w:t>
      </w:r>
      <w:r w:rsidR="00951000" w:rsidRPr="00525E6C">
        <w:rPr>
          <w:lang w:val="en-US"/>
        </w:rPr>
        <w:t>, when energized.”</w:t>
      </w:r>
    </w:p>
    <w:p w:rsidR="000A764B" w:rsidRPr="00525E6C" w:rsidRDefault="000A764B" w:rsidP="008B2727">
      <w:pPr>
        <w:pStyle w:val="para0"/>
        <w:rPr>
          <w:bCs/>
          <w:i/>
          <w:lang w:val="en-US"/>
        </w:rPr>
      </w:pPr>
      <w:proofErr w:type="gramStart"/>
      <w:r w:rsidRPr="00525E6C">
        <w:rPr>
          <w:bCs/>
          <w:i/>
          <w:lang w:val="en-US"/>
        </w:rPr>
        <w:t>Paragraphs 3.4.</w:t>
      </w:r>
      <w:proofErr w:type="gramEnd"/>
      <w:r w:rsidRPr="00525E6C">
        <w:rPr>
          <w:bCs/>
          <w:i/>
          <w:lang w:val="en-US"/>
        </w:rPr>
        <w:t xml:space="preserve"> </w:t>
      </w:r>
      <w:proofErr w:type="gramStart"/>
      <w:r w:rsidRPr="00525E6C">
        <w:rPr>
          <w:bCs/>
          <w:i/>
          <w:lang w:val="en-US"/>
        </w:rPr>
        <w:t>and</w:t>
      </w:r>
      <w:proofErr w:type="gramEnd"/>
      <w:r w:rsidRPr="00525E6C">
        <w:rPr>
          <w:bCs/>
          <w:i/>
          <w:lang w:val="en-US"/>
        </w:rPr>
        <w:t xml:space="preserve"> 3.4.1., </w:t>
      </w:r>
    </w:p>
    <w:p w:rsidR="000A764B" w:rsidRPr="00525E6C" w:rsidRDefault="000A764B" w:rsidP="000A764B">
      <w:pPr>
        <w:pStyle w:val="para0"/>
        <w:rPr>
          <w:bCs/>
          <w:lang w:val="en-GB"/>
        </w:rPr>
      </w:pPr>
      <w:r w:rsidRPr="00525E6C">
        <w:rPr>
          <w:bCs/>
          <w:lang w:val="en-GB"/>
        </w:rPr>
        <w:t>“3.4.</w:t>
      </w:r>
      <w:r w:rsidRPr="00525E6C">
        <w:rPr>
          <w:bCs/>
          <w:lang w:val="en-GB"/>
        </w:rPr>
        <w:tab/>
        <w:t xml:space="preserve">Position and dimensions of </w:t>
      </w:r>
      <w:r w:rsidRPr="00525E6C">
        <w:rPr>
          <w:bCs/>
          <w:strike/>
          <w:lang w:val="en-GB"/>
        </w:rPr>
        <w:t>apparent</w:t>
      </w:r>
      <w:r w:rsidRPr="00525E6C">
        <w:rPr>
          <w:bCs/>
          <w:lang w:val="en-GB"/>
        </w:rPr>
        <w:t xml:space="preserve"> light emitting area</w:t>
      </w:r>
    </w:p>
    <w:p w:rsidR="000A764B" w:rsidRPr="00525E6C" w:rsidRDefault="000A764B" w:rsidP="000A764B">
      <w:pPr>
        <w:pStyle w:val="para0"/>
        <w:rPr>
          <w:bCs/>
          <w:lang w:val="en-GB"/>
        </w:rPr>
      </w:pPr>
      <w:r w:rsidRPr="00525E6C">
        <w:rPr>
          <w:bCs/>
          <w:lang w:val="en-GB"/>
        </w:rPr>
        <w:t>3.4.1.</w:t>
      </w:r>
      <w:r w:rsidRPr="00525E6C">
        <w:rPr>
          <w:bCs/>
          <w:lang w:val="en-GB"/>
        </w:rPr>
        <w:tab/>
      </w:r>
      <w:proofErr w:type="gramStart"/>
      <w:r w:rsidRPr="00525E6C">
        <w:rPr>
          <w:bCs/>
          <w:lang w:val="en-GB"/>
        </w:rPr>
        <w:t>The</w:t>
      </w:r>
      <w:proofErr w:type="gramEnd"/>
      <w:r w:rsidRPr="00525E6C">
        <w:rPr>
          <w:bCs/>
          <w:lang w:val="en-GB"/>
        </w:rPr>
        <w:t xml:space="preserve"> position and dimensions of the </w:t>
      </w:r>
      <w:r w:rsidRPr="00525E6C">
        <w:rPr>
          <w:bCs/>
          <w:strike/>
          <w:lang w:val="en-GB"/>
        </w:rPr>
        <w:t>apparent</w:t>
      </w:r>
      <w:r w:rsidRPr="00525E6C">
        <w:rPr>
          <w:bCs/>
          <w:lang w:val="en-GB"/>
        </w:rPr>
        <w:t xml:space="preserve"> light emitting area shall conform to the requirements as given on the relevant data sheet of Annex 1.”</w:t>
      </w:r>
    </w:p>
    <w:p w:rsidR="008B2727" w:rsidRPr="00525E6C" w:rsidRDefault="008B2727" w:rsidP="008B2727">
      <w:pPr>
        <w:pStyle w:val="para0"/>
        <w:rPr>
          <w:bCs/>
          <w:i/>
          <w:lang w:val="en-US"/>
        </w:rPr>
      </w:pPr>
      <w:r w:rsidRPr="00525E6C">
        <w:rPr>
          <w:bCs/>
          <w:i/>
          <w:lang w:val="en-US"/>
        </w:rPr>
        <w:t>Annex 1,</w:t>
      </w:r>
      <w:r w:rsidR="002E5D7D" w:rsidRPr="00525E6C">
        <w:rPr>
          <w:bCs/>
          <w:i/>
          <w:lang w:val="en-US"/>
        </w:rPr>
        <w:t xml:space="preserve"> r</w:t>
      </w:r>
      <w:r w:rsidRPr="00525E6C">
        <w:rPr>
          <w:bCs/>
          <w:i/>
          <w:lang w:val="en-US"/>
        </w:rPr>
        <w:t>eplace by a new Annex 1 to read:</w:t>
      </w:r>
    </w:p>
    <w:p w:rsidR="008B2727" w:rsidRPr="00525E6C" w:rsidRDefault="002E5D7D" w:rsidP="008B2727">
      <w:pPr>
        <w:pStyle w:val="para0"/>
        <w:rPr>
          <w:b/>
          <w:bCs/>
          <w:i/>
          <w:lang w:val="en-US"/>
        </w:rPr>
      </w:pPr>
      <w:r w:rsidRPr="00525E6C">
        <w:rPr>
          <w:b/>
          <w:bCs/>
          <w:lang w:val="en-US"/>
        </w:rPr>
        <w:t>"</w:t>
      </w:r>
      <w:r w:rsidR="008B2727" w:rsidRPr="00525E6C">
        <w:rPr>
          <w:b/>
          <w:lang w:val="en-US"/>
        </w:rPr>
        <w:t>Sheets</w:t>
      </w:r>
      <w:r w:rsidR="008B2727" w:rsidRPr="00525E6C">
        <w:rPr>
          <w:rStyle w:val="FootnoteReference"/>
          <w:b/>
          <w:sz w:val="20"/>
          <w:vertAlign w:val="baseline"/>
          <w:lang w:val="en-US"/>
        </w:rPr>
        <w:t>*</w:t>
      </w:r>
      <w:r w:rsidR="008B2727" w:rsidRPr="00525E6C">
        <w:rPr>
          <w:b/>
          <w:lang w:val="en-US"/>
        </w:rPr>
        <w:t xml:space="preserve"> for LED light sources</w:t>
      </w:r>
    </w:p>
    <w:p w:rsidR="008B2727" w:rsidRPr="00525E6C" w:rsidRDefault="008B2727" w:rsidP="008B2727">
      <w:pPr>
        <w:spacing w:after="120"/>
        <w:ind w:left="1134" w:right="1134"/>
        <w:jc w:val="both"/>
      </w:pPr>
      <w:r w:rsidRPr="00525E6C">
        <w:rPr>
          <w:b/>
        </w:rPr>
        <w:t>The sheets of the relevant LED light source category and the group in which this category is listed with restrictions on the use of this category shall apply as incorporated in the Resolution [No. y] or its subsequent revisions, applicable at the time of application for type approval of the LED light source.</w:t>
      </w:r>
    </w:p>
    <w:p w:rsidR="008B2727" w:rsidRPr="00525E6C" w:rsidRDefault="008B2727" w:rsidP="008B2727">
      <w:pPr>
        <w:pStyle w:val="para0"/>
        <w:spacing w:after="100" w:line="220" w:lineRule="atLeast"/>
        <w:ind w:left="1134" w:firstLine="0"/>
        <w:jc w:val="left"/>
        <w:rPr>
          <w:b/>
          <w:sz w:val="18"/>
          <w:szCs w:val="18"/>
          <w:lang w:val="en-US"/>
        </w:rPr>
      </w:pPr>
      <w:r w:rsidRPr="00525E6C">
        <w:rPr>
          <w:b/>
          <w:sz w:val="18"/>
          <w:szCs w:val="18"/>
          <w:lang w:val="en-US"/>
        </w:rPr>
        <w:t>* From [date] onwards,</w:t>
      </w:r>
      <w:r w:rsidRPr="00525E6C">
        <w:rPr>
          <w:sz w:val="18"/>
          <w:szCs w:val="18"/>
          <w:lang w:val="en-US"/>
        </w:rPr>
        <w:t xml:space="preserve"> </w:t>
      </w:r>
      <w:r w:rsidRPr="00525E6C">
        <w:rPr>
          <w:b/>
          <w:sz w:val="18"/>
          <w:szCs w:val="18"/>
          <w:lang w:val="en-US"/>
        </w:rPr>
        <w:t>the sheets for LED light sources, the list and group of light source categories with restrictions on the use of this category and their sheet numbers are incorporated in the Resolution [No. y] with symbol ECE/TRANS/WP.29/11XX.</w:t>
      </w:r>
      <w:r w:rsidR="002E5D7D" w:rsidRPr="00525E6C">
        <w:rPr>
          <w:b/>
          <w:sz w:val="18"/>
          <w:szCs w:val="18"/>
          <w:lang w:val="en-US"/>
        </w:rPr>
        <w:t>"</w:t>
      </w:r>
    </w:p>
    <w:p w:rsidR="008B2727" w:rsidRPr="00525E6C" w:rsidRDefault="008B2727" w:rsidP="008B2727">
      <w:pPr>
        <w:pStyle w:val="para0"/>
        <w:spacing w:after="100" w:line="220" w:lineRule="atLeast"/>
        <w:ind w:left="1134" w:right="567" w:firstLine="0"/>
        <w:rPr>
          <w:i/>
          <w:lang w:val="en-US"/>
        </w:rPr>
      </w:pPr>
      <w:r w:rsidRPr="00525E6C">
        <w:rPr>
          <w:i/>
          <w:lang w:val="en-US"/>
        </w:rPr>
        <w:t xml:space="preserve">Annex 6, </w:t>
      </w:r>
    </w:p>
    <w:p w:rsidR="008B2727" w:rsidRPr="00525E6C" w:rsidRDefault="008B2727" w:rsidP="008677B3">
      <w:pPr>
        <w:pStyle w:val="Heading1"/>
        <w:spacing w:after="120"/>
        <w:rPr>
          <w:lang w:val="en-US"/>
        </w:rPr>
      </w:pPr>
      <w:r w:rsidRPr="00525E6C">
        <w:rPr>
          <w:i/>
          <w:lang w:val="en-US"/>
        </w:rPr>
        <w:t xml:space="preserve">Table 1, </w:t>
      </w:r>
      <w:r w:rsidRPr="00525E6C">
        <w:rPr>
          <w:lang w:val="en-US"/>
        </w:rPr>
        <w:t>amend to read:</w:t>
      </w:r>
    </w:p>
    <w:p w:rsidR="008B2727" w:rsidRPr="00525E6C" w:rsidRDefault="002E5D7D" w:rsidP="008677B3">
      <w:pPr>
        <w:pStyle w:val="Heading1"/>
        <w:spacing w:after="120"/>
        <w:rPr>
          <w:snapToGrid w:val="0"/>
          <w:lang w:val="en-US"/>
        </w:rPr>
      </w:pPr>
      <w:r w:rsidRPr="00525E6C">
        <w:rPr>
          <w:snapToGrid w:val="0"/>
          <w:lang w:val="en-US"/>
        </w:rPr>
        <w:t>"</w:t>
      </w:r>
      <w:r w:rsidR="008677B3" w:rsidRPr="00525E6C">
        <w:rPr>
          <w:snapToGrid w:val="0"/>
          <w:lang w:val="en-US"/>
        </w:rPr>
        <w:t>…</w:t>
      </w:r>
    </w:p>
    <w:tbl>
      <w:tblPr>
        <w:tblW w:w="0" w:type="auto"/>
        <w:jc w:val="center"/>
        <w:tblInd w:w="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584"/>
        <w:gridCol w:w="1559"/>
        <w:gridCol w:w="1637"/>
      </w:tblGrid>
      <w:tr w:rsidR="00525E6C" w:rsidRPr="00525E6C" w:rsidTr="0066271F">
        <w:trPr>
          <w:cantSplit/>
          <w:jc w:val="center"/>
        </w:trPr>
        <w:tc>
          <w:tcPr>
            <w:tcW w:w="1559" w:type="dxa"/>
            <w:tcBorders>
              <w:bottom w:val="single" w:sz="12" w:space="0" w:color="auto"/>
            </w:tcBorders>
            <w:vAlign w:val="center"/>
          </w:tcPr>
          <w:p w:rsidR="0060121A" w:rsidRPr="00525E6C" w:rsidRDefault="0060121A" w:rsidP="0060121A">
            <w:pPr>
              <w:suppressAutoHyphens w:val="0"/>
              <w:spacing w:line="240" w:lineRule="auto"/>
              <w:rPr>
                <w:bCs/>
                <w:i/>
                <w:snapToGrid w:val="0"/>
                <w:sz w:val="18"/>
                <w:szCs w:val="18"/>
              </w:rPr>
            </w:pPr>
            <w:r w:rsidRPr="00525E6C">
              <w:rPr>
                <w:bCs/>
                <w:i/>
                <w:snapToGrid w:val="0"/>
                <w:sz w:val="18"/>
                <w:szCs w:val="18"/>
              </w:rPr>
              <w:t>Grouping of characteristics</w:t>
            </w:r>
          </w:p>
        </w:tc>
        <w:tc>
          <w:tcPr>
            <w:tcW w:w="2584" w:type="dxa"/>
            <w:tcBorders>
              <w:bottom w:val="single" w:sz="12" w:space="0" w:color="auto"/>
            </w:tcBorders>
            <w:vAlign w:val="center"/>
          </w:tcPr>
          <w:p w:rsidR="0060121A" w:rsidRPr="00525E6C" w:rsidRDefault="0060121A" w:rsidP="0060121A">
            <w:pPr>
              <w:suppressAutoHyphens w:val="0"/>
              <w:spacing w:line="240" w:lineRule="auto"/>
              <w:rPr>
                <w:bCs/>
                <w:i/>
                <w:snapToGrid w:val="0"/>
                <w:sz w:val="18"/>
                <w:szCs w:val="18"/>
              </w:rPr>
            </w:pPr>
            <w:r w:rsidRPr="00525E6C">
              <w:rPr>
                <w:bCs/>
                <w:i/>
                <w:snapToGrid w:val="0"/>
                <w:sz w:val="18"/>
                <w:szCs w:val="18"/>
              </w:rPr>
              <w:t>Grouping* of test records between</w:t>
            </w:r>
            <w:r w:rsidRPr="00525E6C">
              <w:rPr>
                <w:bCs/>
                <w:i/>
                <w:snapToGrid w:val="0"/>
                <w:sz w:val="18"/>
                <w:szCs w:val="18"/>
              </w:rPr>
              <w:br/>
            </w:r>
            <w:r w:rsidRPr="00525E6C">
              <w:rPr>
                <w:bCs/>
                <w:i/>
                <w:strike/>
                <w:snapToGrid w:val="0"/>
                <w:sz w:val="18"/>
                <w:szCs w:val="18"/>
              </w:rPr>
              <w:t>lamp</w:t>
            </w:r>
            <w:r w:rsidRPr="00525E6C">
              <w:rPr>
                <w:bCs/>
                <w:i/>
                <w:snapToGrid w:val="0"/>
                <w:sz w:val="18"/>
                <w:szCs w:val="18"/>
              </w:rPr>
              <w:t xml:space="preserve"> </w:t>
            </w:r>
            <w:r w:rsidRPr="00525E6C">
              <w:rPr>
                <w:b/>
                <w:bCs/>
                <w:i/>
                <w:snapToGrid w:val="0"/>
                <w:sz w:val="18"/>
                <w:szCs w:val="18"/>
              </w:rPr>
              <w:t xml:space="preserve">LED light source </w:t>
            </w:r>
            <w:r w:rsidRPr="00525E6C">
              <w:rPr>
                <w:bCs/>
                <w:i/>
                <w:snapToGrid w:val="0"/>
                <w:sz w:val="18"/>
                <w:szCs w:val="18"/>
              </w:rPr>
              <w:t>types</w:t>
            </w:r>
          </w:p>
        </w:tc>
        <w:tc>
          <w:tcPr>
            <w:tcW w:w="1559" w:type="dxa"/>
            <w:tcBorders>
              <w:bottom w:val="single" w:sz="12" w:space="0" w:color="auto"/>
            </w:tcBorders>
            <w:vAlign w:val="center"/>
          </w:tcPr>
          <w:p w:rsidR="0060121A" w:rsidRPr="00525E6C" w:rsidRDefault="0060121A" w:rsidP="0060121A">
            <w:pPr>
              <w:suppressAutoHyphens w:val="0"/>
              <w:spacing w:line="240" w:lineRule="auto"/>
              <w:rPr>
                <w:bCs/>
                <w:i/>
                <w:snapToGrid w:val="0"/>
                <w:sz w:val="18"/>
                <w:szCs w:val="18"/>
              </w:rPr>
            </w:pPr>
            <w:r w:rsidRPr="00525E6C">
              <w:rPr>
                <w:bCs/>
                <w:i/>
                <w:snapToGrid w:val="0"/>
                <w:sz w:val="18"/>
                <w:szCs w:val="18"/>
              </w:rPr>
              <w:t>Minimum 12 monthly sample per grouping*</w:t>
            </w:r>
          </w:p>
        </w:tc>
        <w:tc>
          <w:tcPr>
            <w:tcW w:w="1637" w:type="dxa"/>
            <w:tcBorders>
              <w:bottom w:val="single" w:sz="12" w:space="0" w:color="auto"/>
            </w:tcBorders>
            <w:vAlign w:val="center"/>
          </w:tcPr>
          <w:p w:rsidR="0060121A" w:rsidRPr="00525E6C" w:rsidRDefault="0060121A" w:rsidP="007D0A5D">
            <w:pPr>
              <w:suppressAutoHyphens w:val="0"/>
              <w:spacing w:line="240" w:lineRule="auto"/>
              <w:rPr>
                <w:bCs/>
                <w:i/>
                <w:snapToGrid w:val="0"/>
                <w:sz w:val="18"/>
                <w:szCs w:val="18"/>
              </w:rPr>
            </w:pPr>
            <w:r w:rsidRPr="00525E6C">
              <w:rPr>
                <w:bCs/>
                <w:i/>
                <w:snapToGrid w:val="0"/>
                <w:sz w:val="18"/>
                <w:szCs w:val="18"/>
              </w:rPr>
              <w:t>Acceptable level of non-compliance per grouping of characteristics (</w:t>
            </w:r>
            <w:r w:rsidR="007D0A5D" w:rsidRPr="00525E6C">
              <w:rPr>
                <w:bCs/>
                <w:i/>
                <w:snapToGrid w:val="0"/>
                <w:sz w:val="18"/>
                <w:szCs w:val="18"/>
              </w:rPr>
              <w:t>percentage</w:t>
            </w:r>
            <w:r w:rsidRPr="00525E6C">
              <w:rPr>
                <w:bCs/>
                <w:i/>
                <w:snapToGrid w:val="0"/>
                <w:sz w:val="18"/>
                <w:szCs w:val="18"/>
              </w:rPr>
              <w:t>)</w:t>
            </w:r>
          </w:p>
        </w:tc>
      </w:tr>
      <w:tr w:rsidR="00525E6C" w:rsidRPr="00525E6C" w:rsidTr="0066271F">
        <w:trPr>
          <w:cantSplit/>
          <w:jc w:val="center"/>
        </w:trPr>
        <w:tc>
          <w:tcPr>
            <w:tcW w:w="1559" w:type="dxa"/>
            <w:tcBorders>
              <w:top w:val="single" w:sz="12" w:space="0" w:color="auto"/>
            </w:tcBorders>
            <w:vAlign w:val="center"/>
          </w:tcPr>
          <w:p w:rsidR="0060121A" w:rsidRPr="00525E6C" w:rsidRDefault="0060121A" w:rsidP="003353DC">
            <w:pPr>
              <w:suppressAutoHyphens w:val="0"/>
              <w:spacing w:before="40" w:after="40" w:line="240" w:lineRule="auto"/>
              <w:rPr>
                <w:bCs/>
                <w:snapToGrid w:val="0"/>
              </w:rPr>
            </w:pPr>
            <w:r w:rsidRPr="00525E6C">
              <w:rPr>
                <w:bCs/>
                <w:snapToGrid w:val="0"/>
              </w:rPr>
              <w:lastRenderedPageBreak/>
              <w:t>Marking, legibility and durability</w:t>
            </w:r>
          </w:p>
        </w:tc>
        <w:tc>
          <w:tcPr>
            <w:tcW w:w="2584" w:type="dxa"/>
            <w:tcBorders>
              <w:top w:val="single" w:sz="12" w:space="0" w:color="auto"/>
            </w:tcBorders>
            <w:vAlign w:val="center"/>
          </w:tcPr>
          <w:p w:rsidR="0060121A" w:rsidRPr="00525E6C" w:rsidRDefault="0060121A" w:rsidP="003353DC">
            <w:pPr>
              <w:suppressAutoHyphens w:val="0"/>
              <w:spacing w:before="40" w:after="40" w:line="240" w:lineRule="auto"/>
              <w:rPr>
                <w:bCs/>
                <w:snapToGrid w:val="0"/>
              </w:rPr>
            </w:pPr>
            <w:r w:rsidRPr="00525E6C">
              <w:rPr>
                <w:bCs/>
                <w:snapToGrid w:val="0"/>
              </w:rPr>
              <w:t>All types with the same external dimensions</w:t>
            </w:r>
          </w:p>
        </w:tc>
        <w:tc>
          <w:tcPr>
            <w:tcW w:w="1559" w:type="dxa"/>
            <w:tcBorders>
              <w:top w:val="single" w:sz="12" w:space="0" w:color="auto"/>
            </w:tcBorders>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315</w:t>
            </w:r>
          </w:p>
        </w:tc>
        <w:tc>
          <w:tcPr>
            <w:tcW w:w="1637" w:type="dxa"/>
            <w:tcBorders>
              <w:top w:val="single" w:sz="12" w:space="0" w:color="auto"/>
            </w:tcBorders>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1</w:t>
            </w:r>
          </w:p>
        </w:tc>
      </w:tr>
      <w:tr w:rsidR="00525E6C" w:rsidRPr="00525E6C" w:rsidTr="008677B3">
        <w:trPr>
          <w:cantSplit/>
          <w:jc w:val="center"/>
        </w:trPr>
        <w:tc>
          <w:tcPr>
            <w:tcW w:w="1559" w:type="dxa"/>
            <w:vAlign w:val="center"/>
          </w:tcPr>
          <w:p w:rsidR="0060121A" w:rsidRPr="00525E6C" w:rsidRDefault="0060121A" w:rsidP="003353DC">
            <w:pPr>
              <w:suppressAutoHyphens w:val="0"/>
              <w:spacing w:before="40" w:after="40" w:line="240" w:lineRule="auto"/>
              <w:rPr>
                <w:bCs/>
                <w:snapToGrid w:val="0"/>
              </w:rPr>
            </w:pPr>
            <w:r w:rsidRPr="00525E6C">
              <w:rPr>
                <w:bCs/>
                <w:snapToGrid w:val="0"/>
              </w:rPr>
              <w:t xml:space="preserve">External </w:t>
            </w:r>
            <w:r w:rsidRPr="00525E6C">
              <w:rPr>
                <w:bCs/>
                <w:strike/>
                <w:snapToGrid w:val="0"/>
                <w:sz w:val="18"/>
                <w:szCs w:val="18"/>
              </w:rPr>
              <w:t>lamp</w:t>
            </w:r>
            <w:r w:rsidRPr="00525E6C">
              <w:rPr>
                <w:bCs/>
                <w:snapToGrid w:val="0"/>
                <w:sz w:val="18"/>
                <w:szCs w:val="18"/>
              </w:rPr>
              <w:t xml:space="preserve"> </w:t>
            </w:r>
            <w:r w:rsidRPr="00525E6C">
              <w:rPr>
                <w:b/>
                <w:bCs/>
                <w:snapToGrid w:val="0"/>
                <w:sz w:val="18"/>
                <w:szCs w:val="18"/>
              </w:rPr>
              <w:t>LED light source</w:t>
            </w:r>
            <w:r w:rsidRPr="00525E6C">
              <w:rPr>
                <w:b/>
                <w:bCs/>
                <w:i/>
                <w:snapToGrid w:val="0"/>
                <w:sz w:val="18"/>
                <w:szCs w:val="18"/>
              </w:rPr>
              <w:t xml:space="preserve"> </w:t>
            </w:r>
            <w:r w:rsidRPr="00525E6C">
              <w:rPr>
                <w:bCs/>
                <w:snapToGrid w:val="0"/>
              </w:rPr>
              <w:t>dimensions (excluding cap/base)</w:t>
            </w:r>
          </w:p>
        </w:tc>
        <w:tc>
          <w:tcPr>
            <w:tcW w:w="2584" w:type="dxa"/>
            <w:vAlign w:val="center"/>
          </w:tcPr>
          <w:p w:rsidR="0060121A" w:rsidRPr="00525E6C" w:rsidRDefault="0060121A" w:rsidP="003353DC">
            <w:pPr>
              <w:suppressAutoHyphens w:val="0"/>
              <w:spacing w:before="40" w:after="40" w:line="240" w:lineRule="auto"/>
              <w:rPr>
                <w:bCs/>
                <w:snapToGrid w:val="0"/>
              </w:rPr>
            </w:pPr>
            <w:r w:rsidRPr="00525E6C">
              <w:rPr>
                <w:bCs/>
                <w:snapToGrid w:val="0"/>
              </w:rPr>
              <w:t>All types of the same category</w:t>
            </w:r>
          </w:p>
        </w:tc>
        <w:tc>
          <w:tcPr>
            <w:tcW w:w="1559" w:type="dxa"/>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200</w:t>
            </w:r>
          </w:p>
        </w:tc>
        <w:tc>
          <w:tcPr>
            <w:tcW w:w="1637" w:type="dxa"/>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1</w:t>
            </w:r>
          </w:p>
        </w:tc>
      </w:tr>
      <w:tr w:rsidR="00525E6C" w:rsidRPr="00525E6C" w:rsidTr="008677B3">
        <w:trPr>
          <w:cantSplit/>
          <w:jc w:val="center"/>
        </w:trPr>
        <w:tc>
          <w:tcPr>
            <w:tcW w:w="1559" w:type="dxa"/>
            <w:vAlign w:val="center"/>
          </w:tcPr>
          <w:p w:rsidR="0060121A" w:rsidRPr="00525E6C" w:rsidRDefault="0060121A" w:rsidP="003353DC">
            <w:pPr>
              <w:suppressAutoHyphens w:val="0"/>
              <w:spacing w:before="40" w:after="40" w:line="240" w:lineRule="auto"/>
              <w:rPr>
                <w:bCs/>
                <w:snapToGrid w:val="0"/>
              </w:rPr>
            </w:pPr>
            <w:r w:rsidRPr="00525E6C">
              <w:rPr>
                <w:bCs/>
                <w:snapToGrid w:val="0"/>
              </w:rPr>
              <w:t>Dimensions of caps and bases</w:t>
            </w:r>
          </w:p>
        </w:tc>
        <w:tc>
          <w:tcPr>
            <w:tcW w:w="2584" w:type="dxa"/>
            <w:vAlign w:val="center"/>
          </w:tcPr>
          <w:p w:rsidR="0060121A" w:rsidRPr="00525E6C" w:rsidRDefault="0060121A" w:rsidP="003353DC">
            <w:pPr>
              <w:suppressAutoHyphens w:val="0"/>
              <w:spacing w:before="40" w:after="40" w:line="240" w:lineRule="auto"/>
              <w:rPr>
                <w:bCs/>
                <w:snapToGrid w:val="0"/>
              </w:rPr>
            </w:pPr>
            <w:r w:rsidRPr="00525E6C">
              <w:rPr>
                <w:bCs/>
                <w:snapToGrid w:val="0"/>
              </w:rPr>
              <w:t>All types of the same category</w:t>
            </w:r>
          </w:p>
        </w:tc>
        <w:tc>
          <w:tcPr>
            <w:tcW w:w="1559" w:type="dxa"/>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200</w:t>
            </w:r>
          </w:p>
        </w:tc>
        <w:tc>
          <w:tcPr>
            <w:tcW w:w="1637" w:type="dxa"/>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6.5</w:t>
            </w:r>
          </w:p>
        </w:tc>
      </w:tr>
      <w:tr w:rsidR="00525E6C" w:rsidRPr="00525E6C" w:rsidTr="008677B3">
        <w:trPr>
          <w:cantSplit/>
          <w:jc w:val="center"/>
        </w:trPr>
        <w:tc>
          <w:tcPr>
            <w:tcW w:w="1559" w:type="dxa"/>
            <w:vAlign w:val="center"/>
          </w:tcPr>
          <w:p w:rsidR="0060121A" w:rsidRPr="00525E6C" w:rsidRDefault="0060121A" w:rsidP="003353DC">
            <w:pPr>
              <w:suppressAutoHyphens w:val="0"/>
              <w:spacing w:before="40" w:after="40" w:line="240" w:lineRule="auto"/>
              <w:rPr>
                <w:bCs/>
                <w:snapToGrid w:val="0"/>
              </w:rPr>
            </w:pPr>
            <w:r w:rsidRPr="00525E6C">
              <w:rPr>
                <w:bCs/>
                <w:snapToGrid w:val="0"/>
              </w:rPr>
              <w:t>Dimensions related to light emitting surface and internal elements**</w:t>
            </w:r>
          </w:p>
        </w:tc>
        <w:tc>
          <w:tcPr>
            <w:tcW w:w="2584" w:type="dxa"/>
            <w:vAlign w:val="center"/>
          </w:tcPr>
          <w:p w:rsidR="0060121A" w:rsidRPr="00525E6C" w:rsidRDefault="0060121A" w:rsidP="003353DC">
            <w:pPr>
              <w:suppressAutoHyphens w:val="0"/>
              <w:spacing w:before="40" w:after="40" w:line="240" w:lineRule="auto"/>
              <w:rPr>
                <w:bCs/>
                <w:snapToGrid w:val="0"/>
              </w:rPr>
            </w:pPr>
            <w:r w:rsidRPr="00525E6C">
              <w:rPr>
                <w:bCs/>
                <w:snapToGrid w:val="0"/>
              </w:rPr>
              <w:t xml:space="preserve">All </w:t>
            </w:r>
            <w:r w:rsidRPr="00525E6C">
              <w:rPr>
                <w:bCs/>
                <w:strike/>
                <w:snapToGrid w:val="0"/>
                <w:sz w:val="18"/>
                <w:szCs w:val="18"/>
              </w:rPr>
              <w:t>lamp</w:t>
            </w:r>
            <w:r w:rsidRPr="00525E6C">
              <w:rPr>
                <w:bCs/>
                <w:snapToGrid w:val="0"/>
                <w:sz w:val="18"/>
                <w:szCs w:val="18"/>
              </w:rPr>
              <w:t xml:space="preserve"> </w:t>
            </w:r>
            <w:r w:rsidRPr="00525E6C">
              <w:rPr>
                <w:b/>
                <w:bCs/>
                <w:snapToGrid w:val="0"/>
                <w:sz w:val="18"/>
                <w:szCs w:val="18"/>
              </w:rPr>
              <w:t xml:space="preserve">LED light sources </w:t>
            </w:r>
            <w:r w:rsidRPr="00525E6C">
              <w:rPr>
                <w:bCs/>
                <w:snapToGrid w:val="0"/>
              </w:rPr>
              <w:t>of one type</w:t>
            </w:r>
          </w:p>
        </w:tc>
        <w:tc>
          <w:tcPr>
            <w:tcW w:w="1559" w:type="dxa"/>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200</w:t>
            </w:r>
          </w:p>
        </w:tc>
        <w:tc>
          <w:tcPr>
            <w:tcW w:w="1637" w:type="dxa"/>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6.5</w:t>
            </w:r>
          </w:p>
        </w:tc>
      </w:tr>
      <w:tr w:rsidR="00525E6C" w:rsidRPr="00525E6C" w:rsidTr="0066271F">
        <w:trPr>
          <w:cantSplit/>
          <w:jc w:val="center"/>
        </w:trPr>
        <w:tc>
          <w:tcPr>
            <w:tcW w:w="1559" w:type="dxa"/>
            <w:tcBorders>
              <w:bottom w:val="single" w:sz="4" w:space="0" w:color="auto"/>
            </w:tcBorders>
            <w:vAlign w:val="center"/>
          </w:tcPr>
          <w:p w:rsidR="0060121A" w:rsidRPr="00525E6C" w:rsidRDefault="0060121A" w:rsidP="003353DC">
            <w:pPr>
              <w:suppressAutoHyphens w:val="0"/>
              <w:spacing w:before="40" w:after="40" w:line="240" w:lineRule="auto"/>
              <w:rPr>
                <w:bCs/>
                <w:snapToGrid w:val="0"/>
              </w:rPr>
            </w:pPr>
            <w:r w:rsidRPr="00525E6C">
              <w:rPr>
                <w:bCs/>
                <w:snapToGrid w:val="0"/>
              </w:rPr>
              <w:t>Initial readings, power, colour and luminous flux**</w:t>
            </w:r>
          </w:p>
        </w:tc>
        <w:tc>
          <w:tcPr>
            <w:tcW w:w="2584" w:type="dxa"/>
            <w:tcBorders>
              <w:bottom w:val="single" w:sz="4" w:space="0" w:color="auto"/>
            </w:tcBorders>
            <w:vAlign w:val="center"/>
          </w:tcPr>
          <w:p w:rsidR="0060121A" w:rsidRPr="00525E6C" w:rsidRDefault="0060121A" w:rsidP="003353DC">
            <w:pPr>
              <w:suppressAutoHyphens w:val="0"/>
              <w:spacing w:before="40" w:after="40" w:line="240" w:lineRule="auto"/>
              <w:rPr>
                <w:bCs/>
                <w:snapToGrid w:val="0"/>
              </w:rPr>
            </w:pPr>
            <w:r w:rsidRPr="00525E6C">
              <w:rPr>
                <w:bCs/>
                <w:snapToGrid w:val="0"/>
              </w:rPr>
              <w:t xml:space="preserve">All </w:t>
            </w:r>
            <w:r w:rsidRPr="00525E6C">
              <w:rPr>
                <w:bCs/>
                <w:strike/>
                <w:snapToGrid w:val="0"/>
                <w:sz w:val="18"/>
                <w:szCs w:val="18"/>
              </w:rPr>
              <w:t>lamp</w:t>
            </w:r>
            <w:r w:rsidRPr="00525E6C">
              <w:rPr>
                <w:bCs/>
                <w:snapToGrid w:val="0"/>
                <w:sz w:val="18"/>
                <w:szCs w:val="18"/>
              </w:rPr>
              <w:t xml:space="preserve"> </w:t>
            </w:r>
            <w:r w:rsidRPr="00525E6C">
              <w:rPr>
                <w:b/>
                <w:bCs/>
                <w:snapToGrid w:val="0"/>
                <w:sz w:val="18"/>
                <w:szCs w:val="18"/>
              </w:rPr>
              <w:t xml:space="preserve">LED light sources </w:t>
            </w:r>
            <w:r w:rsidRPr="00525E6C">
              <w:rPr>
                <w:bCs/>
                <w:snapToGrid w:val="0"/>
              </w:rPr>
              <w:t>of one type</w:t>
            </w:r>
          </w:p>
        </w:tc>
        <w:tc>
          <w:tcPr>
            <w:tcW w:w="1559" w:type="dxa"/>
            <w:tcBorders>
              <w:bottom w:val="single" w:sz="4" w:space="0" w:color="auto"/>
            </w:tcBorders>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200</w:t>
            </w:r>
          </w:p>
        </w:tc>
        <w:tc>
          <w:tcPr>
            <w:tcW w:w="1637" w:type="dxa"/>
            <w:tcBorders>
              <w:bottom w:val="single" w:sz="4" w:space="0" w:color="auto"/>
            </w:tcBorders>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1</w:t>
            </w:r>
          </w:p>
        </w:tc>
      </w:tr>
      <w:tr w:rsidR="00525E6C" w:rsidRPr="00525E6C" w:rsidTr="0066271F">
        <w:trPr>
          <w:cantSplit/>
          <w:jc w:val="center"/>
        </w:trPr>
        <w:tc>
          <w:tcPr>
            <w:tcW w:w="1559" w:type="dxa"/>
            <w:tcBorders>
              <w:bottom w:val="single" w:sz="12" w:space="0" w:color="auto"/>
            </w:tcBorders>
            <w:vAlign w:val="center"/>
          </w:tcPr>
          <w:p w:rsidR="0060121A" w:rsidRPr="00525E6C" w:rsidRDefault="0060121A" w:rsidP="003353DC">
            <w:pPr>
              <w:rPr>
                <w:bCs/>
                <w:lang w:val="en-US"/>
              </w:rPr>
            </w:pPr>
            <w:proofErr w:type="spellStart"/>
            <w:r w:rsidRPr="00525E6C">
              <w:rPr>
                <w:bCs/>
                <w:lang w:val="en-US"/>
              </w:rPr>
              <w:t>Normalised</w:t>
            </w:r>
            <w:proofErr w:type="spellEnd"/>
            <w:r w:rsidRPr="00525E6C">
              <w:rPr>
                <w:bCs/>
                <w:lang w:val="en-US"/>
              </w:rPr>
              <w:t xml:space="preserve"> luminous intensity or cumulative luminous flux distribution</w:t>
            </w:r>
          </w:p>
        </w:tc>
        <w:tc>
          <w:tcPr>
            <w:tcW w:w="2584" w:type="dxa"/>
            <w:tcBorders>
              <w:bottom w:val="single" w:sz="12" w:space="0" w:color="auto"/>
            </w:tcBorders>
            <w:vAlign w:val="center"/>
          </w:tcPr>
          <w:p w:rsidR="0060121A" w:rsidRPr="00525E6C" w:rsidRDefault="0060121A" w:rsidP="003353DC">
            <w:pPr>
              <w:rPr>
                <w:bCs/>
              </w:rPr>
            </w:pPr>
            <w:r w:rsidRPr="00525E6C">
              <w:rPr>
                <w:bCs/>
              </w:rPr>
              <w:t xml:space="preserve">All </w:t>
            </w:r>
            <w:r w:rsidRPr="00525E6C">
              <w:rPr>
                <w:bCs/>
                <w:strike/>
                <w:snapToGrid w:val="0"/>
                <w:sz w:val="18"/>
                <w:szCs w:val="18"/>
              </w:rPr>
              <w:t>lamp</w:t>
            </w:r>
            <w:r w:rsidRPr="00525E6C">
              <w:rPr>
                <w:bCs/>
                <w:snapToGrid w:val="0"/>
                <w:sz w:val="18"/>
                <w:szCs w:val="18"/>
              </w:rPr>
              <w:t xml:space="preserve"> </w:t>
            </w:r>
            <w:r w:rsidRPr="00525E6C">
              <w:rPr>
                <w:b/>
                <w:bCs/>
                <w:snapToGrid w:val="0"/>
                <w:sz w:val="18"/>
                <w:szCs w:val="18"/>
              </w:rPr>
              <w:t xml:space="preserve">LED light sources </w:t>
            </w:r>
            <w:r w:rsidRPr="00525E6C">
              <w:rPr>
                <w:bCs/>
              </w:rPr>
              <w:t>of one type</w:t>
            </w:r>
          </w:p>
        </w:tc>
        <w:tc>
          <w:tcPr>
            <w:tcW w:w="1559" w:type="dxa"/>
            <w:tcBorders>
              <w:bottom w:val="single" w:sz="12" w:space="0" w:color="auto"/>
            </w:tcBorders>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20</w:t>
            </w:r>
          </w:p>
        </w:tc>
        <w:tc>
          <w:tcPr>
            <w:tcW w:w="1637" w:type="dxa"/>
            <w:tcBorders>
              <w:bottom w:val="single" w:sz="12" w:space="0" w:color="auto"/>
            </w:tcBorders>
            <w:vAlign w:val="center"/>
          </w:tcPr>
          <w:p w:rsidR="0060121A" w:rsidRPr="00525E6C" w:rsidRDefault="0060121A" w:rsidP="003353DC">
            <w:pPr>
              <w:suppressAutoHyphens w:val="0"/>
              <w:spacing w:before="40" w:after="40" w:line="240" w:lineRule="auto"/>
              <w:jc w:val="center"/>
              <w:rPr>
                <w:bCs/>
                <w:snapToGrid w:val="0"/>
              </w:rPr>
            </w:pPr>
            <w:r w:rsidRPr="00525E6C">
              <w:rPr>
                <w:bCs/>
                <w:snapToGrid w:val="0"/>
              </w:rPr>
              <w:t>6.5</w:t>
            </w:r>
          </w:p>
        </w:tc>
      </w:tr>
    </w:tbl>
    <w:p w:rsidR="008677B3" w:rsidRPr="00525E6C" w:rsidRDefault="008677B3" w:rsidP="0066271F">
      <w:pPr>
        <w:pStyle w:val="SingleTxtG"/>
        <w:rPr>
          <w:snapToGrid w:val="0"/>
        </w:rPr>
      </w:pPr>
      <w:r w:rsidRPr="00525E6C">
        <w:rPr>
          <w:snapToGrid w:val="0"/>
        </w:rPr>
        <w:t>"</w:t>
      </w:r>
    </w:p>
    <w:p w:rsidR="008B2727" w:rsidRPr="00525E6C" w:rsidRDefault="008B2727" w:rsidP="0066271F">
      <w:pPr>
        <w:pStyle w:val="SingleTxtG"/>
        <w:rPr>
          <w:snapToGrid w:val="0"/>
          <w:lang w:val="en-US"/>
        </w:rPr>
      </w:pPr>
      <w:r w:rsidRPr="00525E6C">
        <w:rPr>
          <w:i/>
          <w:snapToGrid w:val="0"/>
        </w:rPr>
        <w:t>Table 3</w:t>
      </w:r>
      <w:r w:rsidRPr="00525E6C">
        <w:rPr>
          <w:i/>
          <w:snapToGrid w:val="0"/>
          <w:lang w:val="en-US"/>
        </w:rPr>
        <w:t xml:space="preserve">, </w:t>
      </w:r>
      <w:r w:rsidR="002E5D7D" w:rsidRPr="00525E6C">
        <w:rPr>
          <w:i/>
          <w:snapToGrid w:val="0"/>
          <w:lang w:val="en-US"/>
        </w:rPr>
        <w:t>head</w:t>
      </w:r>
      <w:r w:rsidR="00D62F33" w:rsidRPr="00525E6C">
        <w:rPr>
          <w:i/>
          <w:snapToGrid w:val="0"/>
          <w:lang w:val="en-US"/>
        </w:rPr>
        <w:t>er</w:t>
      </w:r>
      <w:r w:rsidR="002E5D7D" w:rsidRPr="00525E6C">
        <w:rPr>
          <w:i/>
          <w:snapToGrid w:val="0"/>
          <w:lang w:val="en-US"/>
        </w:rPr>
        <w:t xml:space="preserve"> </w:t>
      </w:r>
      <w:r w:rsidRPr="00525E6C">
        <w:rPr>
          <w:i/>
          <w:snapToGrid w:val="0"/>
          <w:lang w:val="en-US"/>
        </w:rPr>
        <w:t>row,</w:t>
      </w:r>
      <w:r w:rsidRPr="00525E6C">
        <w:rPr>
          <w:snapToGrid w:val="0"/>
          <w:lang w:val="en-US"/>
        </w:rPr>
        <w:t xml:space="preserve"> amend to read:</w:t>
      </w:r>
    </w:p>
    <w:p w:rsidR="008B2727" w:rsidRPr="00525E6C" w:rsidRDefault="002E5D7D" w:rsidP="0066271F">
      <w:pPr>
        <w:pStyle w:val="SingleTxtG"/>
        <w:rPr>
          <w:snapToGrid w:val="0"/>
          <w:lang w:val="en-US"/>
        </w:rPr>
      </w:pPr>
      <w:r w:rsidRPr="00525E6C">
        <w:rPr>
          <w:snapToGrid w:val="0"/>
          <w:lang w:val="en-US"/>
        </w:rPr>
        <w:t>"</w:t>
      </w:r>
    </w:p>
    <w:tbl>
      <w:tblPr>
        <w:tblW w:w="0" w:type="auto"/>
        <w:tblInd w:w="1242"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Look w:val="0000" w:firstRow="0" w:lastRow="0" w:firstColumn="0" w:lastColumn="0" w:noHBand="0" w:noVBand="0"/>
      </w:tblPr>
      <w:tblGrid>
        <w:gridCol w:w="1247"/>
        <w:gridCol w:w="1247"/>
        <w:gridCol w:w="1247"/>
        <w:gridCol w:w="1247"/>
        <w:gridCol w:w="1247"/>
        <w:gridCol w:w="1247"/>
      </w:tblGrid>
      <w:tr w:rsidR="00525E6C" w:rsidRPr="00525E6C" w:rsidTr="0066271F">
        <w:trPr>
          <w:cantSplit/>
          <w:trHeight w:val="456"/>
        </w:trPr>
        <w:tc>
          <w:tcPr>
            <w:tcW w:w="1247" w:type="dxa"/>
            <w:vAlign w:val="center"/>
          </w:tcPr>
          <w:p w:rsidR="008B2727" w:rsidRPr="00525E6C" w:rsidRDefault="008B2727" w:rsidP="0066271F">
            <w:pPr>
              <w:suppressAutoHyphens w:val="0"/>
              <w:spacing w:line="240" w:lineRule="auto"/>
              <w:rPr>
                <w:bCs/>
                <w:i/>
                <w:snapToGrid w:val="0"/>
                <w:sz w:val="16"/>
                <w:szCs w:val="16"/>
              </w:rPr>
            </w:pPr>
            <w:r w:rsidRPr="00525E6C">
              <w:rPr>
                <w:bCs/>
                <w:i/>
                <w:snapToGrid w:val="0"/>
                <w:sz w:val="16"/>
                <w:szCs w:val="16"/>
              </w:rPr>
              <w:t xml:space="preserve">Number of </w:t>
            </w:r>
            <w:r w:rsidRPr="00525E6C">
              <w:rPr>
                <w:bCs/>
                <w:i/>
                <w:strike/>
                <w:snapToGrid w:val="0"/>
                <w:sz w:val="18"/>
                <w:szCs w:val="18"/>
              </w:rPr>
              <w:t>lamp</w:t>
            </w:r>
            <w:r w:rsidRPr="00525E6C">
              <w:rPr>
                <w:bCs/>
                <w:i/>
                <w:snapToGrid w:val="0"/>
                <w:sz w:val="18"/>
                <w:szCs w:val="18"/>
              </w:rPr>
              <w:t xml:space="preserve"> </w:t>
            </w:r>
            <w:r w:rsidRPr="00525E6C">
              <w:rPr>
                <w:b/>
                <w:bCs/>
                <w:i/>
                <w:snapToGrid w:val="0"/>
                <w:sz w:val="18"/>
                <w:szCs w:val="18"/>
              </w:rPr>
              <w:t xml:space="preserve">LED light sources </w:t>
            </w:r>
            <w:r w:rsidRPr="00525E6C">
              <w:rPr>
                <w:bCs/>
                <w:i/>
                <w:snapToGrid w:val="0"/>
                <w:sz w:val="16"/>
                <w:szCs w:val="16"/>
              </w:rPr>
              <w:t>in records</w:t>
            </w:r>
          </w:p>
        </w:tc>
        <w:tc>
          <w:tcPr>
            <w:tcW w:w="1247" w:type="dxa"/>
            <w:vAlign w:val="center"/>
          </w:tcPr>
          <w:p w:rsidR="008B2727" w:rsidRPr="00525E6C" w:rsidRDefault="008B2727" w:rsidP="0066271F">
            <w:pPr>
              <w:suppressAutoHyphens w:val="0"/>
              <w:spacing w:before="60" w:line="240" w:lineRule="auto"/>
              <w:rPr>
                <w:bCs/>
                <w:i/>
                <w:snapToGrid w:val="0"/>
                <w:sz w:val="16"/>
                <w:szCs w:val="16"/>
              </w:rPr>
            </w:pPr>
            <w:r w:rsidRPr="00525E6C">
              <w:rPr>
                <w:bCs/>
                <w:i/>
                <w:snapToGrid w:val="0"/>
                <w:sz w:val="16"/>
                <w:szCs w:val="16"/>
              </w:rPr>
              <w:t>Qualifying limit</w:t>
            </w:r>
          </w:p>
        </w:tc>
        <w:tc>
          <w:tcPr>
            <w:tcW w:w="1247" w:type="dxa"/>
            <w:vAlign w:val="center"/>
          </w:tcPr>
          <w:p w:rsidR="008B2727" w:rsidRPr="00525E6C" w:rsidRDefault="008B2727" w:rsidP="0066271F">
            <w:pPr>
              <w:suppressAutoHyphens w:val="0"/>
              <w:spacing w:line="240" w:lineRule="auto"/>
              <w:rPr>
                <w:bCs/>
                <w:i/>
                <w:snapToGrid w:val="0"/>
                <w:sz w:val="16"/>
                <w:szCs w:val="16"/>
              </w:rPr>
            </w:pPr>
            <w:r w:rsidRPr="00525E6C">
              <w:rPr>
                <w:bCs/>
                <w:i/>
                <w:snapToGrid w:val="0"/>
                <w:sz w:val="16"/>
                <w:szCs w:val="16"/>
              </w:rPr>
              <w:t xml:space="preserve">Number of </w:t>
            </w:r>
            <w:r w:rsidRPr="00525E6C">
              <w:rPr>
                <w:bCs/>
                <w:i/>
                <w:strike/>
                <w:snapToGrid w:val="0"/>
                <w:sz w:val="18"/>
                <w:szCs w:val="18"/>
              </w:rPr>
              <w:t>lamp</w:t>
            </w:r>
            <w:r w:rsidRPr="00525E6C">
              <w:rPr>
                <w:bCs/>
                <w:i/>
                <w:snapToGrid w:val="0"/>
                <w:sz w:val="18"/>
                <w:szCs w:val="18"/>
              </w:rPr>
              <w:t xml:space="preserve"> </w:t>
            </w:r>
            <w:r w:rsidRPr="00525E6C">
              <w:rPr>
                <w:b/>
                <w:bCs/>
                <w:i/>
                <w:snapToGrid w:val="0"/>
                <w:sz w:val="18"/>
                <w:szCs w:val="18"/>
              </w:rPr>
              <w:t xml:space="preserve">LED light sources </w:t>
            </w:r>
            <w:r w:rsidRPr="00525E6C">
              <w:rPr>
                <w:bCs/>
                <w:i/>
                <w:snapToGrid w:val="0"/>
                <w:sz w:val="16"/>
                <w:szCs w:val="16"/>
              </w:rPr>
              <w:t>in records</w:t>
            </w:r>
          </w:p>
        </w:tc>
        <w:tc>
          <w:tcPr>
            <w:tcW w:w="1247" w:type="dxa"/>
            <w:vAlign w:val="center"/>
          </w:tcPr>
          <w:p w:rsidR="008B2727" w:rsidRPr="00525E6C" w:rsidRDefault="008B2727" w:rsidP="0066271F">
            <w:pPr>
              <w:suppressAutoHyphens w:val="0"/>
              <w:spacing w:before="60" w:line="240" w:lineRule="auto"/>
              <w:rPr>
                <w:bCs/>
                <w:i/>
                <w:snapToGrid w:val="0"/>
                <w:sz w:val="16"/>
                <w:szCs w:val="16"/>
              </w:rPr>
            </w:pPr>
            <w:r w:rsidRPr="00525E6C">
              <w:rPr>
                <w:bCs/>
                <w:i/>
                <w:snapToGrid w:val="0"/>
                <w:sz w:val="16"/>
                <w:szCs w:val="16"/>
              </w:rPr>
              <w:t>Qualifying limit</w:t>
            </w:r>
          </w:p>
        </w:tc>
        <w:tc>
          <w:tcPr>
            <w:tcW w:w="1247" w:type="dxa"/>
            <w:vAlign w:val="center"/>
          </w:tcPr>
          <w:p w:rsidR="008B2727" w:rsidRPr="00525E6C" w:rsidRDefault="008B2727" w:rsidP="0066271F">
            <w:pPr>
              <w:suppressAutoHyphens w:val="0"/>
              <w:spacing w:line="240" w:lineRule="auto"/>
              <w:rPr>
                <w:bCs/>
                <w:i/>
                <w:snapToGrid w:val="0"/>
                <w:sz w:val="16"/>
                <w:szCs w:val="16"/>
              </w:rPr>
            </w:pPr>
            <w:r w:rsidRPr="00525E6C">
              <w:rPr>
                <w:bCs/>
                <w:i/>
                <w:snapToGrid w:val="0"/>
                <w:sz w:val="16"/>
                <w:szCs w:val="16"/>
              </w:rPr>
              <w:t xml:space="preserve">Number of </w:t>
            </w:r>
            <w:r w:rsidRPr="00525E6C">
              <w:rPr>
                <w:bCs/>
                <w:i/>
                <w:strike/>
                <w:snapToGrid w:val="0"/>
                <w:sz w:val="18"/>
                <w:szCs w:val="18"/>
              </w:rPr>
              <w:t>lamp</w:t>
            </w:r>
            <w:r w:rsidRPr="00525E6C">
              <w:rPr>
                <w:bCs/>
                <w:i/>
                <w:snapToGrid w:val="0"/>
                <w:sz w:val="18"/>
                <w:szCs w:val="18"/>
              </w:rPr>
              <w:t xml:space="preserve"> </w:t>
            </w:r>
            <w:r w:rsidRPr="00525E6C">
              <w:rPr>
                <w:b/>
                <w:bCs/>
                <w:i/>
                <w:snapToGrid w:val="0"/>
                <w:sz w:val="18"/>
                <w:szCs w:val="18"/>
              </w:rPr>
              <w:t xml:space="preserve">LED light sources </w:t>
            </w:r>
            <w:r w:rsidRPr="00525E6C">
              <w:rPr>
                <w:bCs/>
                <w:i/>
                <w:snapToGrid w:val="0"/>
                <w:sz w:val="16"/>
                <w:szCs w:val="16"/>
              </w:rPr>
              <w:t>in records</w:t>
            </w:r>
          </w:p>
        </w:tc>
        <w:tc>
          <w:tcPr>
            <w:tcW w:w="1247" w:type="dxa"/>
            <w:vAlign w:val="center"/>
          </w:tcPr>
          <w:p w:rsidR="008B2727" w:rsidRPr="00525E6C" w:rsidRDefault="008B2727" w:rsidP="0066271F">
            <w:pPr>
              <w:suppressAutoHyphens w:val="0"/>
              <w:spacing w:before="60" w:line="240" w:lineRule="auto"/>
              <w:rPr>
                <w:bCs/>
                <w:i/>
                <w:snapToGrid w:val="0"/>
                <w:sz w:val="16"/>
                <w:szCs w:val="16"/>
              </w:rPr>
            </w:pPr>
            <w:r w:rsidRPr="00525E6C">
              <w:rPr>
                <w:bCs/>
                <w:i/>
                <w:snapToGrid w:val="0"/>
                <w:sz w:val="16"/>
                <w:szCs w:val="16"/>
              </w:rPr>
              <w:t>Qualifying limit</w:t>
            </w:r>
          </w:p>
        </w:tc>
      </w:tr>
    </w:tbl>
    <w:p w:rsidR="00F9012C" w:rsidRPr="00525E6C" w:rsidRDefault="0060121A" w:rsidP="00E8581C">
      <w:pPr>
        <w:pStyle w:val="para0"/>
        <w:spacing w:before="120"/>
        <w:rPr>
          <w:lang w:val="en-US"/>
        </w:rPr>
      </w:pPr>
      <w:r w:rsidRPr="00525E6C">
        <w:rPr>
          <w:lang w:val="en-US"/>
        </w:rPr>
        <w:t>"</w:t>
      </w:r>
    </w:p>
    <w:p w:rsidR="00575D2C" w:rsidRPr="00525E6C" w:rsidRDefault="00914CE3" w:rsidP="00914CE3">
      <w:pPr>
        <w:pStyle w:val="HChG"/>
      </w:pPr>
      <w:r w:rsidRPr="00525E6C">
        <w:tab/>
      </w:r>
      <w:r w:rsidR="00575D2C" w:rsidRPr="00525E6C">
        <w:t>II.</w:t>
      </w:r>
      <w:r w:rsidR="00575D2C" w:rsidRPr="00525E6C">
        <w:tab/>
        <w:t>Justification</w:t>
      </w:r>
    </w:p>
    <w:p w:rsidR="006B5A40" w:rsidRPr="00525E6C" w:rsidRDefault="00525E6C" w:rsidP="00525E6C">
      <w:pPr>
        <w:suppressAutoHyphens w:val="0"/>
        <w:spacing w:before="120" w:after="120"/>
        <w:ind w:left="1134" w:right="1134" w:firstLine="567"/>
        <w:jc w:val="both"/>
        <w:rPr>
          <w:bCs/>
          <w:lang w:eastAsia="it-IT"/>
        </w:rPr>
      </w:pPr>
      <w:r w:rsidRPr="00525E6C">
        <w:rPr>
          <w:bCs/>
          <w:lang w:eastAsia="it-IT"/>
        </w:rPr>
        <w:t xml:space="preserve">This amendment is part of the proposal for simplification of the light source Regulations.  The justification of this proposal is attached to the justification of the draft Resolution on the common specifications of light source categories (ECE/TRANS/WP.29/GRE/2016/5).  </w:t>
      </w:r>
      <w:r w:rsidR="006B5A40" w:rsidRPr="00525E6C">
        <w:rPr>
          <w:bCs/>
          <w:lang w:eastAsia="it-IT"/>
        </w:rPr>
        <w:t xml:space="preserve"> </w:t>
      </w:r>
    </w:p>
    <w:p w:rsidR="002F0860" w:rsidRPr="00525E6C" w:rsidRDefault="002F0860" w:rsidP="002F0860">
      <w:pPr>
        <w:pStyle w:val="endnotetable"/>
        <w:spacing w:before="240" w:line="240" w:lineRule="atLeast"/>
        <w:ind w:firstLine="0"/>
        <w:jc w:val="center"/>
        <w:rPr>
          <w:u w:val="single"/>
        </w:rPr>
      </w:pPr>
      <w:bookmarkStart w:id="0" w:name="_GoBack"/>
      <w:bookmarkEnd w:id="0"/>
      <w:r w:rsidRPr="00525E6C">
        <w:rPr>
          <w:u w:val="single"/>
        </w:rPr>
        <w:tab/>
      </w:r>
      <w:r w:rsidRPr="00525E6C">
        <w:rPr>
          <w:u w:val="single"/>
        </w:rPr>
        <w:tab/>
      </w:r>
      <w:r w:rsidRPr="00525E6C">
        <w:rPr>
          <w:u w:val="single"/>
        </w:rPr>
        <w:tab/>
      </w:r>
    </w:p>
    <w:sectPr w:rsidR="002F0860" w:rsidRPr="00525E6C" w:rsidSect="005D68A6">
      <w:headerReference w:type="even" r:id="rId12"/>
      <w:headerReference w:type="default" r:id="rId13"/>
      <w:footerReference w:type="default" r:id="rId14"/>
      <w:headerReference w:type="first" r:id="rId1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AF" w:rsidRDefault="009506AF"/>
  </w:endnote>
  <w:endnote w:type="continuationSeparator" w:id="0">
    <w:p w:rsidR="009506AF" w:rsidRDefault="009506AF"/>
  </w:endnote>
  <w:endnote w:type="continuationNotice" w:id="1">
    <w:p w:rsidR="009506AF" w:rsidRDefault="00950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BB" w:rsidRDefault="005067BB">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F261D7">
      <w:rPr>
        <w:b/>
        <w:noProof/>
        <w:sz w:val="18"/>
      </w:rPr>
      <w:t>2</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003B38" w:rsidRDefault="00521ECC"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521ECC" w:rsidRPr="002C0FEE" w:rsidTr="00732AD2">
      <w:tc>
        <w:tcPr>
          <w:tcW w:w="3346" w:type="dxa"/>
        </w:tcPr>
        <w:p w:rsidR="00521ECC" w:rsidRPr="00503D4F" w:rsidRDefault="00521ECC" w:rsidP="00732AD2">
          <w:pPr>
            <w:pStyle w:val="Footer"/>
          </w:pPr>
          <w:r>
            <w:rPr>
              <w:noProof/>
              <w:lang w:val="en-GB" w:eastAsia="en-GB"/>
            </w:rPr>
            <w:drawing>
              <wp:inline distT="0" distB="0" distL="0" distR="0" wp14:anchorId="1A0351B9" wp14:editId="0C62DCAF">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521ECC" w:rsidRPr="00503D4F" w:rsidRDefault="00521ECC"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521ECC" w:rsidRPr="004E78A5" w:rsidRDefault="00521ECC" w:rsidP="00732AD2">
          <w:pPr>
            <w:pStyle w:val="Footer"/>
          </w:pPr>
          <w:r w:rsidRPr="004E78A5">
            <w:rPr>
              <w:rFonts w:ascii="Arial" w:hAnsi="Arial" w:cs="Arial"/>
              <w:sz w:val="20"/>
            </w:rPr>
            <w:t xml:space="preserve">Submitted by: </w:t>
          </w:r>
          <w:r>
            <w:rPr>
              <w:rFonts w:ascii="Arial" w:hAnsi="Arial" w:cs="Arial"/>
              <w:sz w:val="20"/>
            </w:rPr>
            <w:t>Ad de Visser</w:t>
          </w:r>
        </w:p>
      </w:tc>
    </w:tr>
  </w:tbl>
  <w:p w:rsidR="00521ECC" w:rsidRDefault="00521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A330CE" w:rsidRDefault="00521ECC"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F261D7">
      <w:rPr>
        <w:b/>
        <w:noProof/>
        <w:sz w:val="18"/>
      </w:rPr>
      <w:t>3</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AF" w:rsidRPr="000B175B" w:rsidRDefault="009506AF" w:rsidP="000B175B">
      <w:pPr>
        <w:tabs>
          <w:tab w:val="right" w:pos="2155"/>
        </w:tabs>
        <w:spacing w:after="80"/>
        <w:ind w:left="680"/>
        <w:rPr>
          <w:u w:val="single"/>
        </w:rPr>
      </w:pPr>
      <w:r>
        <w:rPr>
          <w:u w:val="single"/>
        </w:rPr>
        <w:tab/>
      </w:r>
    </w:p>
  </w:footnote>
  <w:footnote w:type="continuationSeparator" w:id="0">
    <w:p w:rsidR="009506AF" w:rsidRPr="00FC68B7" w:rsidRDefault="009506AF" w:rsidP="00FC68B7">
      <w:pPr>
        <w:tabs>
          <w:tab w:val="left" w:pos="2155"/>
        </w:tabs>
        <w:spacing w:after="80"/>
        <w:ind w:left="680"/>
        <w:rPr>
          <w:u w:val="single"/>
        </w:rPr>
      </w:pPr>
      <w:r>
        <w:rPr>
          <w:u w:val="single"/>
        </w:rPr>
        <w:tab/>
      </w:r>
    </w:p>
  </w:footnote>
  <w:footnote w:type="continuationNotice" w:id="1">
    <w:p w:rsidR="009506AF" w:rsidRDefault="009506AF"/>
  </w:footnote>
  <w:footnote w:id="2">
    <w:p w:rsidR="007D0A5D" w:rsidRDefault="007D0A5D" w:rsidP="007D0A5D">
      <w:pPr>
        <w:pStyle w:val="FootnoteText"/>
        <w:rPr>
          <w:lang w:val="en-US"/>
        </w:rPr>
      </w:pPr>
      <w:r>
        <w:tab/>
      </w:r>
      <w:r>
        <w:rPr>
          <w:rStyle w:val="FootnoteReference"/>
          <w:sz w:val="20"/>
          <w:lang w:val="en-US"/>
        </w:rPr>
        <w:t>*</w:t>
      </w:r>
      <w:r>
        <w:rPr>
          <w:sz w:val="20"/>
          <w:lang w:val="en-US"/>
        </w:rPr>
        <w:tab/>
      </w:r>
      <w:r w:rsidR="0005586D" w:rsidRPr="004306AA">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sidR="0005586D">
        <w:rPr>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6C395D" w:rsidRDefault="00607AFA" w:rsidP="006C395D">
    <w:pPr>
      <w:pStyle w:val="Header"/>
    </w:pPr>
    <w:r>
      <w:t>ECE/TRANS/WP.29/GRE/201</w:t>
    </w:r>
    <w:r w:rsidR="00525E6C">
      <w:t>6</w:t>
    </w:r>
    <w:r>
      <w:t>/</w:t>
    </w:r>
    <w:r w:rsidR="00525E6C">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6C395D" w:rsidRDefault="00607AFA" w:rsidP="00607AFA">
    <w:pPr>
      <w:pStyle w:val="Header"/>
      <w:jc w:val="right"/>
    </w:pPr>
    <w:r>
      <w:t>ECE/TRANS/WP.29/GRE/201</w:t>
    </w:r>
    <w:r w:rsidR="00525E6C">
      <w:t>6</w:t>
    </w:r>
    <w:r>
      <w:t>/</w:t>
    </w:r>
    <w:r w:rsidR="00525E6C">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7B4C72" w:rsidRDefault="00521ECC"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3F49C6"/>
    <w:multiLevelType w:val="singleLevel"/>
    <w:tmpl w:val="82A8E700"/>
    <w:lvl w:ilvl="0">
      <w:start w:val="1"/>
      <w:numFmt w:val="lowerRoman"/>
      <w:lvlText w:val="%1)"/>
      <w:lvlJc w:val="right"/>
      <w:pPr>
        <w:tabs>
          <w:tab w:val="num" w:pos="927"/>
        </w:tabs>
        <w:ind w:left="567" w:firstLine="0"/>
      </w:pPr>
    </w:lvl>
  </w:abstractNum>
  <w:abstractNum w:abstractNumId="14">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3">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19"/>
  </w:num>
  <w:num w:numId="3">
    <w:abstractNumId w:val="14"/>
  </w:num>
  <w:num w:numId="4">
    <w:abstractNumId w:val="24"/>
  </w:num>
  <w:num w:numId="5">
    <w:abstractNumId w:val="13"/>
  </w:num>
  <w:num w:numId="6">
    <w:abstractNumId w:val="11"/>
  </w:num>
  <w:num w:numId="7">
    <w:abstractNumId w:val="8"/>
  </w:num>
  <w:num w:numId="8">
    <w:abstractNumId w:val="20"/>
  </w:num>
  <w:num w:numId="9">
    <w:abstractNumId w:val="21"/>
  </w:num>
  <w:num w:numId="10">
    <w:abstractNumId w:val="16"/>
  </w:num>
  <w:num w:numId="11">
    <w:abstractNumId w:val="10"/>
  </w:num>
  <w:num w:numId="12">
    <w:abstractNumId w:val="18"/>
  </w:num>
  <w:num w:numId="13">
    <w:abstractNumId w:val="22"/>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3"/>
  </w:num>
  <w:num w:numId="24">
    <w:abstractNumId w:val="12"/>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6885"/>
    <w:rsid w:val="00347100"/>
    <w:rsid w:val="0035448A"/>
    <w:rsid w:val="00354A29"/>
    <w:rsid w:val="00354B00"/>
    <w:rsid w:val="0035743B"/>
    <w:rsid w:val="00360359"/>
    <w:rsid w:val="0036187E"/>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5CBB"/>
    <w:rsid w:val="008161CE"/>
    <w:rsid w:val="00816B39"/>
    <w:rsid w:val="008175E9"/>
    <w:rsid w:val="0081765E"/>
    <w:rsid w:val="008202FA"/>
    <w:rsid w:val="00820F00"/>
    <w:rsid w:val="00820FF1"/>
    <w:rsid w:val="00822087"/>
    <w:rsid w:val="00822231"/>
    <w:rsid w:val="00823F20"/>
    <w:rsid w:val="008240A3"/>
    <w:rsid w:val="008242D7"/>
    <w:rsid w:val="008244E6"/>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9001-CFA2-4AAC-98B0-0DB57850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4311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AFTER JUNE</dc:creator>
  <cp:lastModifiedBy>Benedicte Boudol</cp:lastModifiedBy>
  <cp:revision>2</cp:revision>
  <cp:lastPrinted>2015-08-06T09:27:00Z</cp:lastPrinted>
  <dcterms:created xsi:type="dcterms:W3CDTF">2016-01-22T09:07:00Z</dcterms:created>
  <dcterms:modified xsi:type="dcterms:W3CDTF">2016-01-22T09:07:00Z</dcterms:modified>
</cp:coreProperties>
</file>