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4535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45357" w:rsidP="00645357">
            <w:pPr>
              <w:jc w:val="right"/>
            </w:pPr>
            <w:r w:rsidRPr="00645357">
              <w:rPr>
                <w:sz w:val="40"/>
              </w:rPr>
              <w:t>ECE</w:t>
            </w:r>
            <w:r>
              <w:t>/TRANS/WP.29/GRB/2016/8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45357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45357" w:rsidRDefault="00645357" w:rsidP="00645357">
            <w:pPr>
              <w:spacing w:line="240" w:lineRule="exact"/>
            </w:pPr>
            <w:r>
              <w:t>14 juin 2016</w:t>
            </w:r>
          </w:p>
          <w:p w:rsidR="00645357" w:rsidRDefault="00645357" w:rsidP="00645357">
            <w:pPr>
              <w:spacing w:line="240" w:lineRule="exact"/>
            </w:pPr>
            <w:r>
              <w:t>Français</w:t>
            </w:r>
          </w:p>
          <w:p w:rsidR="00645357" w:rsidRPr="00DB58B5" w:rsidRDefault="00645357" w:rsidP="0064535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45357" w:rsidRDefault="0064535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45357" w:rsidRDefault="00645357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645357" w:rsidRDefault="00645357" w:rsidP="00F9573C">
      <w:pPr>
        <w:spacing w:before="120" w:line="240" w:lineRule="exact"/>
        <w:rPr>
          <w:b/>
        </w:rPr>
      </w:pPr>
      <w:r>
        <w:rPr>
          <w:b/>
        </w:rPr>
        <w:t>Soixante-quatrième session</w:t>
      </w:r>
    </w:p>
    <w:p w:rsidR="00645357" w:rsidRDefault="00645357" w:rsidP="00F9573C">
      <w:pPr>
        <w:spacing w:line="240" w:lineRule="exact"/>
      </w:pPr>
      <w:r>
        <w:t>Genève, 5-7 septembre 2016</w:t>
      </w:r>
    </w:p>
    <w:p w:rsidR="00645357" w:rsidRDefault="00645357" w:rsidP="00F9573C">
      <w:pPr>
        <w:spacing w:line="240" w:lineRule="exact"/>
      </w:pPr>
      <w:r>
        <w:t>Point 11 de l’ordre du jour</w:t>
      </w:r>
    </w:p>
    <w:p w:rsidR="005D6622" w:rsidRPr="003522E5" w:rsidRDefault="005D6622" w:rsidP="005D6622">
      <w:pPr>
        <w:rPr>
          <w:b/>
        </w:rPr>
      </w:pPr>
      <w:r w:rsidRPr="003522E5">
        <w:rPr>
          <w:b/>
          <w:lang w:eastAsia="ja-JP"/>
        </w:rPr>
        <w:t>Véhicules à moteur silencieux</w:t>
      </w:r>
    </w:p>
    <w:p w:rsidR="005D6622" w:rsidRPr="008C32A6" w:rsidRDefault="005D6622" w:rsidP="005D6622">
      <w:pPr>
        <w:pStyle w:val="H1G"/>
        <w:rPr>
          <w:spacing w:val="-2"/>
          <w:lang w:eastAsia="ja-JP"/>
        </w:rPr>
      </w:pPr>
      <w:r w:rsidRPr="005D6622">
        <w:tab/>
      </w:r>
      <w:r w:rsidRPr="005D6622">
        <w:tab/>
      </w:r>
      <w:r w:rsidRPr="008C32A6">
        <w:rPr>
          <w:spacing w:val="-2"/>
        </w:rPr>
        <w:t xml:space="preserve">Proposition de série </w:t>
      </w:r>
      <w:r w:rsidRPr="008C32A6">
        <w:rPr>
          <w:rFonts w:hint="eastAsia"/>
          <w:spacing w:val="-2"/>
          <w:lang w:eastAsia="ja-JP"/>
        </w:rPr>
        <w:t xml:space="preserve">01 </w:t>
      </w:r>
      <w:r w:rsidRPr="008C32A6">
        <w:rPr>
          <w:spacing w:val="-2"/>
          <w:lang w:eastAsia="ja-JP"/>
        </w:rPr>
        <w:t>d’amendements</w:t>
      </w:r>
      <w:r w:rsidRPr="008C32A6">
        <w:rPr>
          <w:spacing w:val="-2"/>
        </w:rPr>
        <w:t xml:space="preserve"> au nouveau Règlement </w:t>
      </w:r>
      <w:r w:rsidRPr="008C32A6">
        <w:rPr>
          <w:rFonts w:eastAsia="MS Mincho"/>
          <w:spacing w:val="-2"/>
        </w:rPr>
        <w:t>n</w:t>
      </w:r>
      <w:r w:rsidRPr="008C32A6">
        <w:rPr>
          <w:rFonts w:eastAsia="MS Mincho"/>
          <w:spacing w:val="-2"/>
          <w:vertAlign w:val="superscript"/>
        </w:rPr>
        <w:t>o</w:t>
      </w:r>
      <w:r w:rsidR="00863CED" w:rsidRPr="008C32A6">
        <w:rPr>
          <w:spacing w:val="-2"/>
        </w:rPr>
        <w:t> </w:t>
      </w:r>
      <w:r w:rsidRPr="008C32A6">
        <w:rPr>
          <w:spacing w:val="-2"/>
        </w:rPr>
        <w:t>[</w:t>
      </w:r>
      <w:r w:rsidRPr="008C32A6">
        <w:rPr>
          <w:spacing w:val="-2"/>
          <w:lang w:eastAsia="ja-JP"/>
        </w:rPr>
        <w:t>138]</w:t>
      </w:r>
    </w:p>
    <w:p w:rsidR="005D6622" w:rsidRPr="00DD0A7D" w:rsidRDefault="005D6622" w:rsidP="005D6622">
      <w:pPr>
        <w:pStyle w:val="H1G"/>
        <w:rPr>
          <w:lang w:eastAsia="ja-JP"/>
        </w:rPr>
      </w:pPr>
      <w:r w:rsidRPr="00DD0A7D">
        <w:tab/>
      </w:r>
      <w:r w:rsidRPr="00DD0A7D">
        <w:tab/>
        <w:t xml:space="preserve">Communication de l’expert du </w:t>
      </w:r>
      <w:r w:rsidRPr="00DD0A7D">
        <w:rPr>
          <w:rFonts w:hint="eastAsia"/>
          <w:lang w:eastAsia="ja-JP"/>
        </w:rPr>
        <w:t>Japon</w:t>
      </w:r>
      <w:r w:rsidRPr="005D6622">
        <w:rPr>
          <w:rStyle w:val="FootnoteReference"/>
          <w:b w:val="0"/>
          <w:sz w:val="20"/>
          <w:vertAlign w:val="baseline"/>
          <w:lang w:eastAsia="ja-JP"/>
        </w:rPr>
        <w:footnoteReference w:customMarkFollows="1" w:id="2"/>
        <w:t>*</w:t>
      </w:r>
    </w:p>
    <w:p w:rsidR="005D6622" w:rsidRPr="00DD0A7D" w:rsidRDefault="005D6622" w:rsidP="005D6622">
      <w:pPr>
        <w:pStyle w:val="SingleTxtG"/>
        <w:ind w:firstLine="567"/>
      </w:pPr>
      <w:r w:rsidRPr="00DD0A7D">
        <w:t xml:space="preserve">Le texte reproduit ci-après a été établi par l’expert du Japon </w:t>
      </w:r>
      <w:r>
        <w:t>à la suite d’</w:t>
      </w:r>
      <w:r w:rsidRPr="00DD0A7D">
        <w:t xml:space="preserve">un débat tenu à la soixante-troisième session du Groupe de travail du bruit </w:t>
      </w:r>
      <w:r w:rsidRPr="00DD0A7D">
        <w:rPr>
          <w:rFonts w:hint="eastAsia"/>
          <w:lang w:eastAsia="ja-JP"/>
        </w:rPr>
        <w:t>(</w:t>
      </w:r>
      <w:r w:rsidRPr="00DD0A7D">
        <w:t>ECE/TRANS/</w:t>
      </w:r>
      <w:r w:rsidR="008C32A6">
        <w:br/>
      </w:r>
      <w:r w:rsidRPr="00DD0A7D">
        <w:t>WP.29/GRB/61, par.</w:t>
      </w:r>
      <w:r w:rsidR="008C32A6">
        <w:t> </w:t>
      </w:r>
      <w:r w:rsidRPr="00DD0A7D">
        <w:t>19</w:t>
      </w:r>
      <w:r w:rsidRPr="00DD0A7D">
        <w:rPr>
          <w:rFonts w:hint="eastAsia"/>
          <w:lang w:eastAsia="ja-JP"/>
        </w:rPr>
        <w:t xml:space="preserve">) </w:t>
      </w:r>
      <w:r w:rsidRPr="00DD0A7D">
        <w:rPr>
          <w:lang w:eastAsia="ja-JP"/>
        </w:rPr>
        <w:t>concernant l’interdiction de la commande de</w:t>
      </w:r>
      <w:r w:rsidRPr="00DD0A7D">
        <w:rPr>
          <w:rFonts w:hint="eastAsia"/>
          <w:lang w:eastAsia="ja-JP"/>
        </w:rPr>
        <w:t xml:space="preserve"> pause </w:t>
      </w:r>
      <w:r w:rsidRPr="00DD0A7D">
        <w:rPr>
          <w:lang w:eastAsia="ja-JP"/>
        </w:rPr>
        <w:t xml:space="preserve">dans le Règlement </w:t>
      </w:r>
      <w:r w:rsidR="008C32A6" w:rsidRPr="008C32A6">
        <w:rPr>
          <w:rFonts w:eastAsia="MS Mincho"/>
          <w:szCs w:val="22"/>
          <w:lang w:eastAsia="ja-JP"/>
        </w:rPr>
        <w:t>n</w:t>
      </w:r>
      <w:r w:rsidR="008C32A6" w:rsidRPr="008C32A6">
        <w:rPr>
          <w:rFonts w:eastAsia="MS Mincho"/>
          <w:szCs w:val="22"/>
          <w:vertAlign w:val="superscript"/>
          <w:lang w:eastAsia="ja-JP"/>
        </w:rPr>
        <w:t>o</w:t>
      </w:r>
      <w:r w:rsidR="008C32A6">
        <w:rPr>
          <w:lang w:eastAsia="ja-JP"/>
        </w:rPr>
        <w:t> </w:t>
      </w:r>
      <w:r w:rsidRPr="00DD0A7D">
        <w:rPr>
          <w:lang w:eastAsia="ja-JP"/>
        </w:rPr>
        <w:t>[</w:t>
      </w:r>
      <w:r w:rsidRPr="00DD0A7D">
        <w:rPr>
          <w:rFonts w:hint="eastAsia"/>
          <w:lang w:eastAsia="ja-JP"/>
        </w:rPr>
        <w:t>1</w:t>
      </w:r>
      <w:r w:rsidRPr="00DD0A7D">
        <w:rPr>
          <w:lang w:eastAsia="ja-JP"/>
        </w:rPr>
        <w:t>38]</w:t>
      </w:r>
      <w:r w:rsidRPr="00DD0A7D">
        <w:rPr>
          <w:rFonts w:hint="eastAsia"/>
          <w:lang w:eastAsia="ja-JP"/>
        </w:rPr>
        <w:t xml:space="preserve"> (</w:t>
      </w:r>
      <w:r w:rsidRPr="00DD0A7D">
        <w:rPr>
          <w:lang w:eastAsia="ja-JP"/>
        </w:rPr>
        <w:t xml:space="preserve">Véhicules </w:t>
      </w:r>
      <w:r>
        <w:rPr>
          <w:lang w:eastAsia="ja-JP"/>
        </w:rPr>
        <w:t>à moteur</w:t>
      </w:r>
      <w:r w:rsidRPr="00DD0A7D">
        <w:rPr>
          <w:lang w:eastAsia="ja-JP"/>
        </w:rPr>
        <w:t xml:space="preserve"> silencieux</w:t>
      </w:r>
      <w:r w:rsidRPr="00DD0A7D">
        <w:rPr>
          <w:rFonts w:hint="eastAsia"/>
          <w:lang w:eastAsia="ja-JP"/>
        </w:rPr>
        <w:t>).</w:t>
      </w:r>
      <w:r w:rsidRPr="00DD0A7D">
        <w:t xml:space="preserve"> Les modifications qu’il est </w:t>
      </w:r>
      <w:r>
        <w:t>proposé</w:t>
      </w:r>
      <w:r w:rsidRPr="00DD0A7D">
        <w:t xml:space="preserve"> d’apporter au texte actuel du Règlement (ECE/TRANS/WP.29/2016/26) </w:t>
      </w:r>
      <w:r w:rsidRPr="00DD0A7D">
        <w:rPr>
          <w:lang w:val="fr-FR"/>
        </w:rPr>
        <w:t>sont signalées en caractères gras pour les ajouts ou biffés pour les suppressions</w:t>
      </w:r>
      <w:r w:rsidRPr="00DD0A7D">
        <w:t>.</w:t>
      </w:r>
    </w:p>
    <w:p w:rsidR="005D6622" w:rsidRPr="00DD0A7D" w:rsidRDefault="005D6622" w:rsidP="005D6622">
      <w:pPr>
        <w:pStyle w:val="HChG"/>
      </w:pPr>
      <w:r>
        <w:br w:type="page"/>
      </w:r>
      <w:r w:rsidRPr="00DD0A7D">
        <w:lastRenderedPageBreak/>
        <w:tab/>
        <w:t>I.</w:t>
      </w:r>
      <w:r w:rsidRPr="00DD0A7D">
        <w:tab/>
        <w:t>Pro</w:t>
      </w:r>
      <w:r>
        <w:t>position</w:t>
      </w:r>
    </w:p>
    <w:p w:rsidR="005D6622" w:rsidRPr="00DD0A7D" w:rsidRDefault="005D6622" w:rsidP="00851819">
      <w:pPr>
        <w:pStyle w:val="SingleTxtG"/>
        <w:rPr>
          <w:i/>
        </w:rPr>
      </w:pPr>
      <w:r>
        <w:rPr>
          <w:i/>
        </w:rPr>
        <w:t>Paragraphe</w:t>
      </w:r>
      <w:r w:rsidRPr="00DD0A7D">
        <w:rPr>
          <w:i/>
        </w:rPr>
        <w:t xml:space="preserve"> 2.</w:t>
      </w:r>
      <w:r w:rsidRPr="00DD0A7D">
        <w:rPr>
          <w:rFonts w:hint="eastAsia"/>
          <w:i/>
          <w:lang w:eastAsia="ja-JP"/>
        </w:rPr>
        <w:t>7</w:t>
      </w:r>
      <w:r w:rsidRPr="002D5B0B">
        <w:t>,</w:t>
      </w:r>
      <w:r w:rsidRPr="00DD0A7D">
        <w:rPr>
          <w:i/>
        </w:rPr>
        <w:t xml:space="preserve"> </w:t>
      </w:r>
      <w:proofErr w:type="gramStart"/>
      <w:r>
        <w:t>modifier</w:t>
      </w:r>
      <w:proofErr w:type="gramEnd"/>
      <w:r>
        <w:t xml:space="preserve"> comme suit </w:t>
      </w:r>
      <w:r>
        <w:rPr>
          <w:iCs/>
        </w:rPr>
        <w:t>:</w:t>
      </w:r>
    </w:p>
    <w:p w:rsidR="005D6622" w:rsidRPr="00DD0A7D" w:rsidRDefault="005D6622" w:rsidP="00851819">
      <w:pPr>
        <w:pStyle w:val="SingleTxtG"/>
        <w:ind w:left="2268" w:hanging="1134"/>
        <w:rPr>
          <w:i/>
          <w:lang w:eastAsia="ja-JP"/>
        </w:rPr>
      </w:pPr>
      <w:r>
        <w:t>« </w:t>
      </w:r>
      <w:r w:rsidRPr="00DD0A7D">
        <w:t>2.</w:t>
      </w:r>
      <w:r w:rsidRPr="00DD0A7D">
        <w:rPr>
          <w:rFonts w:hint="eastAsia"/>
          <w:lang w:eastAsia="ja-JP"/>
        </w:rPr>
        <w:t>7</w:t>
      </w:r>
      <w:r w:rsidRPr="00DD0A7D">
        <w:tab/>
      </w:r>
      <w:r w:rsidRPr="007C29BE">
        <w:rPr>
          <w:lang w:val="fr-FR"/>
        </w:rPr>
        <w:t>“</w:t>
      </w:r>
      <w:r w:rsidRPr="007C29BE">
        <w:rPr>
          <w:i/>
          <w:lang w:val="fr-FR"/>
        </w:rPr>
        <w:t xml:space="preserve">Commande de </w:t>
      </w:r>
      <w:r>
        <w:rPr>
          <w:i/>
          <w:lang w:val="fr-FR"/>
        </w:rPr>
        <w:t xml:space="preserve">mise en </w:t>
      </w:r>
      <w:r w:rsidRPr="007C29BE">
        <w:rPr>
          <w:i/>
          <w:lang w:val="fr-FR"/>
        </w:rPr>
        <w:t>pause</w:t>
      </w:r>
      <w:r w:rsidRPr="007C29BE">
        <w:rPr>
          <w:lang w:val="fr-FR"/>
        </w:rPr>
        <w:t xml:space="preserve">”, une commande permettant </w:t>
      </w:r>
      <w:r w:rsidRPr="007C29BE">
        <w:rPr>
          <w:strike/>
          <w:lang w:val="fr-FR"/>
        </w:rPr>
        <w:t>de suspendre</w:t>
      </w:r>
      <w:r w:rsidRPr="007C29BE">
        <w:rPr>
          <w:lang w:val="fr-FR"/>
        </w:rPr>
        <w:t xml:space="preserve"> </w:t>
      </w:r>
      <w:r w:rsidRPr="00542E09">
        <w:rPr>
          <w:b/>
          <w:lang w:val="fr-FR"/>
        </w:rPr>
        <w:t>d’interrompre</w:t>
      </w:r>
      <w:r>
        <w:rPr>
          <w:lang w:val="fr-FR"/>
        </w:rPr>
        <w:t xml:space="preserve"> </w:t>
      </w:r>
      <w:r w:rsidRPr="007C29BE">
        <w:rPr>
          <w:lang w:val="fr-FR"/>
        </w:rPr>
        <w:t>le fonctionnement d’un système avertisseur sonore</w:t>
      </w:r>
      <w:r w:rsidR="008C32A6">
        <w:rPr>
          <w:lang w:val="fr-FR"/>
        </w:rPr>
        <w:t> </w:t>
      </w:r>
      <w:r w:rsidRPr="007C29BE">
        <w:rPr>
          <w:lang w:val="fr-FR"/>
        </w:rPr>
        <w:t>;</w:t>
      </w:r>
      <w:r>
        <w:t> ».</w:t>
      </w:r>
    </w:p>
    <w:p w:rsidR="005D6622" w:rsidRPr="00DD0A7D" w:rsidRDefault="005D6622" w:rsidP="00851819">
      <w:pPr>
        <w:pStyle w:val="SingleTxtG"/>
        <w:rPr>
          <w:i/>
        </w:rPr>
      </w:pPr>
      <w:r>
        <w:rPr>
          <w:i/>
        </w:rPr>
        <w:t>Paragraphe 6.2.6</w:t>
      </w:r>
      <w:r w:rsidRPr="002D5B0B">
        <w:t>,</w:t>
      </w:r>
      <w:r w:rsidRPr="00DD0A7D">
        <w:rPr>
          <w:i/>
        </w:rPr>
        <w:t xml:space="preserve"> </w:t>
      </w:r>
      <w:proofErr w:type="gramStart"/>
      <w:r>
        <w:t>modifier</w:t>
      </w:r>
      <w:proofErr w:type="gramEnd"/>
      <w:r>
        <w:t xml:space="preserve"> comme suit </w:t>
      </w:r>
      <w:r>
        <w:rPr>
          <w:iCs/>
        </w:rPr>
        <w:t>:</w:t>
      </w:r>
    </w:p>
    <w:p w:rsidR="005D6622" w:rsidRPr="00DD0A7D" w:rsidRDefault="005D6622" w:rsidP="00851819">
      <w:pPr>
        <w:pStyle w:val="SingleTxtG"/>
        <w:ind w:left="2268" w:hanging="1134"/>
      </w:pPr>
      <w:r>
        <w:t>« 6.2.6</w:t>
      </w:r>
      <w:r w:rsidRPr="00DD0A7D">
        <w:tab/>
      </w:r>
      <w:proofErr w:type="spellStart"/>
      <w:r w:rsidRPr="007C29BE">
        <w:rPr>
          <w:strike/>
          <w:lang w:val="fr-FR"/>
        </w:rPr>
        <w:t>C</w:t>
      </w:r>
      <w:r w:rsidRPr="00542E09">
        <w:rPr>
          <w:b/>
          <w:lang w:val="fr-FR"/>
        </w:rPr>
        <w:t>L’installation</w:t>
      </w:r>
      <w:proofErr w:type="spellEnd"/>
      <w:r w:rsidRPr="00542E09">
        <w:rPr>
          <w:b/>
          <w:lang w:val="fr-FR"/>
        </w:rPr>
        <w:t xml:space="preserve"> sur le véhicule d’une c</w:t>
      </w:r>
      <w:r w:rsidRPr="007C29BE">
        <w:rPr>
          <w:lang w:val="fr-FR"/>
        </w:rPr>
        <w:t xml:space="preserve">ommande de </w:t>
      </w:r>
      <w:r>
        <w:rPr>
          <w:lang w:val="fr-FR"/>
        </w:rPr>
        <w:t xml:space="preserve">mise en </w:t>
      </w:r>
      <w:r w:rsidRPr="007C29BE">
        <w:rPr>
          <w:lang w:val="fr-FR"/>
        </w:rPr>
        <w:t>pause</w:t>
      </w:r>
      <w:r w:rsidRPr="007C29BE">
        <w:rPr>
          <w:rFonts w:hint="eastAsia"/>
        </w:rPr>
        <w:t xml:space="preserve"> </w:t>
      </w:r>
      <w:r w:rsidRPr="00542E09">
        <w:rPr>
          <w:b/>
          <w:lang w:eastAsia="ja-JP"/>
        </w:rPr>
        <w:t>est interdite</w:t>
      </w:r>
      <w:r w:rsidRPr="00542E09">
        <w:rPr>
          <w:b/>
        </w:rPr>
        <w:t>.</w:t>
      </w:r>
    </w:p>
    <w:p w:rsidR="005D6622" w:rsidRPr="00DD0A7D" w:rsidRDefault="005D6622" w:rsidP="00851819">
      <w:pPr>
        <w:pStyle w:val="SingleTxtG"/>
        <w:ind w:left="2268"/>
        <w:rPr>
          <w:strike/>
        </w:rPr>
      </w:pPr>
      <w:r w:rsidRPr="007C29BE">
        <w:rPr>
          <w:strike/>
          <w:lang w:val="fr-FR"/>
        </w:rPr>
        <w:t>Le constructeur peut équiper le véhicule d’une commande de désactivation temporaire du système avertisseur sonore.</w:t>
      </w:r>
      <w:r w:rsidRPr="00DD0A7D">
        <w:rPr>
          <w:strike/>
        </w:rPr>
        <w:t xml:space="preserve"> </w:t>
      </w:r>
      <w:r>
        <w:rPr>
          <w:strike/>
        </w:rPr>
        <w:t>Toute</w:t>
      </w:r>
      <w:r w:rsidRPr="007C29BE">
        <w:rPr>
          <w:strike/>
          <w:lang w:val="fr-FR"/>
        </w:rPr>
        <w:t xml:space="preserve"> commande de désactivation qui ne répond pas aux prescriptions ci-après est interdite</w:t>
      </w:r>
      <w:r w:rsidRPr="00DD0A7D">
        <w:rPr>
          <w:strike/>
        </w:rPr>
        <w:t>.</w:t>
      </w:r>
    </w:p>
    <w:p w:rsidR="005D6622" w:rsidRPr="00DD0A7D" w:rsidRDefault="005D6622" w:rsidP="00851819">
      <w:pPr>
        <w:pStyle w:val="SingleTxtG"/>
        <w:ind w:left="2268" w:hanging="1134"/>
        <w:rPr>
          <w:strike/>
        </w:rPr>
      </w:pPr>
      <w:r w:rsidRPr="00DD0A7D">
        <w:rPr>
          <w:strike/>
        </w:rPr>
        <w:t>6.2.6.1</w:t>
      </w:r>
      <w:r w:rsidRPr="00DD0A7D">
        <w:tab/>
      </w:r>
      <w:r w:rsidRPr="007C29BE">
        <w:rPr>
          <w:strike/>
          <w:lang w:val="fr-FR"/>
        </w:rPr>
        <w:t>La commande doit être placée de manière à pouvoir être actionnée par le conducteur en position assise normale</w:t>
      </w:r>
      <w:r w:rsidRPr="00DD0A7D">
        <w:rPr>
          <w:strike/>
        </w:rPr>
        <w:t>.</w:t>
      </w:r>
    </w:p>
    <w:p w:rsidR="005D6622" w:rsidRPr="00DD0A7D" w:rsidRDefault="005D6622" w:rsidP="00851819">
      <w:pPr>
        <w:pStyle w:val="SingleTxtG"/>
        <w:ind w:left="2268" w:hanging="1134"/>
        <w:rPr>
          <w:strike/>
        </w:rPr>
      </w:pPr>
      <w:r w:rsidRPr="00DD0A7D">
        <w:rPr>
          <w:strike/>
        </w:rPr>
        <w:t>6.2.6.2</w:t>
      </w:r>
      <w:r w:rsidRPr="00DD0A7D">
        <w:tab/>
      </w:r>
      <w:r w:rsidRPr="007C29BE">
        <w:rPr>
          <w:strike/>
          <w:lang w:val="fr-FR"/>
        </w:rPr>
        <w:t>Lorsque la commande de pause est actionnée, la désactivation du système avertisseur sonore doit être clairement indiquée au conducteur</w:t>
      </w:r>
      <w:r w:rsidRPr="00DD0A7D">
        <w:rPr>
          <w:strike/>
        </w:rPr>
        <w:t>.</w:t>
      </w:r>
    </w:p>
    <w:p w:rsidR="005D6622" w:rsidRPr="00DD0A7D" w:rsidRDefault="005D6622" w:rsidP="00851819">
      <w:pPr>
        <w:pStyle w:val="SingleTxtG"/>
        <w:ind w:left="2268" w:hanging="1134"/>
        <w:rPr>
          <w:strike/>
        </w:rPr>
      </w:pPr>
      <w:r w:rsidRPr="00DD0A7D">
        <w:rPr>
          <w:strike/>
        </w:rPr>
        <w:t>6.2.6.3</w:t>
      </w:r>
      <w:r w:rsidRPr="00DD0A7D">
        <w:tab/>
      </w:r>
      <w:r w:rsidRPr="007C29BE">
        <w:rPr>
          <w:strike/>
          <w:lang w:val="fr-FR"/>
        </w:rPr>
        <w:t>Le système avertisseur sonore doit être réactivé à chaque redémarrage du véhicule</w:t>
      </w:r>
      <w:r w:rsidRPr="00DD0A7D">
        <w:rPr>
          <w:strike/>
        </w:rPr>
        <w:t>.</w:t>
      </w:r>
    </w:p>
    <w:p w:rsidR="005D6622" w:rsidRPr="00DD0A7D" w:rsidRDefault="005D6622" w:rsidP="00851819">
      <w:pPr>
        <w:pStyle w:val="SingleTxtG"/>
        <w:ind w:left="2268" w:hanging="1134"/>
        <w:rPr>
          <w:strike/>
        </w:rPr>
      </w:pPr>
      <w:r w:rsidRPr="00DD0A7D">
        <w:rPr>
          <w:strike/>
        </w:rPr>
        <w:t>6.2.6.4</w:t>
      </w:r>
      <w:r>
        <w:rPr>
          <w:strike/>
        </w:rPr>
        <w:tab/>
      </w:r>
      <w:r w:rsidRPr="00DD0A7D">
        <w:tab/>
      </w:r>
      <w:r>
        <w:rPr>
          <w:strike/>
        </w:rPr>
        <w:t>Notice d’emploi</w:t>
      </w:r>
    </w:p>
    <w:p w:rsidR="005D6622" w:rsidRPr="00DD0A7D" w:rsidRDefault="005D6622" w:rsidP="00851819">
      <w:pPr>
        <w:pStyle w:val="SingleTxtG"/>
        <w:ind w:left="2268"/>
        <w:rPr>
          <w:strike/>
        </w:rPr>
      </w:pPr>
      <w:r w:rsidRPr="007C29BE">
        <w:rPr>
          <w:strike/>
          <w:lang w:val="fr-FR"/>
        </w:rPr>
        <w:t>Lorsque le véhicule est équipé d’une commande de pause, le constructeur doit fournir au propriétaire des indications sur l’effet qu’elle produit (dans le manuel d’utilis</w:t>
      </w:r>
      <w:r>
        <w:rPr>
          <w:strike/>
          <w:lang w:val="fr-FR"/>
        </w:rPr>
        <w:t>ation du véhicule, par exemple) </w:t>
      </w:r>
      <w:r w:rsidRPr="007C29BE">
        <w:rPr>
          <w:strike/>
          <w:lang w:val="fr-FR"/>
        </w:rPr>
        <w:t>:</w:t>
      </w:r>
    </w:p>
    <w:p w:rsidR="005D6622" w:rsidRPr="00DD0A7D" w:rsidRDefault="005D6622" w:rsidP="00851819">
      <w:pPr>
        <w:pStyle w:val="SingleTxtG"/>
        <w:ind w:left="2268"/>
        <w:rPr>
          <w:strike/>
          <w:lang w:eastAsia="ja-JP"/>
        </w:rPr>
      </w:pPr>
      <w:r w:rsidRPr="007C29BE">
        <w:rPr>
          <w:strike/>
          <w:lang w:val="fr-FR"/>
        </w:rPr>
        <w:t>“La commande de pause du système avertisseur sonore ne doit pas être utilisée à moins qu’il soit manifestement inutile d’émettre une alerte sonore autour du véhicule et que l’on soit certain qu’aucun piéton ne se trouve à proximité de ce dernier”.</w:t>
      </w:r>
      <w:r>
        <w:t> ».</w:t>
      </w:r>
    </w:p>
    <w:p w:rsidR="005D6622" w:rsidRPr="00DD0A7D" w:rsidRDefault="005D6622" w:rsidP="00851819">
      <w:pPr>
        <w:pStyle w:val="SingleTxtG"/>
        <w:rPr>
          <w:iCs/>
          <w:lang w:eastAsia="ja-JP"/>
        </w:rPr>
      </w:pPr>
      <w:r>
        <w:rPr>
          <w:i/>
        </w:rPr>
        <w:t>Paragraphe</w:t>
      </w:r>
      <w:r w:rsidRPr="00DD0A7D">
        <w:rPr>
          <w:i/>
        </w:rPr>
        <w:t xml:space="preserve"> </w:t>
      </w:r>
      <w:r w:rsidRPr="00DD0A7D">
        <w:rPr>
          <w:rFonts w:hint="eastAsia"/>
          <w:i/>
          <w:lang w:eastAsia="ja-JP"/>
        </w:rPr>
        <w:t>11</w:t>
      </w:r>
      <w:r w:rsidRPr="002D5B0B">
        <w:t>,</w:t>
      </w:r>
      <w:r w:rsidRPr="00DD0A7D">
        <w:rPr>
          <w:i/>
        </w:rPr>
        <w:t xml:space="preserve"> </w:t>
      </w:r>
      <w:proofErr w:type="gramStart"/>
      <w:r>
        <w:t>modifier</w:t>
      </w:r>
      <w:proofErr w:type="gramEnd"/>
      <w:r>
        <w:t xml:space="preserve"> comme suit </w:t>
      </w:r>
      <w:r w:rsidRPr="00DD0A7D">
        <w:rPr>
          <w:iCs/>
        </w:rPr>
        <w:t>:</w:t>
      </w:r>
    </w:p>
    <w:p w:rsidR="005D6622" w:rsidRPr="00DD0A7D" w:rsidRDefault="005D6622" w:rsidP="00851819">
      <w:pPr>
        <w:pStyle w:val="SingleTxtG"/>
        <w:ind w:left="2268" w:hanging="1134"/>
        <w:rPr>
          <w:i/>
          <w:lang w:eastAsia="ja-JP"/>
        </w:rPr>
      </w:pPr>
      <w:r>
        <w:rPr>
          <w:iCs/>
          <w:lang w:eastAsia="ja-JP"/>
        </w:rPr>
        <w:t>« </w:t>
      </w:r>
      <w:r w:rsidRPr="00DD0A7D">
        <w:rPr>
          <w:rFonts w:hint="eastAsia"/>
          <w:iCs/>
          <w:lang w:eastAsia="ja-JP"/>
        </w:rPr>
        <w:t>11.</w:t>
      </w:r>
      <w:r w:rsidRPr="00DD0A7D">
        <w:rPr>
          <w:rFonts w:hint="eastAsia"/>
          <w:iCs/>
          <w:lang w:eastAsia="ja-JP"/>
        </w:rPr>
        <w:tab/>
      </w:r>
      <w:r w:rsidRPr="00DD0A7D">
        <w:rPr>
          <w:iCs/>
          <w:lang w:eastAsia="ja-JP"/>
        </w:rPr>
        <w:tab/>
      </w:r>
      <w:r>
        <w:rPr>
          <w:iCs/>
          <w:lang w:eastAsia="ja-JP"/>
        </w:rPr>
        <w:t>Dispositions transitoires</w:t>
      </w:r>
    </w:p>
    <w:p w:rsidR="005D6622" w:rsidRPr="00DD0A7D" w:rsidRDefault="005D6622" w:rsidP="00851819">
      <w:pPr>
        <w:pStyle w:val="SingleTxtG"/>
        <w:ind w:left="2268" w:hanging="1134"/>
        <w:rPr>
          <w:lang w:eastAsia="ja-JP"/>
        </w:rPr>
      </w:pPr>
      <w:r w:rsidRPr="00542E09">
        <w:rPr>
          <w:rFonts w:hint="eastAsia"/>
          <w:b/>
          <w:lang w:eastAsia="ja-JP"/>
        </w:rPr>
        <w:t>11.1</w:t>
      </w:r>
      <w:r w:rsidRPr="00DD0A7D">
        <w:rPr>
          <w:rFonts w:hint="eastAsia"/>
          <w:lang w:eastAsia="ja-JP"/>
        </w:rPr>
        <w:tab/>
      </w:r>
      <w:r w:rsidRPr="00DD0A7D">
        <w:rPr>
          <w:lang w:eastAsia="ja-JP"/>
        </w:rPr>
        <w:tab/>
      </w:r>
      <w:r w:rsidRPr="00472B62">
        <w:rPr>
          <w:lang w:val="fr-FR" w:eastAsia="ja-JP"/>
        </w:rPr>
        <w:t>Jusqu’au 30</w:t>
      </w:r>
      <w:r w:rsidR="008C32A6">
        <w:rPr>
          <w:lang w:val="fr-FR" w:eastAsia="ja-JP"/>
        </w:rPr>
        <w:t> </w:t>
      </w:r>
      <w:r w:rsidRPr="00472B62">
        <w:rPr>
          <w:lang w:val="fr-FR" w:eastAsia="ja-JP"/>
        </w:rPr>
        <w:t>juin 2019, la norme ISO</w:t>
      </w:r>
      <w:r w:rsidR="008C32A6">
        <w:rPr>
          <w:lang w:val="fr-FR" w:eastAsia="ja-JP"/>
        </w:rPr>
        <w:t> </w:t>
      </w:r>
      <w:r w:rsidRPr="00472B62">
        <w:rPr>
          <w:lang w:val="fr-FR" w:eastAsia="ja-JP"/>
        </w:rPr>
        <w:t>10844:1994 peut être appliquée à la place de la norme ISO</w:t>
      </w:r>
      <w:r w:rsidR="008C32A6">
        <w:rPr>
          <w:lang w:val="fr-FR" w:eastAsia="ja-JP"/>
        </w:rPr>
        <w:t> </w:t>
      </w:r>
      <w:r w:rsidRPr="00472B62">
        <w:rPr>
          <w:lang w:val="fr-FR" w:eastAsia="ja-JP"/>
        </w:rPr>
        <w:t>10844:2014 pour vérifier la conformité de la piste d’essai comme prescrit au paragraphe 2.1.2 de l’annexe 3 du présent Règlement</w:t>
      </w:r>
      <w:r w:rsidRPr="00DD0A7D">
        <w:rPr>
          <w:lang w:eastAsia="ja-JP"/>
        </w:rPr>
        <w:t>.</w:t>
      </w:r>
    </w:p>
    <w:p w:rsidR="005D6622" w:rsidRPr="00542E09" w:rsidRDefault="005D6622" w:rsidP="00851819">
      <w:pPr>
        <w:pStyle w:val="SingleTxtG"/>
        <w:ind w:left="2268" w:hanging="1134"/>
        <w:rPr>
          <w:b/>
          <w:lang w:eastAsia="ja-JP"/>
        </w:rPr>
      </w:pPr>
      <w:r w:rsidRPr="00542E09">
        <w:rPr>
          <w:rFonts w:hint="eastAsia"/>
          <w:b/>
          <w:lang w:eastAsia="ja-JP"/>
        </w:rPr>
        <w:t>11</w:t>
      </w:r>
      <w:r w:rsidRPr="00542E09">
        <w:rPr>
          <w:b/>
        </w:rPr>
        <w:t>.2</w:t>
      </w:r>
      <w:r w:rsidRPr="00542E09">
        <w:rPr>
          <w:b/>
        </w:rPr>
        <w:tab/>
      </w:r>
      <w:r w:rsidRPr="00542E09">
        <w:rPr>
          <w:b/>
        </w:rPr>
        <w:tab/>
      </w:r>
      <w:r w:rsidRPr="00542E09">
        <w:rPr>
          <w:b/>
          <w:szCs w:val="21"/>
        </w:rPr>
        <w:t>À compter de la date officielle d’entr</w:t>
      </w:r>
      <w:r w:rsidR="008C32A6">
        <w:rPr>
          <w:b/>
          <w:szCs w:val="21"/>
        </w:rPr>
        <w:t xml:space="preserve">ée en vigueur de la série </w:t>
      </w:r>
      <w:r w:rsidRPr="00542E09">
        <w:rPr>
          <w:b/>
          <w:szCs w:val="21"/>
        </w:rPr>
        <w:t>01 d’amendements, aucune Partie contractante appliquant le présent Règlement ne pourra refuser d’accorder ou d’accepter des homologations de types délivrées en vertu du présent Règlement modifié par ladite série</w:t>
      </w:r>
      <w:r w:rsidR="008C32A6">
        <w:rPr>
          <w:b/>
          <w:szCs w:val="21"/>
        </w:rPr>
        <w:t xml:space="preserve"> </w:t>
      </w:r>
      <w:r w:rsidRPr="00542E09">
        <w:rPr>
          <w:b/>
          <w:szCs w:val="21"/>
        </w:rPr>
        <w:t>d’amendements.</w:t>
      </w:r>
    </w:p>
    <w:p w:rsidR="005D6622" w:rsidRPr="00542E09" w:rsidRDefault="005D6622" w:rsidP="00851819">
      <w:pPr>
        <w:pStyle w:val="SingleTxtG"/>
        <w:ind w:left="2268" w:hanging="1134"/>
        <w:rPr>
          <w:b/>
          <w:lang w:eastAsia="ja-JP"/>
        </w:rPr>
      </w:pPr>
      <w:r w:rsidRPr="00542E09">
        <w:rPr>
          <w:rFonts w:hint="eastAsia"/>
          <w:b/>
          <w:lang w:eastAsia="ja-JP"/>
        </w:rPr>
        <w:t>11.3</w:t>
      </w:r>
      <w:r w:rsidRPr="00542E09">
        <w:rPr>
          <w:rFonts w:hint="eastAsia"/>
          <w:b/>
          <w:lang w:eastAsia="ja-JP"/>
        </w:rPr>
        <w:tab/>
      </w:r>
      <w:r w:rsidRPr="00542E09">
        <w:rPr>
          <w:b/>
          <w:lang w:eastAsia="ja-JP"/>
        </w:rPr>
        <w:tab/>
      </w:r>
      <w:r w:rsidRPr="00542E09">
        <w:rPr>
          <w:b/>
        </w:rPr>
        <w:t>À compter du [</w:t>
      </w:r>
      <w:r w:rsidRPr="00542E09">
        <w:rPr>
          <w:b/>
          <w:color w:val="000000"/>
        </w:rPr>
        <w:t>1</w:t>
      </w:r>
      <w:r w:rsidRPr="00542E09">
        <w:rPr>
          <w:b/>
          <w:color w:val="000000"/>
          <w:vertAlign w:val="superscript"/>
        </w:rPr>
        <w:t>er</w:t>
      </w:r>
      <w:r w:rsidR="008C32A6">
        <w:rPr>
          <w:b/>
          <w:color w:val="000000"/>
        </w:rPr>
        <w:t> </w:t>
      </w:r>
      <w:r w:rsidRPr="00542E09">
        <w:rPr>
          <w:b/>
          <w:color w:val="000000"/>
        </w:rPr>
        <w:t>juillet 2019</w:t>
      </w:r>
      <w:r w:rsidRPr="00542E09">
        <w:rPr>
          <w:b/>
        </w:rPr>
        <w:t>], les Parties contractantes appliquant le présent Règlement ne devront accorder des homologations que pour des types de véhicules satisfaisant aux prescriptions du présent Règlement modifié par la série</w:t>
      </w:r>
      <w:r w:rsidR="008C32A6">
        <w:rPr>
          <w:b/>
        </w:rPr>
        <w:t xml:space="preserve"> </w:t>
      </w:r>
      <w:r w:rsidRPr="00542E09">
        <w:rPr>
          <w:b/>
        </w:rPr>
        <w:t>01 d’amendements.</w:t>
      </w:r>
    </w:p>
    <w:p w:rsidR="005D6622" w:rsidRPr="00DD0A7D" w:rsidRDefault="005D6622" w:rsidP="00851819">
      <w:pPr>
        <w:pStyle w:val="SingleTxtG"/>
        <w:ind w:left="2268" w:hanging="1134"/>
        <w:rPr>
          <w:szCs w:val="21"/>
        </w:rPr>
      </w:pPr>
      <w:r w:rsidRPr="00542E09">
        <w:rPr>
          <w:rFonts w:hint="eastAsia"/>
          <w:b/>
          <w:lang w:eastAsia="ja-JP"/>
        </w:rPr>
        <w:t>11.4</w:t>
      </w:r>
      <w:r w:rsidRPr="00542E09">
        <w:rPr>
          <w:rFonts w:hint="eastAsia"/>
          <w:b/>
          <w:lang w:eastAsia="ja-JP"/>
        </w:rPr>
        <w:tab/>
      </w:r>
      <w:r w:rsidRPr="00542E09">
        <w:rPr>
          <w:b/>
          <w:lang w:eastAsia="ja-JP"/>
        </w:rPr>
        <w:tab/>
      </w:r>
      <w:r w:rsidRPr="00542E09">
        <w:rPr>
          <w:b/>
          <w:szCs w:val="21"/>
        </w:rPr>
        <w:t>Les Parties contractantes appliquant le présent Règlement ne pourront refuser d’accorder des extensions d’homologation</w:t>
      </w:r>
      <w:r w:rsidR="008C32A6">
        <w:rPr>
          <w:b/>
          <w:szCs w:val="21"/>
        </w:rPr>
        <w:t xml:space="preserve"> </w:t>
      </w:r>
      <w:r w:rsidRPr="00542E09">
        <w:rPr>
          <w:b/>
          <w:szCs w:val="21"/>
        </w:rPr>
        <w:t>pour des types de véhicules dont l’homologation a été accordée en vertu de précédentes séries d’amendements au présent Règlement.</w:t>
      </w:r>
    </w:p>
    <w:p w:rsidR="005D6622" w:rsidRPr="00542E09" w:rsidRDefault="005D6622" w:rsidP="00851819">
      <w:pPr>
        <w:pStyle w:val="SingleTxtG"/>
        <w:ind w:left="2268" w:hanging="1134"/>
        <w:rPr>
          <w:b/>
          <w:lang w:eastAsia="ja-JP"/>
        </w:rPr>
      </w:pPr>
      <w:r w:rsidRPr="00542E09">
        <w:rPr>
          <w:b/>
          <w:szCs w:val="21"/>
        </w:rPr>
        <w:lastRenderedPageBreak/>
        <w:t>11.5</w:t>
      </w:r>
      <w:r w:rsidRPr="00542E09">
        <w:rPr>
          <w:b/>
          <w:szCs w:val="21"/>
        </w:rPr>
        <w:tab/>
      </w:r>
      <w:r w:rsidRPr="00542E09">
        <w:rPr>
          <w:b/>
          <w:szCs w:val="21"/>
        </w:rPr>
        <w:tab/>
        <w:t>Jusqu’au [30</w:t>
      </w:r>
      <w:r w:rsidR="008C32A6">
        <w:rPr>
          <w:b/>
          <w:szCs w:val="21"/>
        </w:rPr>
        <w:t> </w:t>
      </w:r>
      <w:r w:rsidRPr="00542E09">
        <w:rPr>
          <w:b/>
          <w:szCs w:val="21"/>
        </w:rPr>
        <w:t>juin 2021], aucune Partie contractante appliquant le présent Règlement ne devra refuser d’accorder une homologation de type nationale ou régionale pour un véhicule dont le type a été homologué au titre de la série</w:t>
      </w:r>
      <w:r w:rsidR="008C32A6">
        <w:rPr>
          <w:b/>
          <w:szCs w:val="21"/>
        </w:rPr>
        <w:t xml:space="preserve"> </w:t>
      </w:r>
      <w:r w:rsidRPr="00542E09">
        <w:rPr>
          <w:b/>
          <w:szCs w:val="21"/>
        </w:rPr>
        <w:t>00 d’amendements au présent Règlement.</w:t>
      </w:r>
    </w:p>
    <w:p w:rsidR="005D6622" w:rsidRPr="00542E09" w:rsidRDefault="005D6622" w:rsidP="00851819">
      <w:pPr>
        <w:pStyle w:val="SingleTxtG"/>
        <w:ind w:left="2268" w:hanging="1134"/>
        <w:rPr>
          <w:b/>
          <w:lang w:eastAsia="ja-JP"/>
        </w:rPr>
      </w:pPr>
      <w:r w:rsidRPr="00542E09">
        <w:rPr>
          <w:rFonts w:hint="eastAsia"/>
          <w:b/>
          <w:lang w:eastAsia="ja-JP"/>
        </w:rPr>
        <w:t>11.</w:t>
      </w:r>
      <w:r w:rsidRPr="00542E09">
        <w:rPr>
          <w:b/>
          <w:lang w:eastAsia="ja-JP"/>
        </w:rPr>
        <w:t>6</w:t>
      </w:r>
      <w:r w:rsidRPr="00542E09">
        <w:rPr>
          <w:rFonts w:hint="eastAsia"/>
          <w:b/>
          <w:lang w:eastAsia="ja-JP"/>
        </w:rPr>
        <w:tab/>
      </w:r>
      <w:r w:rsidRPr="00542E09">
        <w:rPr>
          <w:b/>
          <w:lang w:eastAsia="ja-JP"/>
        </w:rPr>
        <w:tab/>
        <w:t xml:space="preserve">À compter du </w:t>
      </w:r>
      <w:r w:rsidRPr="00542E09">
        <w:rPr>
          <w:b/>
        </w:rPr>
        <w:t>[1</w:t>
      </w:r>
      <w:r w:rsidRPr="00542E09">
        <w:rPr>
          <w:b/>
          <w:vertAlign w:val="superscript"/>
        </w:rPr>
        <w:t>er</w:t>
      </w:r>
      <w:r w:rsidR="008C32A6">
        <w:rPr>
          <w:b/>
        </w:rPr>
        <w:t> </w:t>
      </w:r>
      <w:r w:rsidRPr="00542E09">
        <w:rPr>
          <w:b/>
        </w:rPr>
        <w:t>juillet 2021]</w:t>
      </w:r>
      <w:r w:rsidRPr="00542E09">
        <w:rPr>
          <w:b/>
          <w:lang w:eastAsia="ja-JP"/>
        </w:rPr>
        <w:t xml:space="preserve">, les Parties contractantes appliquant le présent Règlement ne pourront être tenues d’accepter, à des fins d’homologation de type nationale ou régionale, une homologation de type délivrée au titre de </w:t>
      </w:r>
      <w:r w:rsidR="00B92DE0">
        <w:rPr>
          <w:b/>
          <w:lang w:eastAsia="ja-JP"/>
        </w:rPr>
        <w:t xml:space="preserve">la série </w:t>
      </w:r>
      <w:r w:rsidRPr="00542E09">
        <w:rPr>
          <w:b/>
          <w:lang w:eastAsia="ja-JP"/>
        </w:rPr>
        <w:t>00 d’amendements au présent Règlement.</w:t>
      </w:r>
    </w:p>
    <w:p w:rsidR="005D6622" w:rsidRPr="00DD0A7D" w:rsidRDefault="005D6622" w:rsidP="00851819">
      <w:pPr>
        <w:pStyle w:val="SingleTxtG"/>
        <w:ind w:left="2268" w:hanging="1134"/>
        <w:rPr>
          <w:lang w:eastAsia="ja-JP"/>
        </w:rPr>
      </w:pPr>
      <w:r w:rsidRPr="00542E09">
        <w:rPr>
          <w:rFonts w:hint="eastAsia"/>
          <w:b/>
          <w:lang w:eastAsia="ja-JP"/>
        </w:rPr>
        <w:t>11.7</w:t>
      </w:r>
      <w:r w:rsidRPr="00542E09">
        <w:rPr>
          <w:rFonts w:hint="eastAsia"/>
          <w:b/>
          <w:lang w:eastAsia="ja-JP"/>
        </w:rPr>
        <w:tab/>
      </w:r>
      <w:r w:rsidRPr="00542E09">
        <w:rPr>
          <w:b/>
          <w:lang w:eastAsia="ja-JP"/>
        </w:rPr>
        <w:tab/>
      </w:r>
      <w:r w:rsidRPr="00542E09">
        <w:rPr>
          <w:b/>
          <w:szCs w:val="21"/>
        </w:rPr>
        <w:t xml:space="preserve">Nonobstant les dispositions transitoires ci-dessus, les Parties contractantes </w:t>
      </w:r>
      <w:r w:rsidRPr="00542E09">
        <w:rPr>
          <w:b/>
          <w:szCs w:val="21"/>
          <w:lang w:val="fr-FR"/>
        </w:rPr>
        <w:t>pour lesquelles le présent Règlement entre en vigueur après l’entrée en vigueur de</w:t>
      </w:r>
      <w:r w:rsidRPr="00542E09">
        <w:rPr>
          <w:b/>
          <w:szCs w:val="21"/>
        </w:rPr>
        <w:t xml:space="preserve"> la série</w:t>
      </w:r>
      <w:r w:rsidR="008C32A6">
        <w:rPr>
          <w:b/>
          <w:szCs w:val="21"/>
        </w:rPr>
        <w:t xml:space="preserve"> </w:t>
      </w:r>
      <w:r w:rsidRPr="00542E09">
        <w:rPr>
          <w:rFonts w:hint="eastAsia"/>
          <w:b/>
          <w:szCs w:val="21"/>
        </w:rPr>
        <w:t>0</w:t>
      </w:r>
      <w:r w:rsidRPr="00542E09">
        <w:rPr>
          <w:rFonts w:hint="eastAsia"/>
          <w:b/>
          <w:szCs w:val="21"/>
          <w:lang w:eastAsia="ja-JP"/>
        </w:rPr>
        <w:t>1</w:t>
      </w:r>
      <w:r w:rsidRPr="00542E09">
        <w:rPr>
          <w:b/>
          <w:szCs w:val="21"/>
        </w:rPr>
        <w:t xml:space="preserve"> d’amendements ne sont tenues d’accepter des homologations de type que si celles-ci ont été délivrées au titre de ladite série d’amendements.</w:t>
      </w:r>
      <w:r w:rsidRPr="002D5B0B">
        <w:rPr>
          <w:szCs w:val="21"/>
        </w:rPr>
        <w:t> ».</w:t>
      </w:r>
    </w:p>
    <w:p w:rsidR="005D6622" w:rsidRPr="00DD0A7D" w:rsidRDefault="005D6622" w:rsidP="00851819">
      <w:pPr>
        <w:pStyle w:val="SingleTxtG"/>
        <w:rPr>
          <w:iCs/>
          <w:lang w:eastAsia="ja-JP"/>
        </w:rPr>
      </w:pPr>
      <w:r w:rsidRPr="00DD0A7D">
        <w:rPr>
          <w:rFonts w:hint="eastAsia"/>
          <w:i/>
          <w:lang w:eastAsia="ja-JP"/>
        </w:rPr>
        <w:t>Annex</w:t>
      </w:r>
      <w:r>
        <w:rPr>
          <w:i/>
          <w:lang w:eastAsia="ja-JP"/>
        </w:rPr>
        <w:t>e</w:t>
      </w:r>
      <w:r w:rsidRPr="00DD0A7D">
        <w:rPr>
          <w:rFonts w:hint="eastAsia"/>
          <w:i/>
          <w:lang w:eastAsia="ja-JP"/>
        </w:rPr>
        <w:t xml:space="preserve"> 1, </w:t>
      </w:r>
      <w:r>
        <w:rPr>
          <w:i/>
          <w:lang w:eastAsia="ja-JP"/>
        </w:rPr>
        <w:t xml:space="preserve">Addendum à la fiche de </w:t>
      </w:r>
      <w:r w:rsidRPr="00DD0A7D">
        <w:rPr>
          <w:i/>
          <w:lang w:eastAsia="ja-JP"/>
        </w:rPr>
        <w:t xml:space="preserve">communication </w:t>
      </w:r>
      <w:r w:rsidR="00851819" w:rsidRPr="00851819">
        <w:rPr>
          <w:rFonts w:eastAsia="MS Mincho"/>
          <w:i/>
          <w:lang w:eastAsia="ja-JP"/>
        </w:rPr>
        <w:t>n</w:t>
      </w:r>
      <w:r w:rsidR="00851819" w:rsidRPr="00851819">
        <w:rPr>
          <w:rFonts w:eastAsia="MS Mincho"/>
          <w:i/>
          <w:vertAlign w:val="superscript"/>
          <w:lang w:eastAsia="ja-JP"/>
        </w:rPr>
        <w:t>o</w:t>
      </w:r>
      <w:r w:rsidR="00851819">
        <w:rPr>
          <w:rFonts w:eastAsia="MS Mincho"/>
          <w:i/>
          <w:vertAlign w:val="superscript"/>
          <w:lang w:eastAsia="ja-JP"/>
        </w:rPr>
        <w:t> </w:t>
      </w:r>
      <w:r w:rsidRPr="00DD0A7D">
        <w:rPr>
          <w:i/>
          <w:lang w:eastAsia="ja-JP"/>
        </w:rPr>
        <w:t>…</w:t>
      </w:r>
      <w:r w:rsidRPr="00DD0A7D">
        <w:rPr>
          <w:rFonts w:hint="eastAsia"/>
          <w:i/>
          <w:lang w:eastAsia="ja-JP"/>
        </w:rPr>
        <w:t xml:space="preserve">, </w:t>
      </w:r>
      <w:r>
        <w:rPr>
          <w:i/>
          <w:lang w:eastAsia="ja-JP"/>
        </w:rPr>
        <w:t>Renseignements techniques</w:t>
      </w:r>
      <w:r w:rsidRPr="00DD0A7D">
        <w:rPr>
          <w:i/>
          <w:lang w:eastAsia="ja-JP"/>
        </w:rPr>
        <w:t xml:space="preserve">, </w:t>
      </w:r>
      <w:r>
        <w:rPr>
          <w:i/>
          <w:lang w:eastAsia="ja-JP"/>
        </w:rPr>
        <w:t>point</w:t>
      </w:r>
      <w:r w:rsidR="00B92DE0">
        <w:rPr>
          <w:i/>
          <w:lang w:eastAsia="ja-JP"/>
        </w:rPr>
        <w:t> </w:t>
      </w:r>
      <w:r w:rsidRPr="00DD0A7D">
        <w:rPr>
          <w:rFonts w:hint="eastAsia"/>
          <w:i/>
          <w:lang w:eastAsia="ja-JP"/>
        </w:rPr>
        <w:t>1.2</w:t>
      </w:r>
      <w:r w:rsidRPr="00372DFB">
        <w:t>,</w:t>
      </w:r>
      <w:r w:rsidRPr="00DD0A7D">
        <w:rPr>
          <w:i/>
        </w:rPr>
        <w:t xml:space="preserve"> </w:t>
      </w:r>
      <w:r>
        <w:t>modifier comme suit </w:t>
      </w:r>
      <w:r w:rsidRPr="00DD0A7D">
        <w:rPr>
          <w:iCs/>
        </w:rPr>
        <w:t>:</w:t>
      </w:r>
    </w:p>
    <w:p w:rsidR="005D6622" w:rsidRPr="00DD0A7D" w:rsidRDefault="005D6622" w:rsidP="00851819">
      <w:pPr>
        <w:pStyle w:val="SingleTxtG"/>
        <w:ind w:left="2268" w:hanging="1134"/>
        <w:rPr>
          <w:i/>
          <w:lang w:eastAsia="ja-JP"/>
        </w:rPr>
      </w:pPr>
      <w:r>
        <w:rPr>
          <w:iCs/>
          <w:lang w:eastAsia="ja-JP"/>
        </w:rPr>
        <w:t>« </w:t>
      </w:r>
      <w:r w:rsidRPr="00DD0A7D">
        <w:rPr>
          <w:rFonts w:hint="eastAsia"/>
          <w:iCs/>
          <w:lang w:eastAsia="ja-JP"/>
        </w:rPr>
        <w:t>1.2</w:t>
      </w:r>
      <w:r w:rsidRPr="00DD0A7D">
        <w:rPr>
          <w:rFonts w:hint="eastAsia"/>
          <w:iCs/>
          <w:lang w:eastAsia="ja-JP"/>
        </w:rPr>
        <w:tab/>
      </w:r>
      <w:r w:rsidRPr="00DD0A7D">
        <w:rPr>
          <w:iCs/>
          <w:lang w:eastAsia="ja-JP"/>
        </w:rPr>
        <w:tab/>
      </w:r>
      <w:r w:rsidRPr="0044410D">
        <w:rPr>
          <w:lang w:val="fr-FR"/>
        </w:rPr>
        <w:t>Description du système avertisseur sonore (s’il y a lieu)</w:t>
      </w:r>
      <w:r w:rsidR="008C32A6">
        <w:rPr>
          <w:lang w:val="fr-FR"/>
        </w:rPr>
        <w:t> </w:t>
      </w:r>
      <w:r w:rsidRPr="0044410D">
        <w:rPr>
          <w:lang w:val="fr-FR"/>
        </w:rPr>
        <w:t>:</w:t>
      </w:r>
      <w:r w:rsidRPr="00DD0A7D">
        <w:t xml:space="preserve"> ..........</w:t>
      </w:r>
    </w:p>
    <w:p w:rsidR="005D6622" w:rsidRPr="00DD0A7D" w:rsidRDefault="005D6622" w:rsidP="00851819">
      <w:pPr>
        <w:pStyle w:val="SingleTxtG"/>
        <w:ind w:left="2268" w:hanging="1134"/>
        <w:rPr>
          <w:strike/>
          <w:lang w:eastAsia="ja-JP"/>
        </w:rPr>
      </w:pPr>
      <w:r w:rsidRPr="00DD0A7D">
        <w:rPr>
          <w:rFonts w:hint="eastAsia"/>
          <w:strike/>
          <w:lang w:eastAsia="ja-JP"/>
        </w:rPr>
        <w:t>1.2.1</w:t>
      </w:r>
      <w:r w:rsidRPr="00DD0A7D">
        <w:rPr>
          <w:rFonts w:hint="eastAsia"/>
          <w:lang w:eastAsia="ja-JP"/>
        </w:rPr>
        <w:tab/>
      </w:r>
      <w:r w:rsidRPr="00DD0A7D">
        <w:rPr>
          <w:lang w:eastAsia="ja-JP"/>
        </w:rPr>
        <w:tab/>
      </w:r>
      <w:r w:rsidRPr="0044410D">
        <w:rPr>
          <w:strike/>
          <w:lang w:val="fr-FR"/>
        </w:rPr>
        <w:t>Commande de pause (oui/non)</w:t>
      </w:r>
    </w:p>
    <w:p w:rsidR="005D6622" w:rsidRPr="00DD0A7D" w:rsidRDefault="005D6622" w:rsidP="00851819">
      <w:pPr>
        <w:pStyle w:val="SingleTxtG"/>
        <w:ind w:left="2268" w:hanging="1134"/>
        <w:rPr>
          <w:iCs/>
          <w:lang w:eastAsia="ja-JP"/>
        </w:rPr>
      </w:pPr>
      <w:r w:rsidRPr="00DD0A7D">
        <w:rPr>
          <w:rFonts w:hint="eastAsia"/>
          <w:iCs/>
          <w:strike/>
          <w:lang w:eastAsia="ja-JP"/>
        </w:rPr>
        <w:t>1.2.2</w:t>
      </w:r>
      <w:r w:rsidRPr="00542E09">
        <w:rPr>
          <w:rFonts w:hint="eastAsia"/>
          <w:b/>
          <w:iCs/>
          <w:lang w:eastAsia="ja-JP"/>
        </w:rPr>
        <w:t>1.2.1</w:t>
      </w:r>
      <w:r w:rsidRPr="00DD0A7D">
        <w:rPr>
          <w:rFonts w:hint="eastAsia"/>
          <w:iCs/>
          <w:lang w:eastAsia="ja-JP"/>
        </w:rPr>
        <w:tab/>
      </w:r>
      <w:r w:rsidRPr="0044410D">
        <w:rPr>
          <w:lang w:val="fr-FR"/>
        </w:rPr>
        <w:t>Bruit à l’arrêt (oui/non)</w:t>
      </w:r>
    </w:p>
    <w:p w:rsidR="005D6622" w:rsidRPr="00DD0A7D" w:rsidRDefault="005D6622" w:rsidP="00851819">
      <w:pPr>
        <w:pStyle w:val="SingleTxtG"/>
        <w:ind w:left="2268" w:hanging="1134"/>
        <w:rPr>
          <w:sz w:val="28"/>
          <w:lang w:eastAsia="ja-JP"/>
        </w:rPr>
      </w:pPr>
      <w:r w:rsidRPr="00DD0A7D">
        <w:rPr>
          <w:rFonts w:hint="eastAsia"/>
          <w:iCs/>
          <w:strike/>
          <w:lang w:eastAsia="ja-JP"/>
        </w:rPr>
        <w:t>1.2.3</w:t>
      </w:r>
      <w:r w:rsidRPr="00542E09">
        <w:rPr>
          <w:rFonts w:hint="eastAsia"/>
          <w:b/>
          <w:iCs/>
          <w:lang w:eastAsia="ja-JP"/>
        </w:rPr>
        <w:t>1.2.2</w:t>
      </w:r>
      <w:r w:rsidRPr="00DD0A7D">
        <w:rPr>
          <w:rFonts w:hint="eastAsia"/>
          <w:iCs/>
          <w:lang w:eastAsia="ja-JP"/>
        </w:rPr>
        <w:tab/>
      </w:r>
      <w:r w:rsidRPr="0044410D">
        <w:rPr>
          <w:lang w:val="fr-FR"/>
        </w:rPr>
        <w:t>Nombre de sons pouvant être choisis par le conducteur (1/2/3/…)</w:t>
      </w:r>
      <w:r>
        <w:rPr>
          <w:lang w:val="fr-FR"/>
        </w:rPr>
        <w:t> ».</w:t>
      </w:r>
    </w:p>
    <w:p w:rsidR="005D6622" w:rsidRPr="00DD0A7D" w:rsidRDefault="005D6622" w:rsidP="00851819">
      <w:pPr>
        <w:pStyle w:val="HChG"/>
      </w:pPr>
      <w:r w:rsidRPr="00DD0A7D">
        <w:tab/>
        <w:t>II.</w:t>
      </w:r>
      <w:r w:rsidRPr="00DD0A7D">
        <w:tab/>
      </w:r>
      <w:r w:rsidR="00B86EA9">
        <w:t>Justification</w:t>
      </w:r>
    </w:p>
    <w:p w:rsidR="00F9573C" w:rsidRDefault="00851819" w:rsidP="00851819">
      <w:pPr>
        <w:pStyle w:val="SingleTxtG"/>
        <w:ind w:firstLine="567"/>
        <w:rPr>
          <w:lang w:val="fr-FR" w:eastAsia="ja-JP"/>
        </w:rPr>
      </w:pPr>
      <w:r>
        <w:rPr>
          <w:lang w:eastAsia="ja-JP"/>
        </w:rPr>
        <w:t xml:space="preserve">Bien que le Règlement </w:t>
      </w:r>
      <w:r w:rsidRPr="00851819">
        <w:rPr>
          <w:rFonts w:eastAsia="MS Mincho"/>
          <w:lang w:eastAsia="ja-JP"/>
        </w:rPr>
        <w:t>n</w:t>
      </w:r>
      <w:r w:rsidRPr="00851819">
        <w:rPr>
          <w:rFonts w:eastAsia="MS Mincho"/>
          <w:vertAlign w:val="superscript"/>
          <w:lang w:eastAsia="ja-JP"/>
        </w:rPr>
        <w:t>o</w:t>
      </w:r>
      <w:r>
        <w:rPr>
          <w:lang w:eastAsia="ja-JP"/>
        </w:rPr>
        <w:t> </w:t>
      </w:r>
      <w:r w:rsidR="005D6622">
        <w:rPr>
          <w:lang w:eastAsia="ja-JP"/>
        </w:rPr>
        <w:t xml:space="preserve">138 </w:t>
      </w:r>
      <w:r w:rsidR="005D6622" w:rsidRPr="00DD0A7D">
        <w:rPr>
          <w:rFonts w:hint="eastAsia"/>
          <w:lang w:eastAsia="ja-JP"/>
        </w:rPr>
        <w:t>(</w:t>
      </w:r>
      <w:r w:rsidR="005D6622" w:rsidRPr="00DD0A7D">
        <w:rPr>
          <w:lang w:eastAsia="ja-JP"/>
        </w:rPr>
        <w:t xml:space="preserve">Véhicules </w:t>
      </w:r>
      <w:r w:rsidR="005D6622">
        <w:rPr>
          <w:lang w:eastAsia="ja-JP"/>
        </w:rPr>
        <w:t xml:space="preserve">à moteur </w:t>
      </w:r>
      <w:r w:rsidR="005D6622" w:rsidRPr="00DD0A7D">
        <w:rPr>
          <w:lang w:eastAsia="ja-JP"/>
        </w:rPr>
        <w:t>silencieux</w:t>
      </w:r>
      <w:r w:rsidR="005D6622" w:rsidRPr="00DD0A7D">
        <w:rPr>
          <w:rFonts w:hint="eastAsia"/>
          <w:lang w:eastAsia="ja-JP"/>
        </w:rPr>
        <w:t>)</w:t>
      </w:r>
      <w:r w:rsidR="005D6622" w:rsidRPr="00DD0A7D">
        <w:rPr>
          <w:lang w:eastAsia="ja-JP"/>
        </w:rPr>
        <w:t xml:space="preserve"> </w:t>
      </w:r>
      <w:r w:rsidR="005D6622">
        <w:rPr>
          <w:lang w:eastAsia="ja-JP"/>
        </w:rPr>
        <w:t>autorise, dans sa version actuelle, l’installation d’une commande de mise en pause, selon les termes des paragraphes</w:t>
      </w:r>
      <w:r w:rsidR="005D6622" w:rsidRPr="00DD0A7D">
        <w:rPr>
          <w:lang w:eastAsia="ja-JP"/>
        </w:rPr>
        <w:t xml:space="preserve"> 6.2.6.1</w:t>
      </w:r>
      <w:r w:rsidR="005D6622">
        <w:rPr>
          <w:lang w:eastAsia="ja-JP"/>
        </w:rPr>
        <w:t xml:space="preserve"> à</w:t>
      </w:r>
      <w:r w:rsidR="005D6622" w:rsidRPr="00DD0A7D">
        <w:rPr>
          <w:lang w:eastAsia="ja-JP"/>
        </w:rPr>
        <w:t xml:space="preserve"> </w:t>
      </w:r>
      <w:r w:rsidR="005D6622">
        <w:rPr>
          <w:lang w:eastAsia="ja-JP"/>
        </w:rPr>
        <w:t>6.2.6.4</w:t>
      </w:r>
      <w:r w:rsidR="005D6622" w:rsidRPr="00DD0A7D">
        <w:rPr>
          <w:lang w:eastAsia="ja-JP"/>
        </w:rPr>
        <w:t xml:space="preserve">, </w:t>
      </w:r>
      <w:r w:rsidR="005D6622">
        <w:rPr>
          <w:lang w:eastAsia="ja-JP"/>
        </w:rPr>
        <w:t xml:space="preserve">un </w:t>
      </w:r>
      <w:r w:rsidR="005D6622">
        <w:rPr>
          <w:lang w:val="fr-FR" w:eastAsia="ja-JP"/>
        </w:rPr>
        <w:t>s</w:t>
      </w:r>
      <w:r w:rsidR="005D6622" w:rsidRPr="0044410D">
        <w:rPr>
          <w:lang w:val="fr-FR" w:eastAsia="ja-JP"/>
        </w:rPr>
        <w:t>ystème avertisseur sonore de présence pour véhicule silencieux</w:t>
      </w:r>
      <w:r w:rsidR="005D6622" w:rsidRPr="00DD0A7D">
        <w:rPr>
          <w:lang w:eastAsia="ja-JP"/>
        </w:rPr>
        <w:t xml:space="preserve"> </w:t>
      </w:r>
      <w:r w:rsidR="005D6622">
        <w:rPr>
          <w:lang w:eastAsia="ja-JP"/>
        </w:rPr>
        <w:t>est d’une importance capitale pour la sécurité des piétons et des cyclistes, en particulier celle des personnes aveugles</w:t>
      </w:r>
      <w:r w:rsidR="005D6622" w:rsidRPr="00DD0A7D">
        <w:rPr>
          <w:lang w:eastAsia="ja-JP"/>
        </w:rPr>
        <w:t xml:space="preserve">. </w:t>
      </w:r>
      <w:r w:rsidR="005D6622">
        <w:rPr>
          <w:lang w:eastAsia="ja-JP"/>
        </w:rPr>
        <w:t>La commande de</w:t>
      </w:r>
      <w:r w:rsidR="005D6622" w:rsidRPr="00DD0A7D">
        <w:rPr>
          <w:lang w:eastAsia="ja-JP"/>
        </w:rPr>
        <w:t xml:space="preserve"> </w:t>
      </w:r>
      <w:r w:rsidR="005D6622">
        <w:rPr>
          <w:lang w:eastAsia="ja-JP"/>
        </w:rPr>
        <w:t xml:space="preserve">mise en </w:t>
      </w:r>
      <w:r w:rsidR="005D6622" w:rsidRPr="00DD0A7D">
        <w:rPr>
          <w:lang w:eastAsia="ja-JP"/>
        </w:rPr>
        <w:t xml:space="preserve">pause </w:t>
      </w:r>
      <w:r w:rsidR="005D6622">
        <w:rPr>
          <w:lang w:eastAsia="ja-JP"/>
        </w:rPr>
        <w:t xml:space="preserve">désactive le </w:t>
      </w:r>
      <w:r w:rsidR="005D6622">
        <w:rPr>
          <w:lang w:val="fr-FR" w:eastAsia="ja-JP"/>
        </w:rPr>
        <w:t>s</w:t>
      </w:r>
      <w:r w:rsidR="005D6622" w:rsidRPr="0044410D">
        <w:rPr>
          <w:lang w:val="fr-FR" w:eastAsia="ja-JP"/>
        </w:rPr>
        <w:t xml:space="preserve">ystème avertisseur sonore de présence </w:t>
      </w:r>
      <w:r w:rsidR="005D6622">
        <w:rPr>
          <w:lang w:val="fr-FR" w:eastAsia="ja-JP"/>
        </w:rPr>
        <w:t>et devrait donc être interdite.</w:t>
      </w:r>
    </w:p>
    <w:p w:rsidR="00851819" w:rsidRPr="00851819" w:rsidRDefault="00851819" w:rsidP="008518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1819" w:rsidRPr="00851819" w:rsidSect="006453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8B" w:rsidRDefault="0002768B" w:rsidP="00F95C08">
      <w:pPr>
        <w:spacing w:line="240" w:lineRule="auto"/>
      </w:pPr>
    </w:p>
  </w:endnote>
  <w:endnote w:type="continuationSeparator" w:id="0">
    <w:p w:rsidR="0002768B" w:rsidRPr="00AC3823" w:rsidRDefault="0002768B" w:rsidP="00AC3823">
      <w:pPr>
        <w:pStyle w:val="Footer"/>
      </w:pPr>
    </w:p>
  </w:endnote>
  <w:endnote w:type="continuationNotice" w:id="1">
    <w:p w:rsidR="0002768B" w:rsidRDefault="000276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57" w:rsidRPr="00645357" w:rsidRDefault="00645357" w:rsidP="00645357">
    <w:pPr>
      <w:pStyle w:val="Footer"/>
      <w:tabs>
        <w:tab w:val="right" w:pos="9638"/>
      </w:tabs>
    </w:pPr>
    <w:r w:rsidRPr="00645357">
      <w:rPr>
        <w:b/>
        <w:sz w:val="18"/>
      </w:rPr>
      <w:fldChar w:fldCharType="begin"/>
    </w:r>
    <w:r w:rsidRPr="00645357">
      <w:rPr>
        <w:b/>
        <w:sz w:val="18"/>
      </w:rPr>
      <w:instrText xml:space="preserve"> PAGE  \* MERGEFORMAT </w:instrText>
    </w:r>
    <w:r w:rsidRPr="00645357">
      <w:rPr>
        <w:b/>
        <w:sz w:val="18"/>
      </w:rPr>
      <w:fldChar w:fldCharType="separate"/>
    </w:r>
    <w:r w:rsidR="007D4BCB">
      <w:rPr>
        <w:b/>
        <w:noProof/>
        <w:sz w:val="18"/>
      </w:rPr>
      <w:t>2</w:t>
    </w:r>
    <w:r w:rsidRPr="00645357">
      <w:rPr>
        <w:b/>
        <w:sz w:val="18"/>
      </w:rPr>
      <w:fldChar w:fldCharType="end"/>
    </w:r>
    <w:r>
      <w:rPr>
        <w:b/>
        <w:sz w:val="18"/>
      </w:rPr>
      <w:tab/>
    </w:r>
    <w:r>
      <w:t>GE.16-09809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57" w:rsidRPr="00645357" w:rsidRDefault="00645357" w:rsidP="00645357">
    <w:pPr>
      <w:pStyle w:val="Footer"/>
      <w:tabs>
        <w:tab w:val="right" w:pos="9638"/>
      </w:tabs>
      <w:rPr>
        <w:b/>
        <w:sz w:val="18"/>
      </w:rPr>
    </w:pPr>
    <w:r>
      <w:t>GE.16-09809</w:t>
    </w:r>
    <w:r>
      <w:tab/>
    </w:r>
    <w:r w:rsidRPr="00645357">
      <w:rPr>
        <w:b/>
        <w:sz w:val="18"/>
      </w:rPr>
      <w:fldChar w:fldCharType="begin"/>
    </w:r>
    <w:r w:rsidRPr="00645357">
      <w:rPr>
        <w:b/>
        <w:sz w:val="18"/>
      </w:rPr>
      <w:instrText xml:space="preserve"> PAGE  \* MERGEFORMAT </w:instrText>
    </w:r>
    <w:r w:rsidRPr="00645357">
      <w:rPr>
        <w:b/>
        <w:sz w:val="18"/>
      </w:rPr>
      <w:fldChar w:fldCharType="separate"/>
    </w:r>
    <w:r w:rsidR="007D4BCB">
      <w:rPr>
        <w:b/>
        <w:noProof/>
        <w:sz w:val="18"/>
      </w:rPr>
      <w:t>3</w:t>
    </w:r>
    <w:r w:rsidRPr="006453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45357" w:rsidRDefault="00645357" w:rsidP="0064535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1AC7B95" wp14:editId="610DEA9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16-09809  (F)</w:t>
    </w:r>
    <w:r w:rsidR="005D6622">
      <w:rPr>
        <w:sz w:val="20"/>
      </w:rPr>
      <w:t xml:space="preserve">    130716    180716</w:t>
    </w:r>
    <w:r>
      <w:rPr>
        <w:sz w:val="20"/>
      </w:rPr>
      <w:br/>
    </w:r>
    <w:r w:rsidRPr="00645357">
      <w:rPr>
        <w:rFonts w:ascii="C39T30Lfz" w:hAnsi="C39T30Lfz"/>
        <w:sz w:val="56"/>
      </w:rPr>
      <w:t></w:t>
    </w:r>
    <w:r w:rsidRPr="00645357">
      <w:rPr>
        <w:rFonts w:ascii="C39T30Lfz" w:hAnsi="C39T30Lfz"/>
        <w:sz w:val="56"/>
      </w:rPr>
      <w:t></w:t>
    </w:r>
    <w:r w:rsidRPr="00645357">
      <w:rPr>
        <w:rFonts w:ascii="C39T30Lfz" w:hAnsi="C39T30Lfz"/>
        <w:sz w:val="56"/>
      </w:rPr>
      <w:t></w:t>
    </w:r>
    <w:r w:rsidRPr="00645357">
      <w:rPr>
        <w:rFonts w:ascii="C39T30Lfz" w:hAnsi="C39T30Lfz"/>
        <w:sz w:val="56"/>
      </w:rPr>
      <w:t></w:t>
    </w:r>
    <w:r w:rsidRPr="00645357">
      <w:rPr>
        <w:rFonts w:ascii="C39T30Lfz" w:hAnsi="C39T30Lfz"/>
        <w:sz w:val="56"/>
      </w:rPr>
      <w:t></w:t>
    </w:r>
    <w:r w:rsidRPr="00645357">
      <w:rPr>
        <w:rFonts w:ascii="C39T30Lfz" w:hAnsi="C39T30Lfz"/>
        <w:sz w:val="56"/>
      </w:rPr>
      <w:t></w:t>
    </w:r>
    <w:r w:rsidRPr="00645357">
      <w:rPr>
        <w:rFonts w:ascii="C39T30Lfz" w:hAnsi="C39T30Lfz"/>
        <w:sz w:val="56"/>
      </w:rPr>
      <w:t></w:t>
    </w:r>
    <w:r w:rsidRPr="00645357">
      <w:rPr>
        <w:rFonts w:ascii="C39T30Lfz" w:hAnsi="C39T30Lfz"/>
        <w:sz w:val="56"/>
      </w:rPr>
      <w:t></w:t>
    </w:r>
    <w:r w:rsidRPr="0064535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B/2016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B/2016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8B" w:rsidRPr="00AC3823" w:rsidRDefault="000276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768B" w:rsidRPr="00AC3823" w:rsidRDefault="000276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768B" w:rsidRPr="00AC3823" w:rsidRDefault="0002768B">
      <w:pPr>
        <w:spacing w:line="240" w:lineRule="auto"/>
        <w:rPr>
          <w:sz w:val="2"/>
          <w:szCs w:val="2"/>
        </w:rPr>
      </w:pPr>
    </w:p>
  </w:footnote>
  <w:footnote w:id="2">
    <w:p w:rsidR="005D6622" w:rsidRPr="005D6622" w:rsidRDefault="005D6622">
      <w:pPr>
        <w:pStyle w:val="FootnoteText"/>
      </w:pPr>
      <w:r>
        <w:rPr>
          <w:rStyle w:val="FootnoteReference"/>
        </w:rPr>
        <w:tab/>
      </w:r>
      <w:r w:rsidRPr="005D662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429CD">
        <w:t xml:space="preserve">Conformément au programme de travail du Comité des transports intérieurs pour </w:t>
      </w:r>
      <w:r>
        <w:t>la période 2014</w:t>
      </w:r>
      <w:r>
        <w:noBreakHyphen/>
      </w:r>
      <w:r w:rsidRPr="006429CD">
        <w:t>2018 (ECE/TRANS/240, par.</w:t>
      </w:r>
      <w:r w:rsidR="008C32A6">
        <w:t> </w:t>
      </w:r>
      <w:r w:rsidRPr="006429CD">
        <w:t>105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57" w:rsidRPr="00645357" w:rsidRDefault="00645357">
    <w:pPr>
      <w:pStyle w:val="Header"/>
    </w:pPr>
    <w:r>
      <w:t>ECE/TRANS/WP.29/GRB/2016/8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57" w:rsidRPr="00645357" w:rsidRDefault="00645357" w:rsidP="00645357">
    <w:pPr>
      <w:pStyle w:val="Header"/>
      <w:jc w:val="right"/>
    </w:pPr>
    <w:r>
      <w:t>ECE/TRANS/WP.29/GRB/2016/8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B"/>
    <w:rsid w:val="00017F94"/>
    <w:rsid w:val="00023842"/>
    <w:rsid w:val="0002768B"/>
    <w:rsid w:val="000334F9"/>
    <w:rsid w:val="0007796D"/>
    <w:rsid w:val="000B7790"/>
    <w:rsid w:val="00111F2F"/>
    <w:rsid w:val="0014365E"/>
    <w:rsid w:val="00143C66"/>
    <w:rsid w:val="00176178"/>
    <w:rsid w:val="001C63B1"/>
    <w:rsid w:val="001F525A"/>
    <w:rsid w:val="00223272"/>
    <w:rsid w:val="0024779E"/>
    <w:rsid w:val="00257168"/>
    <w:rsid w:val="002744B8"/>
    <w:rsid w:val="002832AC"/>
    <w:rsid w:val="002D7C93"/>
    <w:rsid w:val="00305801"/>
    <w:rsid w:val="003522E5"/>
    <w:rsid w:val="003916DE"/>
    <w:rsid w:val="00441C3B"/>
    <w:rsid w:val="00446FE5"/>
    <w:rsid w:val="00452396"/>
    <w:rsid w:val="004837D8"/>
    <w:rsid w:val="004E468C"/>
    <w:rsid w:val="00542E09"/>
    <w:rsid w:val="005505B7"/>
    <w:rsid w:val="00573BE5"/>
    <w:rsid w:val="00586ED3"/>
    <w:rsid w:val="00596AA9"/>
    <w:rsid w:val="005D6622"/>
    <w:rsid w:val="00645357"/>
    <w:rsid w:val="0071601D"/>
    <w:rsid w:val="007A62E6"/>
    <w:rsid w:val="007D4BCB"/>
    <w:rsid w:val="007F20FA"/>
    <w:rsid w:val="0080684C"/>
    <w:rsid w:val="00851819"/>
    <w:rsid w:val="00863CED"/>
    <w:rsid w:val="00871C75"/>
    <w:rsid w:val="008776DC"/>
    <w:rsid w:val="008C32A6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86EA9"/>
    <w:rsid w:val="00B92DE0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ECE/TRANS/WP.29/GRB/2016/8</vt:lpstr>
      <vt:lpstr>ECE/TRANS/WP.29/GRB/2016/8</vt:lpstr>
    </vt:vector>
  </TitlesOfParts>
  <Company>DCM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ECE/TRANS/WP.29/GRB/2016/8</dc:title>
  <dc:subject>final</dc:subject>
  <dc:creator>Devouass</dc:creator>
  <cp:lastModifiedBy>Benedicte Boudol</cp:lastModifiedBy>
  <cp:revision>2</cp:revision>
  <cp:lastPrinted>2016-07-18T10:23:00Z</cp:lastPrinted>
  <dcterms:created xsi:type="dcterms:W3CDTF">2016-07-18T12:10:00Z</dcterms:created>
  <dcterms:modified xsi:type="dcterms:W3CDTF">2016-07-18T12:10:00Z</dcterms:modified>
</cp:coreProperties>
</file>