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96081">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96081" w:rsidP="00E96081">
            <w:pPr>
              <w:jc w:val="right"/>
            </w:pPr>
            <w:r w:rsidRPr="00E96081">
              <w:rPr>
                <w:sz w:val="40"/>
              </w:rPr>
              <w:t>ECE</w:t>
            </w:r>
            <w:r>
              <w:t>/TRANS/WP.29/2016/81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96081" w:rsidP="00892A2F">
            <w:pPr>
              <w:spacing w:before="240"/>
            </w:pPr>
            <w:r>
              <w:t>Distr. générale</w:t>
            </w:r>
          </w:p>
          <w:p w:rsidR="00E96081" w:rsidRDefault="00E96081" w:rsidP="00E96081">
            <w:pPr>
              <w:spacing w:line="240" w:lineRule="exact"/>
            </w:pPr>
            <w:r>
              <w:t>31 août 2016</w:t>
            </w:r>
          </w:p>
          <w:p w:rsidR="00E96081" w:rsidRDefault="00E96081" w:rsidP="00E96081">
            <w:pPr>
              <w:spacing w:line="240" w:lineRule="exact"/>
            </w:pPr>
            <w:r>
              <w:t>Français</w:t>
            </w:r>
          </w:p>
          <w:p w:rsidR="00E96081" w:rsidRPr="00DB58B5" w:rsidRDefault="00E96081" w:rsidP="00E9608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96081" w:rsidRPr="00E96081" w:rsidRDefault="00E96081" w:rsidP="00E96081">
      <w:pPr>
        <w:spacing w:before="120"/>
        <w:rPr>
          <w:b/>
          <w:sz w:val="24"/>
          <w:szCs w:val="24"/>
        </w:rPr>
      </w:pPr>
      <w:r w:rsidRPr="00E96081">
        <w:rPr>
          <w:b/>
          <w:sz w:val="24"/>
          <w:szCs w:val="24"/>
        </w:rPr>
        <w:t>Forum mondial de l’harmonisation</w:t>
      </w:r>
      <w:r w:rsidRPr="00E96081">
        <w:rPr>
          <w:b/>
          <w:sz w:val="24"/>
          <w:szCs w:val="24"/>
        </w:rPr>
        <w:br/>
        <w:t>des Règlements concernant les véhicules</w:t>
      </w:r>
    </w:p>
    <w:p w:rsidR="00E96081" w:rsidRPr="006D33D9" w:rsidRDefault="00E96081" w:rsidP="00E96081">
      <w:pPr>
        <w:tabs>
          <w:tab w:val="center" w:pos="4819"/>
        </w:tabs>
        <w:spacing w:before="120"/>
        <w:rPr>
          <w:b/>
        </w:rPr>
      </w:pPr>
      <w:r>
        <w:rPr>
          <w:b/>
        </w:rPr>
        <w:t>170</w:t>
      </w:r>
      <w:r>
        <w:rPr>
          <w:b/>
          <w:vertAlign w:val="superscript"/>
        </w:rPr>
        <w:t>e</w:t>
      </w:r>
      <w:r>
        <w:rPr>
          <w:b/>
        </w:rPr>
        <w:t> session</w:t>
      </w:r>
    </w:p>
    <w:p w:rsidR="00E96081" w:rsidRPr="006D33D9" w:rsidRDefault="00E96081" w:rsidP="00E96081">
      <w:r>
        <w:t>Genève, 15-18 novembre 2016</w:t>
      </w:r>
    </w:p>
    <w:p w:rsidR="00E96081" w:rsidRPr="00AF2205" w:rsidRDefault="00E96081" w:rsidP="00E96081">
      <w:r>
        <w:t>Point 4.6.7 de l’ordre du jour provisoire</w:t>
      </w:r>
    </w:p>
    <w:p w:rsidR="00E96081" w:rsidRPr="00AF2205" w:rsidRDefault="00E96081" w:rsidP="00E96081">
      <w:pPr>
        <w:rPr>
          <w:b/>
        </w:rPr>
      </w:pPr>
      <w:r>
        <w:rPr>
          <w:b/>
        </w:rPr>
        <w:t>Accord de 1958 − Examen de projets d’amendements</w:t>
      </w:r>
      <w:r>
        <w:rPr>
          <w:b/>
        </w:rPr>
        <w:br/>
        <w:t>à des Règlements existants, soumis par le GRE</w:t>
      </w:r>
    </w:p>
    <w:p w:rsidR="00E96081" w:rsidRPr="00A90EA8" w:rsidRDefault="00E96081" w:rsidP="00E96081">
      <w:pPr>
        <w:pStyle w:val="HChG"/>
      </w:pPr>
      <w:r>
        <w:tab/>
      </w:r>
      <w:r>
        <w:tab/>
        <w:t>Proposition de complément 19 à la série 01 d’amendements</w:t>
      </w:r>
      <w:r>
        <w:br/>
        <w:t xml:space="preserve">au Règlement </w:t>
      </w:r>
      <w:r>
        <w:rPr>
          <w:rFonts w:eastAsia="MS Mincho"/>
        </w:rPr>
        <w:t>n</w:t>
      </w:r>
      <w:r>
        <w:rPr>
          <w:rFonts w:eastAsia="MS Mincho"/>
          <w:vertAlign w:val="superscript"/>
        </w:rPr>
        <w:t>o</w:t>
      </w:r>
      <w:r>
        <w:t> 53 (</w:t>
      </w:r>
      <w:r w:rsidRPr="00E96081">
        <w:t>Installation</w:t>
      </w:r>
      <w:r>
        <w:t xml:space="preserve"> des dispositifs d’éclairage</w:t>
      </w:r>
      <w:r>
        <w:br/>
        <w:t>et de signalisation lumineuse sur les véhicules</w:t>
      </w:r>
      <w:r>
        <w:br/>
        <w:t>de la catégorie L</w:t>
      </w:r>
      <w:r>
        <w:rPr>
          <w:vertAlign w:val="subscript"/>
        </w:rPr>
        <w:t>3</w:t>
      </w:r>
      <w:r>
        <w:t>)</w:t>
      </w:r>
    </w:p>
    <w:p w:rsidR="00E96081" w:rsidRPr="00A90EA8" w:rsidRDefault="00E96081" w:rsidP="00E96081">
      <w:pPr>
        <w:pStyle w:val="H1G"/>
      </w:pPr>
      <w:r>
        <w:tab/>
      </w:r>
      <w:r>
        <w:tab/>
        <w:t>Communication du Groupe de travail de l’éclairage</w:t>
      </w:r>
      <w:r>
        <w:br/>
        <w:t>et de la signalisation lumineuse</w:t>
      </w:r>
      <w:r w:rsidRPr="00E96081">
        <w:rPr>
          <w:b w:val="0"/>
          <w:sz w:val="20"/>
        </w:rPr>
        <w:footnoteReference w:customMarkFollows="1" w:id="2"/>
        <w:t>*</w:t>
      </w:r>
    </w:p>
    <w:p w:rsidR="00E96081" w:rsidRPr="00E96081" w:rsidRDefault="00E96081" w:rsidP="00E96081">
      <w:pPr>
        <w:pStyle w:val="SingleTxtG"/>
        <w:ind w:firstLine="567"/>
        <w:rPr>
          <w:b/>
          <w:spacing w:val="-4"/>
        </w:rPr>
      </w:pPr>
      <w:r w:rsidRPr="00E96081">
        <w:rPr>
          <w:spacing w:val="-4"/>
        </w:rPr>
        <w:t xml:space="preserve">Le texte </w:t>
      </w:r>
      <w:r>
        <w:rPr>
          <w:spacing w:val="-4"/>
        </w:rPr>
        <w:t xml:space="preserve">ci-après, </w:t>
      </w:r>
      <w:r w:rsidRPr="00E96081">
        <w:rPr>
          <w:spacing w:val="-4"/>
        </w:rPr>
        <w:t>adopté par le Groupe de travail de l’éclairage et de la signalisation lumineuse (GRE) à sa soixante-quinzième session (ECE/TRANS/WP.29/GRE/75, par. 37), est fondé sur le document ECE/TRANS/WP.29/GRE/2016/15. Il est soumis au Forum mondial de l’harmonisation des Règlements concernant les véhicules (WP.29) et au Comité d’administration de l’Accord de 1958 (AC.1) pour examen à leurs sessions de novembre 2016.</w:t>
      </w:r>
    </w:p>
    <w:p w:rsidR="00E96081" w:rsidRPr="00A90EA8" w:rsidRDefault="00E96081" w:rsidP="00E96081">
      <w:pPr>
        <w:pStyle w:val="HChG"/>
      </w:pPr>
      <w:r>
        <w:br w:type="page"/>
      </w:r>
      <w:r>
        <w:lastRenderedPageBreak/>
        <w:tab/>
      </w:r>
      <w:r>
        <w:tab/>
        <w:t>Complément 19 à la série 01 d’amendements</w:t>
      </w:r>
      <w:r>
        <w:br/>
        <w:t xml:space="preserve">au Règlement </w:t>
      </w:r>
      <w:r>
        <w:rPr>
          <w:rFonts w:eastAsia="MS Mincho"/>
        </w:rPr>
        <w:t>n</w:t>
      </w:r>
      <w:r>
        <w:rPr>
          <w:rFonts w:eastAsia="MS Mincho"/>
          <w:vertAlign w:val="superscript"/>
        </w:rPr>
        <w:t>o</w:t>
      </w:r>
      <w:r>
        <w:t> 53 (Installation des dispositifs</w:t>
      </w:r>
      <w:r>
        <w:br/>
        <w:t>d’éclairage et de signalisation lumineuse sur</w:t>
      </w:r>
      <w:r>
        <w:br/>
        <w:t>les véhicules de la catégorie L</w:t>
      </w:r>
      <w:r>
        <w:rPr>
          <w:vertAlign w:val="subscript"/>
        </w:rPr>
        <w:t>3</w:t>
      </w:r>
      <w:r>
        <w:t>)</w:t>
      </w:r>
    </w:p>
    <w:p w:rsidR="00E96081" w:rsidRPr="00B132F6" w:rsidRDefault="00E96081" w:rsidP="00E96081">
      <w:pPr>
        <w:pStyle w:val="SingleTxtG"/>
      </w:pPr>
      <w:r w:rsidRPr="00E96081">
        <w:rPr>
          <w:i/>
        </w:rPr>
        <w:t>Paragraphe 6.2.5.7</w:t>
      </w:r>
      <w:r>
        <w:t>, lire :</w:t>
      </w:r>
    </w:p>
    <w:p w:rsidR="00E96081" w:rsidRPr="00303040" w:rsidRDefault="00E96081" w:rsidP="00E96081">
      <w:pPr>
        <w:pStyle w:val="SingleTxtG"/>
        <w:ind w:left="2268" w:hanging="1134"/>
      </w:pPr>
      <w:r>
        <w:t>« 6.2.5.7</w:t>
      </w:r>
      <w:r>
        <w:tab/>
        <w:t xml:space="preserve">La ou les </w:t>
      </w:r>
      <w:r w:rsidRPr="00E96081">
        <w:t>sources</w:t>
      </w:r>
      <w:r>
        <w:t xml:space="preserve"> lumineuses supplémentaires ou l’unité ou les unités d’éclairage supplémentaires ne peuvent être mises en fonction que conjointement avec le faisceau de croisement principal ou le feu de route,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w:t>
      </w:r>
      <w:r>
        <w:rPr>
          <w:rFonts w:eastAsia="MS Mincho"/>
        </w:rPr>
        <w:t>n</w:t>
      </w:r>
      <w:r>
        <w:rPr>
          <w:rFonts w:eastAsia="MS Mincho"/>
          <w:vertAlign w:val="superscript"/>
        </w:rPr>
        <w:t>o</w:t>
      </w:r>
      <w:r>
        <w:t> 113. ».</w:t>
      </w:r>
    </w:p>
    <w:p w:rsidR="00E96081" w:rsidRPr="00B132F6" w:rsidRDefault="00E96081" w:rsidP="00E96081">
      <w:pPr>
        <w:pStyle w:val="SingleTxtG"/>
      </w:pPr>
      <w:r w:rsidRPr="00E96081">
        <w:rPr>
          <w:i/>
        </w:rPr>
        <w:t>Paragraphe 6.2.6.1</w:t>
      </w:r>
      <w:r>
        <w:t>, lire :</w:t>
      </w:r>
    </w:p>
    <w:p w:rsidR="00E96081" w:rsidRPr="00303040" w:rsidRDefault="00E96081" w:rsidP="00E96081">
      <w:pPr>
        <w:pStyle w:val="SingleTxtG"/>
        <w:ind w:left="2268" w:hanging="1134"/>
      </w:pPr>
      <w:r>
        <w:t>« 6.2.6.1</w:t>
      </w:r>
      <w:r>
        <w:tab/>
        <w:t xml:space="preserve">Le branchement de la ou des sources lumineuses supplémentaires ou de l’unité ou des unités d’éclairage supplémentaires servant à produire l’éclairage </w:t>
      </w:r>
      <w:r w:rsidRPr="00E96081">
        <w:t>de</w:t>
      </w:r>
      <w:r>
        <w:t xml:space="preserve"> virage doit être tel qu’elles ne puissent pas être allumées si le ou les projecteurs émettant le faisceau de croisement principal ou le feu de route ne sont pas également allumés.</w:t>
      </w:r>
    </w:p>
    <w:p w:rsidR="00E96081" w:rsidRPr="001637AB" w:rsidRDefault="00E96081" w:rsidP="00E96081">
      <w:pPr>
        <w:pStyle w:val="SingleTxtG"/>
        <w:ind w:firstLine="1134"/>
      </w:pPr>
      <w:r w:rsidRPr="004B1242">
        <w:t>La ou les sources lumineuses supplémentaires...</w:t>
      </w:r>
      <w:r>
        <w:t> </w:t>
      </w:r>
      <w:r w:rsidRPr="004B1242">
        <w:t>».</w:t>
      </w:r>
    </w:p>
    <w:p w:rsidR="00F9573C" w:rsidRPr="00E96081" w:rsidRDefault="00E96081" w:rsidP="00E96081">
      <w:pPr>
        <w:pStyle w:val="SingleTxtG"/>
        <w:spacing w:before="240" w:after="0"/>
        <w:jc w:val="center"/>
        <w:rPr>
          <w:u w:val="single"/>
        </w:rPr>
      </w:pPr>
      <w:r>
        <w:rPr>
          <w:u w:val="single"/>
        </w:rPr>
        <w:tab/>
      </w:r>
      <w:r>
        <w:rPr>
          <w:u w:val="single"/>
        </w:rPr>
        <w:tab/>
      </w:r>
      <w:r>
        <w:rPr>
          <w:u w:val="single"/>
        </w:rPr>
        <w:tab/>
      </w:r>
    </w:p>
    <w:sectPr w:rsidR="00F9573C" w:rsidRPr="00E96081" w:rsidSect="00E9608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53" w:rsidRDefault="00C03A53" w:rsidP="00F95C08">
      <w:pPr>
        <w:spacing w:line="240" w:lineRule="auto"/>
      </w:pPr>
    </w:p>
  </w:endnote>
  <w:endnote w:type="continuationSeparator" w:id="0">
    <w:p w:rsidR="00C03A53" w:rsidRPr="00AC3823" w:rsidRDefault="00C03A53" w:rsidP="00AC3823">
      <w:pPr>
        <w:pStyle w:val="Footer"/>
      </w:pPr>
    </w:p>
  </w:endnote>
  <w:endnote w:type="continuationNotice" w:id="1">
    <w:p w:rsidR="00C03A53" w:rsidRDefault="00C03A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81" w:rsidRPr="00E96081" w:rsidRDefault="00E96081" w:rsidP="00E96081">
    <w:pPr>
      <w:pStyle w:val="Footer"/>
      <w:tabs>
        <w:tab w:val="right" w:pos="9638"/>
      </w:tabs>
    </w:pPr>
    <w:r w:rsidRPr="00E96081">
      <w:rPr>
        <w:b/>
        <w:sz w:val="18"/>
      </w:rPr>
      <w:fldChar w:fldCharType="begin"/>
    </w:r>
    <w:r w:rsidRPr="00E96081">
      <w:rPr>
        <w:b/>
        <w:sz w:val="18"/>
      </w:rPr>
      <w:instrText xml:space="preserve"> PAGE  \* MERGEFORMAT </w:instrText>
    </w:r>
    <w:r w:rsidRPr="00E96081">
      <w:rPr>
        <w:b/>
        <w:sz w:val="18"/>
      </w:rPr>
      <w:fldChar w:fldCharType="separate"/>
    </w:r>
    <w:r w:rsidR="00EE2A77">
      <w:rPr>
        <w:b/>
        <w:noProof/>
        <w:sz w:val="18"/>
      </w:rPr>
      <w:t>2</w:t>
    </w:r>
    <w:r w:rsidRPr="00E96081">
      <w:rPr>
        <w:b/>
        <w:sz w:val="18"/>
      </w:rPr>
      <w:fldChar w:fldCharType="end"/>
    </w:r>
    <w:r>
      <w:rPr>
        <w:b/>
        <w:sz w:val="18"/>
      </w:rPr>
      <w:tab/>
    </w:r>
    <w:r>
      <w:t>GE.16-15047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81" w:rsidRPr="00E96081" w:rsidRDefault="00E96081" w:rsidP="00E96081">
    <w:pPr>
      <w:pStyle w:val="Footer"/>
      <w:tabs>
        <w:tab w:val="right" w:pos="9638"/>
      </w:tabs>
      <w:rPr>
        <w:b/>
        <w:sz w:val="18"/>
      </w:rPr>
    </w:pPr>
    <w:r>
      <w:t>GE.16-15047</w:t>
    </w:r>
    <w:r>
      <w:tab/>
    </w:r>
    <w:r w:rsidRPr="00E96081">
      <w:rPr>
        <w:b/>
        <w:sz w:val="18"/>
      </w:rPr>
      <w:fldChar w:fldCharType="begin"/>
    </w:r>
    <w:r w:rsidRPr="00E96081">
      <w:rPr>
        <w:b/>
        <w:sz w:val="18"/>
      </w:rPr>
      <w:instrText xml:space="preserve"> PAGE  \* MERGEFORMAT </w:instrText>
    </w:r>
    <w:r w:rsidRPr="00E96081">
      <w:rPr>
        <w:b/>
        <w:sz w:val="18"/>
      </w:rPr>
      <w:fldChar w:fldCharType="separate"/>
    </w:r>
    <w:r>
      <w:rPr>
        <w:b/>
        <w:noProof/>
        <w:sz w:val="18"/>
      </w:rPr>
      <w:t>3</w:t>
    </w:r>
    <w:r w:rsidRPr="00E960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E96081" w:rsidRDefault="00E96081" w:rsidP="00E9608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797B527" wp14:editId="120D994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16-15047  (F)    260916    290916</w:t>
    </w:r>
    <w:r>
      <w:rPr>
        <w:sz w:val="20"/>
      </w:rPr>
      <w:br/>
    </w:r>
    <w:r w:rsidRPr="00E96081">
      <w:rPr>
        <w:rFonts w:ascii="C39T30Lfz" w:hAnsi="C39T30Lfz"/>
        <w:sz w:val="56"/>
      </w:rPr>
      <w:t></w:t>
    </w:r>
    <w:r w:rsidRPr="00E96081">
      <w:rPr>
        <w:rFonts w:ascii="C39T30Lfz" w:hAnsi="C39T30Lfz"/>
        <w:sz w:val="56"/>
      </w:rPr>
      <w:t></w:t>
    </w:r>
    <w:r w:rsidRPr="00E96081">
      <w:rPr>
        <w:rFonts w:ascii="C39T30Lfz" w:hAnsi="C39T30Lfz"/>
        <w:sz w:val="56"/>
      </w:rPr>
      <w:t></w:t>
    </w:r>
    <w:r w:rsidRPr="00E96081">
      <w:rPr>
        <w:rFonts w:ascii="C39T30Lfz" w:hAnsi="C39T30Lfz"/>
        <w:sz w:val="56"/>
      </w:rPr>
      <w:t></w:t>
    </w:r>
    <w:r w:rsidRPr="00E96081">
      <w:rPr>
        <w:rFonts w:ascii="C39T30Lfz" w:hAnsi="C39T30Lfz"/>
        <w:sz w:val="56"/>
      </w:rPr>
      <w:t></w:t>
    </w:r>
    <w:r w:rsidRPr="00E96081">
      <w:rPr>
        <w:rFonts w:ascii="C39T30Lfz" w:hAnsi="C39T30Lfz"/>
        <w:sz w:val="56"/>
      </w:rPr>
      <w:t></w:t>
    </w:r>
    <w:r w:rsidRPr="00E96081">
      <w:rPr>
        <w:rFonts w:ascii="C39T30Lfz" w:hAnsi="C39T30Lfz"/>
        <w:sz w:val="56"/>
      </w:rPr>
      <w:t></w:t>
    </w:r>
    <w:r w:rsidRPr="00E96081">
      <w:rPr>
        <w:rFonts w:ascii="C39T30Lfz" w:hAnsi="C39T30Lfz"/>
        <w:sz w:val="56"/>
      </w:rPr>
      <w:t></w:t>
    </w:r>
    <w:r w:rsidRPr="00E9608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53" w:rsidRPr="00AC3823" w:rsidRDefault="00C03A53" w:rsidP="00AC3823">
      <w:pPr>
        <w:pStyle w:val="Footer"/>
        <w:tabs>
          <w:tab w:val="right" w:pos="2155"/>
        </w:tabs>
        <w:spacing w:after="80" w:line="240" w:lineRule="atLeast"/>
        <w:ind w:left="680"/>
        <w:rPr>
          <w:u w:val="single"/>
        </w:rPr>
      </w:pPr>
      <w:r>
        <w:rPr>
          <w:u w:val="single"/>
        </w:rPr>
        <w:tab/>
      </w:r>
    </w:p>
  </w:footnote>
  <w:footnote w:type="continuationSeparator" w:id="0">
    <w:p w:rsidR="00C03A53" w:rsidRPr="00AC3823" w:rsidRDefault="00C03A53" w:rsidP="00AC3823">
      <w:pPr>
        <w:pStyle w:val="Footer"/>
        <w:tabs>
          <w:tab w:val="right" w:pos="2155"/>
        </w:tabs>
        <w:spacing w:after="80" w:line="240" w:lineRule="atLeast"/>
        <w:ind w:left="680"/>
        <w:rPr>
          <w:u w:val="single"/>
        </w:rPr>
      </w:pPr>
      <w:r>
        <w:rPr>
          <w:u w:val="single"/>
        </w:rPr>
        <w:tab/>
      </w:r>
    </w:p>
  </w:footnote>
  <w:footnote w:type="continuationNotice" w:id="1">
    <w:p w:rsidR="00C03A53" w:rsidRPr="00AC3823" w:rsidRDefault="00C03A53">
      <w:pPr>
        <w:spacing w:line="240" w:lineRule="auto"/>
        <w:rPr>
          <w:sz w:val="2"/>
          <w:szCs w:val="2"/>
        </w:rPr>
      </w:pPr>
    </w:p>
  </w:footnote>
  <w:footnote w:id="2">
    <w:p w:rsidR="00E96081" w:rsidRPr="00A37E9C" w:rsidRDefault="00E96081" w:rsidP="00E96081">
      <w:pPr>
        <w:pStyle w:val="FootnoteText"/>
      </w:pPr>
      <w:r>
        <w:tab/>
      </w:r>
      <w:r>
        <w:rPr>
          <w:sz w:val="20"/>
        </w:rPr>
        <w:t>*</w:t>
      </w:r>
      <w:r>
        <w:tab/>
        <w:t>Conformément au programme de travail du Comité des transports intérieurs pour la période 2016</w:t>
      </w:r>
      <w:r w:rsidR="005C5FB0">
        <w:noBreakHyphen/>
      </w:r>
      <w:r>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81" w:rsidRPr="00E96081" w:rsidRDefault="00E96081">
    <w:pPr>
      <w:pStyle w:val="Header"/>
    </w:pPr>
    <w:r>
      <w:t>ECE/TRANS/WP.29/2016/81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81" w:rsidRPr="00E96081" w:rsidRDefault="00E96081" w:rsidP="00E96081">
    <w:pPr>
      <w:pStyle w:val="Header"/>
      <w:jc w:val="right"/>
    </w:pPr>
    <w:r>
      <w:t>ECE/TRANS/WP.29/2016/81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53"/>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5C5FB0"/>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C03A53"/>
    <w:rsid w:val="00D3439C"/>
    <w:rsid w:val="00DB1831"/>
    <w:rsid w:val="00DD3BFD"/>
    <w:rsid w:val="00DF6678"/>
    <w:rsid w:val="00E85C74"/>
    <w:rsid w:val="00E96081"/>
    <w:rsid w:val="00EA6547"/>
    <w:rsid w:val="00EE2A7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07F38A-AB06-4373-8D64-10960CD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rsid w:val="00E96081"/>
    <w:rPr>
      <w:rFonts w:ascii="Times New Roman" w:hAnsi="Times New Roman" w:cs="Times New Roman"/>
      <w:sz w:val="20"/>
      <w:szCs w:val="20"/>
      <w:lang w:eastAsia="en-US"/>
    </w:rPr>
  </w:style>
  <w:style w:type="character" w:customStyle="1" w:styleId="HChGChar">
    <w:name w:val="_ H _Ch_G Char"/>
    <w:link w:val="HChG"/>
    <w:rsid w:val="00E96081"/>
    <w:rPr>
      <w:rFonts w:ascii="Times New Roman" w:hAnsi="Times New Roman" w:cs="Times New Roman"/>
      <w:b/>
      <w:sz w:val="28"/>
      <w:szCs w:val="20"/>
      <w:lang w:eastAsia="en-US"/>
    </w:rPr>
  </w:style>
  <w:style w:type="paragraph" w:customStyle="1" w:styleId="para">
    <w:name w:val="para"/>
    <w:basedOn w:val="Normal"/>
    <w:link w:val="paraChar"/>
    <w:qFormat/>
    <w:rsid w:val="00E96081"/>
    <w:pPr>
      <w:kinsoku/>
      <w:overflowPunct/>
      <w:autoSpaceDE/>
      <w:autoSpaceDN/>
      <w:adjustRightInd/>
      <w:snapToGrid/>
      <w:spacing w:after="120"/>
      <w:ind w:left="2268" w:right="1134" w:hanging="1134"/>
      <w:jc w:val="both"/>
    </w:pPr>
    <w:rPr>
      <w:lang w:eastAsia="fr-CH" w:bidi="fr-CH"/>
    </w:rPr>
  </w:style>
  <w:style w:type="character" w:customStyle="1" w:styleId="paraChar">
    <w:name w:val="para Char"/>
    <w:link w:val="para"/>
    <w:rsid w:val="00E96081"/>
    <w:rPr>
      <w:rFonts w:ascii="Times New Roman" w:hAnsi="Times New Roman" w:cs="Times New Roman"/>
      <w:sz w:val="20"/>
      <w:szCs w:val="20"/>
      <w:lang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ECE/TRANS/WP.29/2016/81</vt:lpstr>
      <vt:lpstr>ECE/TRANS/WP.29/2016/81</vt:lpstr>
    </vt:vector>
  </TitlesOfParts>
  <Company>DCM</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ECE/TRANS/WP.29/2016/81</dc:title>
  <dc:subject>final</dc:subject>
  <dc:creator>Beaunee</dc:creator>
  <cp:keywords/>
  <dc:description/>
  <cp:lastModifiedBy>Caillot</cp:lastModifiedBy>
  <cp:revision>2</cp:revision>
  <cp:lastPrinted>2016-09-29T07:36:00Z</cp:lastPrinted>
  <dcterms:created xsi:type="dcterms:W3CDTF">2016-10-10T15:18:00Z</dcterms:created>
  <dcterms:modified xsi:type="dcterms:W3CDTF">2016-10-10T15:18:00Z</dcterms:modified>
</cp:coreProperties>
</file>