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B111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B111F" w:rsidP="009B111F">
            <w:pPr>
              <w:jc w:val="right"/>
            </w:pPr>
            <w:r w:rsidRPr="009B111F">
              <w:rPr>
                <w:sz w:val="40"/>
              </w:rPr>
              <w:t>ECE</w:t>
            </w:r>
            <w:r>
              <w:t>/TRANS/WP.29/2016/53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B111F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9B111F" w:rsidRDefault="009B111F" w:rsidP="009B111F">
            <w:pPr>
              <w:spacing w:line="240" w:lineRule="exact"/>
            </w:pPr>
            <w:r>
              <w:t>5 avril 2016</w:t>
            </w:r>
          </w:p>
          <w:p w:rsidR="009B111F" w:rsidRDefault="009B111F" w:rsidP="009B111F">
            <w:pPr>
              <w:spacing w:line="240" w:lineRule="exact"/>
            </w:pPr>
            <w:r>
              <w:t>Français</w:t>
            </w:r>
          </w:p>
          <w:p w:rsidR="009B111F" w:rsidRPr="00DB58B5" w:rsidRDefault="009B111F" w:rsidP="009B111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81F7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B111F" w:rsidRDefault="009B111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81F7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B111F" w:rsidRDefault="009B111F" w:rsidP="00AF0CB5">
      <w:pPr>
        <w:spacing w:before="120" w:line="240" w:lineRule="exact"/>
        <w:rPr>
          <w:b/>
        </w:rPr>
      </w:pPr>
      <w:r>
        <w:rPr>
          <w:b/>
        </w:rPr>
        <w:t>169</w:t>
      </w:r>
      <w:r w:rsidRPr="009B111F">
        <w:rPr>
          <w:b/>
          <w:vertAlign w:val="superscript"/>
        </w:rPr>
        <w:t>e</w:t>
      </w:r>
      <w:r>
        <w:rPr>
          <w:b/>
        </w:rPr>
        <w:t> session</w:t>
      </w:r>
    </w:p>
    <w:p w:rsidR="009B111F" w:rsidRPr="008E4CBA" w:rsidRDefault="009B111F" w:rsidP="009B111F">
      <w:pPr>
        <w:rPr>
          <w:lang w:val="fr-FR"/>
        </w:rPr>
      </w:pPr>
      <w:r>
        <w:t xml:space="preserve">Genève, </w:t>
      </w:r>
      <w:r w:rsidRPr="008E4CBA">
        <w:rPr>
          <w:lang w:val="fr-FR"/>
        </w:rPr>
        <w:t>21-24</w:t>
      </w:r>
      <w:r>
        <w:rPr>
          <w:lang w:val="fr-FR"/>
        </w:rPr>
        <w:t> </w:t>
      </w:r>
      <w:r w:rsidRPr="008E4CBA">
        <w:rPr>
          <w:lang w:val="fr-FR"/>
        </w:rPr>
        <w:t>juin 2016</w:t>
      </w:r>
    </w:p>
    <w:p w:rsidR="009B111F" w:rsidRPr="008E4CBA" w:rsidRDefault="009B111F" w:rsidP="009B111F">
      <w:pPr>
        <w:rPr>
          <w:lang w:val="fr-FR"/>
        </w:rPr>
      </w:pPr>
      <w:r w:rsidRPr="008E4CBA">
        <w:rPr>
          <w:lang w:val="fr-FR"/>
        </w:rPr>
        <w:t>Point 4.9.5 de l</w:t>
      </w:r>
      <w:r w:rsidR="00281F7C">
        <w:rPr>
          <w:lang w:val="fr-FR"/>
        </w:rPr>
        <w:t>’</w:t>
      </w:r>
      <w:r w:rsidRPr="008E4CBA">
        <w:rPr>
          <w:lang w:val="fr-FR"/>
        </w:rPr>
        <w:t>ordre du jour provisoire</w:t>
      </w:r>
    </w:p>
    <w:p w:rsidR="009B111F" w:rsidRPr="008E4CBA" w:rsidRDefault="009B111F" w:rsidP="009B111F">
      <w:pPr>
        <w:rPr>
          <w:b/>
          <w:lang w:val="fr-FR"/>
        </w:rPr>
      </w:pPr>
      <w:r w:rsidRPr="008E4CBA">
        <w:rPr>
          <w:b/>
          <w:lang w:val="fr-FR"/>
        </w:rPr>
        <w:t>Accord de 1958</w:t>
      </w:r>
      <w:r>
        <w:rPr>
          <w:b/>
          <w:lang w:val="fr-FR"/>
        </w:rPr>
        <w:t> </w:t>
      </w:r>
      <w:r w:rsidRPr="008E4CBA">
        <w:rPr>
          <w:b/>
          <w:lang w:val="fr-FR"/>
        </w:rPr>
        <w:t>: Examen de projets d</w:t>
      </w:r>
      <w:r w:rsidR="00281F7C">
        <w:rPr>
          <w:b/>
          <w:lang w:val="fr-FR"/>
        </w:rPr>
        <w:t>’</w:t>
      </w:r>
      <w:r w:rsidRPr="008E4CBA">
        <w:rPr>
          <w:b/>
          <w:lang w:val="fr-FR"/>
        </w:rPr>
        <w:t>amendements</w:t>
      </w:r>
    </w:p>
    <w:p w:rsidR="009B111F" w:rsidRPr="008E4CBA" w:rsidRDefault="009B111F" w:rsidP="009B111F">
      <w:pPr>
        <w:rPr>
          <w:b/>
          <w:lang w:val="fr-FR"/>
        </w:rPr>
      </w:pPr>
      <w:proofErr w:type="gramStart"/>
      <w:r w:rsidRPr="008E4CBA">
        <w:rPr>
          <w:b/>
          <w:lang w:val="fr-FR"/>
        </w:rPr>
        <w:t>à</w:t>
      </w:r>
      <w:proofErr w:type="gramEnd"/>
      <w:r w:rsidRPr="008E4CBA">
        <w:rPr>
          <w:b/>
          <w:lang w:val="fr-FR"/>
        </w:rPr>
        <w:t xml:space="preserve"> des Règlements existants, proposés par le GRRF</w:t>
      </w:r>
    </w:p>
    <w:p w:rsidR="009B111F" w:rsidRPr="008E4CBA" w:rsidRDefault="009B111F" w:rsidP="009B111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E4CBA">
        <w:rPr>
          <w:lang w:val="fr-FR"/>
        </w:rPr>
        <w:t>Proposition de complément 6 à la série 01 d</w:t>
      </w:r>
      <w:r w:rsidR="00281F7C">
        <w:rPr>
          <w:lang w:val="fr-FR"/>
        </w:rPr>
        <w:t>’</w:t>
      </w:r>
      <w:r w:rsidRPr="008E4CBA">
        <w:rPr>
          <w:lang w:val="fr-FR"/>
        </w:rPr>
        <w:t xml:space="preserve">amendements </w:t>
      </w:r>
      <w:r>
        <w:rPr>
          <w:lang w:val="fr-FR"/>
        </w:rPr>
        <w:br/>
      </w:r>
      <w:r w:rsidRPr="008E4CBA">
        <w:rPr>
          <w:lang w:val="fr-FR"/>
        </w:rPr>
        <w:t>au Règlement n</w:t>
      </w:r>
      <w:r w:rsidRPr="008E4CBA">
        <w:rPr>
          <w:vertAlign w:val="superscript"/>
          <w:lang w:val="fr-FR"/>
        </w:rPr>
        <w:t>o</w:t>
      </w:r>
      <w:r w:rsidRPr="008E4CBA">
        <w:rPr>
          <w:lang w:val="fr-FR"/>
        </w:rPr>
        <w:t> 55 (Pièces mécaniques d</w:t>
      </w:r>
      <w:r w:rsidR="00281F7C">
        <w:rPr>
          <w:lang w:val="fr-FR"/>
        </w:rPr>
        <w:t>’</w:t>
      </w:r>
      <w:r w:rsidRPr="008E4CBA">
        <w:rPr>
          <w:lang w:val="fr-FR"/>
        </w:rPr>
        <w:t>attelage)</w:t>
      </w:r>
    </w:p>
    <w:p w:rsidR="009B111F" w:rsidRPr="008E4CBA" w:rsidRDefault="009B111F" w:rsidP="009B111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E4CBA">
        <w:rPr>
          <w:lang w:val="fr-FR"/>
        </w:rPr>
        <w:t xml:space="preserve">Communication du Groupe de travail en matière de roulement </w:t>
      </w:r>
      <w:r>
        <w:rPr>
          <w:lang w:val="fr-FR"/>
        </w:rPr>
        <w:br/>
      </w:r>
      <w:r w:rsidRPr="008E4CBA">
        <w:rPr>
          <w:lang w:val="fr-FR"/>
        </w:rPr>
        <w:t>et de freinage</w:t>
      </w:r>
      <w:r w:rsidRPr="009B111F">
        <w:rPr>
          <w:rStyle w:val="FootnoteReference"/>
          <w:b w:val="0"/>
          <w:vertAlign w:val="baseline"/>
        </w:rPr>
        <w:footnoteReference w:customMarkFollows="1" w:id="2"/>
        <w:t>*</w:t>
      </w:r>
    </w:p>
    <w:p w:rsidR="00986662" w:rsidRDefault="009B111F" w:rsidP="009B111F">
      <w:pPr>
        <w:pStyle w:val="SingleTxtG"/>
        <w:rPr>
          <w:lang w:val="fr-FR"/>
        </w:rPr>
      </w:pPr>
      <w:r>
        <w:rPr>
          <w:lang w:val="fr-FR"/>
        </w:rPr>
        <w:tab/>
      </w:r>
      <w:r w:rsidRPr="008E4CBA">
        <w:rPr>
          <w:lang w:val="fr-FR"/>
        </w:rPr>
        <w:t>Le texte ci-après, adopté par le Groupe de travail en matière de roulement et de freinage (GRRF) à sa quatre-vingt-unième session (</w:t>
      </w:r>
      <w:r w:rsidRPr="008E4CBA">
        <w:rPr>
          <w:bCs/>
          <w:lang w:val="fr-FR"/>
        </w:rPr>
        <w:t>ECE/TRANS/WP.29/GRRF/81, par.</w:t>
      </w:r>
      <w:r>
        <w:rPr>
          <w:bCs/>
          <w:lang w:val="fr-FR"/>
        </w:rPr>
        <w:t> </w:t>
      </w:r>
      <w:r w:rsidRPr="008E4CBA">
        <w:rPr>
          <w:bCs/>
          <w:lang w:val="fr-FR"/>
        </w:rPr>
        <w:t>12</w:t>
      </w:r>
      <w:r w:rsidRPr="008E4CBA">
        <w:rPr>
          <w:lang w:val="fr-FR"/>
        </w:rPr>
        <w:t>)</w:t>
      </w:r>
      <w:r w:rsidR="00281F7C">
        <w:rPr>
          <w:lang w:val="fr-FR"/>
        </w:rPr>
        <w:t>,</w:t>
      </w:r>
      <w:r w:rsidRPr="008E4CBA">
        <w:rPr>
          <w:lang w:val="fr-FR"/>
        </w:rPr>
        <w:t xml:space="preserve"> est fondé sur l</w:t>
      </w:r>
      <w:r w:rsidR="00281F7C">
        <w:rPr>
          <w:lang w:val="fr-FR"/>
        </w:rPr>
        <w:t>’</w:t>
      </w:r>
      <w:r w:rsidRPr="008E4CBA">
        <w:rPr>
          <w:lang w:val="fr-FR"/>
        </w:rPr>
        <w:t xml:space="preserve">annexe </w:t>
      </w:r>
      <w:r w:rsidRPr="008E4CBA">
        <w:rPr>
          <w:bCs/>
          <w:lang w:val="fr-FR"/>
        </w:rPr>
        <w:t xml:space="preserve">II du rapport. </w:t>
      </w:r>
      <w:r w:rsidRPr="008E4CBA">
        <w:rPr>
          <w:lang w:val="fr-FR"/>
        </w:rPr>
        <w:t>Il est soumis au Forum mondial de l</w:t>
      </w:r>
      <w:r w:rsidR="00281F7C">
        <w:rPr>
          <w:lang w:val="fr-FR"/>
        </w:rPr>
        <w:t>’</w:t>
      </w:r>
      <w:r w:rsidRPr="008E4CBA">
        <w:rPr>
          <w:lang w:val="fr-FR"/>
        </w:rPr>
        <w:t>harmonisation des Règlements concernant les véhicules (WP.29) et au Comité d</w:t>
      </w:r>
      <w:r w:rsidR="00281F7C">
        <w:rPr>
          <w:lang w:val="fr-FR"/>
        </w:rPr>
        <w:t>’</w:t>
      </w:r>
      <w:r w:rsidRPr="008E4CBA">
        <w:rPr>
          <w:lang w:val="fr-FR"/>
        </w:rPr>
        <w:t>administration (AC.1) pour examen à leurs sessions de juin 2016.</w:t>
      </w:r>
    </w:p>
    <w:p w:rsidR="00986662" w:rsidRPr="008E4CBA" w:rsidRDefault="00986662" w:rsidP="00986662">
      <w:pPr>
        <w:pStyle w:val="HChG"/>
        <w:rPr>
          <w:lang w:val="fr-FR"/>
        </w:rPr>
      </w:pPr>
      <w:r>
        <w:rPr>
          <w:lang w:val="fr-FR"/>
        </w:rPr>
        <w:br w:type="page"/>
      </w:r>
      <w:r w:rsidRPr="008E4CBA">
        <w:rPr>
          <w:lang w:val="fr-FR"/>
        </w:rPr>
        <w:lastRenderedPageBreak/>
        <w:tab/>
      </w:r>
      <w:r w:rsidRPr="008E4CBA">
        <w:rPr>
          <w:lang w:val="fr-FR"/>
        </w:rPr>
        <w:tab/>
        <w:t>Complément 6 à la série 01 d</w:t>
      </w:r>
      <w:r w:rsidR="00281F7C">
        <w:rPr>
          <w:lang w:val="fr-FR"/>
        </w:rPr>
        <w:t>’</w:t>
      </w:r>
      <w:r w:rsidRPr="008E4CBA">
        <w:rPr>
          <w:lang w:val="fr-FR"/>
        </w:rPr>
        <w:t>amendements au Règlement n</w:t>
      </w:r>
      <w:r w:rsidRPr="008E4CBA">
        <w:rPr>
          <w:vertAlign w:val="superscript"/>
          <w:lang w:val="fr-FR"/>
        </w:rPr>
        <w:t>o</w:t>
      </w:r>
      <w:r w:rsidRPr="008E4CBA">
        <w:rPr>
          <w:lang w:val="fr-FR"/>
        </w:rPr>
        <w:t> 55 (Pièces mécaniques d</w:t>
      </w:r>
      <w:r w:rsidR="00281F7C">
        <w:rPr>
          <w:lang w:val="fr-FR"/>
        </w:rPr>
        <w:t>’</w:t>
      </w:r>
      <w:r w:rsidRPr="008E4CBA">
        <w:rPr>
          <w:lang w:val="fr-FR"/>
        </w:rPr>
        <w:t>attelage)</w:t>
      </w:r>
    </w:p>
    <w:p w:rsidR="00986662" w:rsidRPr="008E4CBA" w:rsidRDefault="00986662" w:rsidP="00986662">
      <w:pPr>
        <w:pStyle w:val="SingleTxtG"/>
        <w:rPr>
          <w:lang w:val="fr-FR"/>
        </w:rPr>
      </w:pPr>
      <w:r w:rsidRPr="000B1592">
        <w:rPr>
          <w:i/>
          <w:lang w:val="fr-FR"/>
        </w:rPr>
        <w:t>Annexe 2, ajouter un point 23</w:t>
      </w:r>
      <w:r w:rsidRPr="008E4CBA">
        <w:rPr>
          <w:lang w:val="fr-FR"/>
        </w:rPr>
        <w:t>, ainsi conçu</w:t>
      </w:r>
      <w:r>
        <w:rPr>
          <w:lang w:val="fr-FR"/>
        </w:rPr>
        <w:t> </w:t>
      </w:r>
      <w:r w:rsidRPr="008E4CBA">
        <w:rPr>
          <w:lang w:val="fr-FR"/>
        </w:rPr>
        <w:t>:</w:t>
      </w:r>
    </w:p>
    <w:p w:rsidR="00986662" w:rsidRPr="008E4CBA" w:rsidRDefault="00986662" w:rsidP="00986662">
      <w:pPr>
        <w:pStyle w:val="SingleTxtG"/>
        <w:widowControl w:val="0"/>
        <w:suppressAutoHyphens w:val="0"/>
        <w:rPr>
          <w:lang w:val="fr-FR"/>
        </w:rPr>
      </w:pPr>
      <w:r>
        <w:rPr>
          <w:lang w:val="fr-FR"/>
        </w:rPr>
        <w:t>« </w:t>
      </w:r>
      <w:r w:rsidRPr="008E4CBA">
        <w:rPr>
          <w:lang w:val="fr-FR"/>
        </w:rPr>
        <w:t>23.</w:t>
      </w:r>
      <w:r w:rsidRPr="008E4CBA">
        <w:rPr>
          <w:lang w:val="fr-FR"/>
        </w:rPr>
        <w:tab/>
      </w:r>
      <w:r w:rsidRPr="008E4CBA">
        <w:rPr>
          <w:lang w:val="fr-FR"/>
        </w:rPr>
        <w:tab/>
        <w:t>Observations</w:t>
      </w:r>
      <w:r w:rsidR="00281F7C">
        <w:rPr>
          <w:lang w:val="fr-FR"/>
        </w:rPr>
        <w:t> </w:t>
      </w:r>
      <w:r w:rsidRPr="008E4CBA">
        <w:rPr>
          <w:lang w:val="fr-FR"/>
        </w:rPr>
        <w:t>: …………..</w:t>
      </w:r>
      <w:r>
        <w:rPr>
          <w:lang w:val="fr-FR"/>
        </w:rPr>
        <w:t> »</w:t>
      </w:r>
      <w:r w:rsidR="00281F7C">
        <w:rPr>
          <w:lang w:val="fr-FR"/>
        </w:rPr>
        <w:t>.</w:t>
      </w:r>
    </w:p>
    <w:p w:rsidR="00986662" w:rsidRPr="008E4CBA" w:rsidRDefault="00986662" w:rsidP="00986662">
      <w:pPr>
        <w:pStyle w:val="SingleTxtG"/>
        <w:rPr>
          <w:lang w:val="fr-FR"/>
        </w:rPr>
      </w:pPr>
      <w:r w:rsidRPr="00986662">
        <w:rPr>
          <w:i/>
          <w:lang w:val="fr-FR"/>
        </w:rPr>
        <w:t>Annexe 7, paragraphe 1.1.4</w:t>
      </w:r>
      <w:r w:rsidRPr="008E4CBA">
        <w:rPr>
          <w:lang w:val="fr-FR"/>
        </w:rPr>
        <w:t>, lire</w:t>
      </w:r>
      <w:r>
        <w:rPr>
          <w:lang w:val="fr-FR"/>
        </w:rPr>
        <w:t> </w:t>
      </w:r>
      <w:r w:rsidRPr="008E4CBA">
        <w:rPr>
          <w:lang w:val="fr-FR"/>
        </w:rPr>
        <w:t>:</w:t>
      </w:r>
    </w:p>
    <w:p w:rsidR="00986662" w:rsidRPr="008E4CBA" w:rsidRDefault="00986662" w:rsidP="00986662">
      <w:pPr>
        <w:pStyle w:val="SingleTxtG"/>
        <w:spacing w:line="240" w:lineRule="auto"/>
        <w:ind w:left="2268" w:hanging="1134"/>
        <w:rPr>
          <w:b/>
          <w:lang w:val="fr-FR"/>
        </w:rPr>
      </w:pPr>
      <w:r>
        <w:rPr>
          <w:lang w:val="fr-FR"/>
        </w:rPr>
        <w:t>« 1.1.4</w:t>
      </w:r>
      <w:r w:rsidRPr="008E4CBA">
        <w:rPr>
          <w:lang w:val="fr-FR"/>
        </w:rPr>
        <w:tab/>
      </w:r>
      <w:r w:rsidRPr="008E4CBA">
        <w:rPr>
          <w:lang w:val="fr-FR" w:eastAsia="en-GB"/>
        </w:rPr>
        <w:t>Lorsque la remorque n</w:t>
      </w:r>
      <w:r w:rsidR="00281F7C">
        <w:rPr>
          <w:lang w:val="fr-FR" w:eastAsia="en-GB"/>
        </w:rPr>
        <w:t>’</w:t>
      </w:r>
      <w:r w:rsidRPr="008E4CBA">
        <w:rPr>
          <w:lang w:val="fr-FR" w:eastAsia="en-GB"/>
        </w:rPr>
        <w:t>est pas attelée au véhicule tracteur, la barre et la boule d</w:t>
      </w:r>
      <w:r w:rsidR="00281F7C">
        <w:rPr>
          <w:lang w:val="fr-FR" w:eastAsia="en-GB"/>
        </w:rPr>
        <w:t>’</w:t>
      </w:r>
      <w:r w:rsidRPr="008E4CBA">
        <w:rPr>
          <w:lang w:val="fr-FR" w:eastAsia="en-GB"/>
        </w:rPr>
        <w:t>attelage ne doivent masquer (partiellement), dans les plans de visibilité géométrique, ni les éléments d</w:t>
      </w:r>
      <w:r w:rsidR="00281F7C">
        <w:rPr>
          <w:lang w:val="fr-FR" w:eastAsia="en-GB"/>
        </w:rPr>
        <w:t>’</w:t>
      </w:r>
      <w:r w:rsidRPr="008E4CBA">
        <w:rPr>
          <w:lang w:val="fr-FR" w:eastAsia="en-GB"/>
        </w:rPr>
        <w:t>éclairage (par exemple, un feu de brouillard arrière) ni l</w:t>
      </w:r>
      <w:r w:rsidR="00281F7C">
        <w:rPr>
          <w:lang w:val="fr-FR" w:eastAsia="en-GB"/>
        </w:rPr>
        <w:t>’</w:t>
      </w:r>
      <w:r w:rsidRPr="008E4CBA">
        <w:rPr>
          <w:lang w:val="fr-FR" w:eastAsia="en-GB"/>
        </w:rPr>
        <w:t>espace réservé au montage de la plaque d</w:t>
      </w:r>
      <w:r w:rsidR="00281F7C">
        <w:rPr>
          <w:lang w:val="fr-FR" w:eastAsia="en-GB"/>
        </w:rPr>
        <w:t>’</w:t>
      </w:r>
      <w:r w:rsidRPr="008E4CBA">
        <w:rPr>
          <w:lang w:val="fr-FR" w:eastAsia="en-GB"/>
        </w:rPr>
        <w:t>immatriculation arrière du véhicule tracteur, à moins que le dispositif mécanique d</w:t>
      </w:r>
      <w:r w:rsidR="00281F7C">
        <w:rPr>
          <w:lang w:val="fr-FR" w:eastAsia="en-GB"/>
        </w:rPr>
        <w:t>’</w:t>
      </w:r>
      <w:r w:rsidRPr="008E4CBA">
        <w:rPr>
          <w:lang w:val="fr-FR" w:eastAsia="en-GB"/>
        </w:rPr>
        <w:t>attelage installé soit démontable ou déplaçable sans outils spéciaux sauf une cl</w:t>
      </w:r>
      <w:r w:rsidR="00281F7C">
        <w:rPr>
          <w:lang w:val="fr-FR" w:eastAsia="en-GB"/>
        </w:rPr>
        <w:t>ef</w:t>
      </w:r>
      <w:r w:rsidRPr="008E4CBA">
        <w:rPr>
          <w:lang w:val="fr-FR" w:eastAsia="en-GB"/>
        </w:rPr>
        <w:t xml:space="preserve"> facile à utiliser (c</w:t>
      </w:r>
      <w:r w:rsidR="00281F7C">
        <w:rPr>
          <w:lang w:val="fr-FR" w:eastAsia="en-GB"/>
        </w:rPr>
        <w:t>’</w:t>
      </w:r>
      <w:r w:rsidRPr="008E4CBA">
        <w:rPr>
          <w:lang w:val="fr-FR" w:eastAsia="en-GB"/>
        </w:rPr>
        <w:t>est-à-dire nécessitant un effort maximal de 20 Nm) transportée sur le véhicule.</w:t>
      </w:r>
    </w:p>
    <w:p w:rsidR="00986662" w:rsidRPr="008E4CBA" w:rsidRDefault="00986662" w:rsidP="00986662">
      <w:pPr>
        <w:pStyle w:val="SingleTxtG"/>
        <w:spacing w:line="240" w:lineRule="auto"/>
        <w:ind w:left="2268"/>
        <w:rPr>
          <w:lang w:val="fr-FR"/>
        </w:rPr>
      </w:pPr>
      <w:r w:rsidRPr="008E4CBA">
        <w:rPr>
          <w:lang w:val="fr-FR"/>
        </w:rPr>
        <w:t>Si le dispositif mécanique d</w:t>
      </w:r>
      <w:r w:rsidR="00281F7C">
        <w:rPr>
          <w:lang w:val="fr-FR"/>
        </w:rPr>
        <w:t>’</w:t>
      </w:r>
      <w:r w:rsidRPr="008E4CBA">
        <w:rPr>
          <w:lang w:val="fr-FR"/>
        </w:rPr>
        <w:t>attelage installé risque de masquer (partiellement) un élément d</w:t>
      </w:r>
      <w:r w:rsidR="00281F7C">
        <w:rPr>
          <w:lang w:val="fr-FR"/>
        </w:rPr>
        <w:t>’</w:t>
      </w:r>
      <w:r w:rsidRPr="008E4CBA">
        <w:rPr>
          <w:lang w:val="fr-FR"/>
        </w:rPr>
        <w:t>éclairage ou l</w:t>
      </w:r>
      <w:r w:rsidR="00281F7C">
        <w:rPr>
          <w:lang w:val="fr-FR"/>
        </w:rPr>
        <w:t>’</w:t>
      </w:r>
      <w:r w:rsidRPr="008E4CBA">
        <w:rPr>
          <w:lang w:val="fr-FR"/>
        </w:rPr>
        <w:t>espace réservé au montage de la plaque d</w:t>
      </w:r>
      <w:r w:rsidR="00281F7C">
        <w:rPr>
          <w:lang w:val="fr-FR"/>
        </w:rPr>
        <w:t>’</w:t>
      </w:r>
      <w:r w:rsidRPr="008E4CBA">
        <w:rPr>
          <w:lang w:val="fr-FR"/>
        </w:rPr>
        <w:t>immatriculation arrière du véhicule tracteur, cela doit être indiqué dans le procès-verbal d</w:t>
      </w:r>
      <w:r w:rsidR="00281F7C">
        <w:rPr>
          <w:lang w:val="fr-FR"/>
        </w:rPr>
        <w:t>’</w:t>
      </w:r>
      <w:r w:rsidRPr="008E4CBA">
        <w:rPr>
          <w:lang w:val="fr-FR"/>
        </w:rPr>
        <w:t>essai et clairement signalé à la rubrique « Observations » de la fiche de communication relative à l</w:t>
      </w:r>
      <w:r w:rsidR="00281F7C">
        <w:rPr>
          <w:lang w:val="fr-FR"/>
        </w:rPr>
        <w:t>’</w:t>
      </w:r>
      <w:r w:rsidRPr="008E4CBA">
        <w:rPr>
          <w:lang w:val="fr-FR"/>
        </w:rPr>
        <w:t>homologation de type du véhicule.</w:t>
      </w:r>
    </w:p>
    <w:p w:rsidR="00F9573C" w:rsidRDefault="00986662" w:rsidP="00986662">
      <w:pPr>
        <w:pStyle w:val="SingleTxtG"/>
        <w:spacing w:line="240" w:lineRule="auto"/>
        <w:ind w:left="2268"/>
        <w:rPr>
          <w:lang w:val="fr-FR"/>
        </w:rPr>
      </w:pPr>
      <w:r w:rsidRPr="008E4CBA">
        <w:rPr>
          <w:lang w:val="fr-FR"/>
        </w:rPr>
        <w:t>Si le constructeur a prévu d</w:t>
      </w:r>
      <w:r w:rsidR="00281F7C">
        <w:rPr>
          <w:lang w:val="fr-FR"/>
        </w:rPr>
        <w:t>’</w:t>
      </w:r>
      <w:r w:rsidRPr="008E4CBA">
        <w:rPr>
          <w:lang w:val="fr-FR"/>
        </w:rPr>
        <w:t>autres emplacements pour le montage de la plaque d</w:t>
      </w:r>
      <w:r w:rsidR="00281F7C">
        <w:rPr>
          <w:lang w:val="fr-FR"/>
        </w:rPr>
        <w:t>’</w:t>
      </w:r>
      <w:r w:rsidRPr="008E4CBA">
        <w:rPr>
          <w:lang w:val="fr-FR"/>
        </w:rPr>
        <w:t>immatriculation arrière du véhicule ou des éléments d</w:t>
      </w:r>
      <w:r w:rsidR="00281F7C">
        <w:rPr>
          <w:lang w:val="fr-FR"/>
        </w:rPr>
        <w:t>’</w:t>
      </w:r>
      <w:r w:rsidRPr="008E4CBA">
        <w:rPr>
          <w:lang w:val="fr-FR"/>
        </w:rPr>
        <w:t>éclairage dans le cas où ceux-ci seraient (partiellement) masqués par un dispositif mécanique d</w:t>
      </w:r>
      <w:r w:rsidR="00281F7C">
        <w:rPr>
          <w:lang w:val="fr-FR"/>
        </w:rPr>
        <w:t>’</w:t>
      </w:r>
      <w:r w:rsidRPr="008E4CBA">
        <w:rPr>
          <w:lang w:val="fr-FR"/>
        </w:rPr>
        <w:t>attelage, cela doit être indiqué dans le procès-verbal d</w:t>
      </w:r>
      <w:r w:rsidR="00281F7C">
        <w:rPr>
          <w:lang w:val="fr-FR"/>
        </w:rPr>
        <w:t>’</w:t>
      </w:r>
      <w:r w:rsidRPr="008E4CBA">
        <w:rPr>
          <w:lang w:val="fr-FR"/>
        </w:rPr>
        <w:t>essai et clairement signalé à la rubrique « Observations » de la fiche de communication relative à l</w:t>
      </w:r>
      <w:r w:rsidR="00281F7C">
        <w:rPr>
          <w:lang w:val="fr-FR"/>
        </w:rPr>
        <w:t>’</w:t>
      </w:r>
      <w:r w:rsidRPr="008E4CBA">
        <w:rPr>
          <w:lang w:val="fr-FR"/>
        </w:rPr>
        <w:t>homologation de type du véhicule.</w:t>
      </w:r>
      <w:r>
        <w:rPr>
          <w:lang w:val="fr-FR"/>
        </w:rPr>
        <w:t> ».</w:t>
      </w:r>
    </w:p>
    <w:p w:rsidR="00986662" w:rsidRPr="00986662" w:rsidRDefault="00986662" w:rsidP="0098666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6662" w:rsidRPr="00986662" w:rsidSect="009B111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9F" w:rsidRDefault="00AE389F" w:rsidP="00F95C08">
      <w:pPr>
        <w:spacing w:line="240" w:lineRule="auto"/>
      </w:pPr>
    </w:p>
  </w:endnote>
  <w:endnote w:type="continuationSeparator" w:id="0">
    <w:p w:rsidR="00AE389F" w:rsidRPr="00AC3823" w:rsidRDefault="00AE389F" w:rsidP="00AC3823">
      <w:pPr>
        <w:pStyle w:val="Footer"/>
      </w:pPr>
    </w:p>
  </w:endnote>
  <w:endnote w:type="continuationNotice" w:id="1">
    <w:p w:rsidR="00AE389F" w:rsidRDefault="00AE38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1F" w:rsidRPr="009B111F" w:rsidRDefault="009B111F" w:rsidP="009B111F">
    <w:pPr>
      <w:pStyle w:val="Footer"/>
      <w:tabs>
        <w:tab w:val="right" w:pos="9638"/>
      </w:tabs>
    </w:pPr>
    <w:r w:rsidRPr="009B111F">
      <w:rPr>
        <w:b/>
        <w:sz w:val="18"/>
      </w:rPr>
      <w:fldChar w:fldCharType="begin"/>
    </w:r>
    <w:r w:rsidRPr="009B111F">
      <w:rPr>
        <w:b/>
        <w:sz w:val="18"/>
      </w:rPr>
      <w:instrText xml:space="preserve"> PAGE  \* MERGEFORMAT </w:instrText>
    </w:r>
    <w:r w:rsidRPr="009B111F">
      <w:rPr>
        <w:b/>
        <w:sz w:val="18"/>
      </w:rPr>
      <w:fldChar w:fldCharType="separate"/>
    </w:r>
    <w:r w:rsidR="006620D2">
      <w:rPr>
        <w:b/>
        <w:noProof/>
        <w:sz w:val="18"/>
      </w:rPr>
      <w:t>2</w:t>
    </w:r>
    <w:r w:rsidRPr="009B111F">
      <w:rPr>
        <w:b/>
        <w:sz w:val="18"/>
      </w:rPr>
      <w:fldChar w:fldCharType="end"/>
    </w:r>
    <w:r>
      <w:rPr>
        <w:b/>
        <w:sz w:val="18"/>
      </w:rPr>
      <w:tab/>
    </w:r>
    <w:r>
      <w:t>GE.16-05493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1F" w:rsidRPr="009B111F" w:rsidRDefault="009B111F" w:rsidP="009B111F">
    <w:pPr>
      <w:pStyle w:val="Footer"/>
      <w:tabs>
        <w:tab w:val="right" w:pos="9638"/>
      </w:tabs>
      <w:rPr>
        <w:b/>
        <w:sz w:val="18"/>
      </w:rPr>
    </w:pPr>
    <w:r>
      <w:t>GE.16-05493</w:t>
    </w:r>
    <w:r>
      <w:tab/>
    </w:r>
    <w:r w:rsidRPr="009B111F">
      <w:rPr>
        <w:b/>
        <w:sz w:val="18"/>
      </w:rPr>
      <w:fldChar w:fldCharType="begin"/>
    </w:r>
    <w:r w:rsidRPr="009B111F">
      <w:rPr>
        <w:b/>
        <w:sz w:val="18"/>
      </w:rPr>
      <w:instrText xml:space="preserve"> PAGE  \* MERGEFORMAT </w:instrText>
    </w:r>
    <w:r w:rsidRPr="009B111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B11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9B111F" w:rsidRDefault="009B111F" w:rsidP="009B111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DDC460B" wp14:editId="0678134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16-05493  (F)    </w:t>
    </w:r>
    <w:r w:rsidR="00986662">
      <w:rPr>
        <w:sz w:val="20"/>
      </w:rPr>
      <w:t>030516    040516</w:t>
    </w:r>
    <w:r>
      <w:rPr>
        <w:sz w:val="20"/>
      </w:rPr>
      <w:br/>
    </w:r>
    <w:r w:rsidRPr="009B111F">
      <w:rPr>
        <w:rFonts w:ascii="C39T30Lfz" w:hAnsi="C39T30Lfz"/>
        <w:sz w:val="56"/>
      </w:rPr>
      <w:t></w:t>
    </w:r>
    <w:r w:rsidRPr="009B111F">
      <w:rPr>
        <w:rFonts w:ascii="C39T30Lfz" w:hAnsi="C39T30Lfz"/>
        <w:sz w:val="56"/>
      </w:rPr>
      <w:t></w:t>
    </w:r>
    <w:r w:rsidRPr="009B111F">
      <w:rPr>
        <w:rFonts w:ascii="C39T30Lfz" w:hAnsi="C39T30Lfz"/>
        <w:sz w:val="56"/>
      </w:rPr>
      <w:t></w:t>
    </w:r>
    <w:r w:rsidRPr="009B111F">
      <w:rPr>
        <w:rFonts w:ascii="C39T30Lfz" w:hAnsi="C39T30Lfz"/>
        <w:sz w:val="56"/>
      </w:rPr>
      <w:t></w:t>
    </w:r>
    <w:r w:rsidRPr="009B111F">
      <w:rPr>
        <w:rFonts w:ascii="C39T30Lfz" w:hAnsi="C39T30Lfz"/>
        <w:sz w:val="56"/>
      </w:rPr>
      <w:t></w:t>
    </w:r>
    <w:r w:rsidRPr="009B111F">
      <w:rPr>
        <w:rFonts w:ascii="C39T30Lfz" w:hAnsi="C39T30Lfz"/>
        <w:sz w:val="56"/>
      </w:rPr>
      <w:t></w:t>
    </w:r>
    <w:r w:rsidRPr="009B111F">
      <w:rPr>
        <w:rFonts w:ascii="C39T30Lfz" w:hAnsi="C39T30Lfz"/>
        <w:sz w:val="56"/>
      </w:rPr>
      <w:t></w:t>
    </w:r>
    <w:r w:rsidRPr="009B111F">
      <w:rPr>
        <w:rFonts w:ascii="C39T30Lfz" w:hAnsi="C39T30Lfz"/>
        <w:sz w:val="56"/>
      </w:rPr>
      <w:t></w:t>
    </w:r>
    <w:r w:rsidRPr="009B111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5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5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9F" w:rsidRPr="00AC3823" w:rsidRDefault="00AE389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389F" w:rsidRPr="00AC3823" w:rsidRDefault="00AE389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389F" w:rsidRPr="00AC3823" w:rsidRDefault="00AE389F">
      <w:pPr>
        <w:spacing w:line="240" w:lineRule="auto"/>
        <w:rPr>
          <w:sz w:val="2"/>
          <w:szCs w:val="2"/>
        </w:rPr>
      </w:pPr>
    </w:p>
  </w:footnote>
  <w:footnote w:id="2">
    <w:p w:rsidR="009B111F" w:rsidRPr="003544AB" w:rsidRDefault="009B111F" w:rsidP="009B111F">
      <w:pPr>
        <w:pStyle w:val="FootnoteText"/>
      </w:pPr>
      <w:r w:rsidRPr="00A90EA8">
        <w:rPr>
          <w:lang w:val="en-GB"/>
        </w:rPr>
        <w:tab/>
      </w:r>
      <w:r w:rsidRPr="009B111F">
        <w:rPr>
          <w:rStyle w:val="FootnoteReference"/>
          <w:sz w:val="20"/>
          <w:vertAlign w:val="baseline"/>
        </w:rPr>
        <w:t>*</w:t>
      </w:r>
      <w:r w:rsidRPr="003544AB">
        <w:rPr>
          <w:sz w:val="20"/>
        </w:rPr>
        <w:tab/>
      </w:r>
      <w:r w:rsidRPr="009B111F">
        <w:rPr>
          <w:spacing w:val="-2"/>
          <w:szCs w:val="18"/>
        </w:rPr>
        <w:t>Conformément au programme de travail du Comité des transports</w:t>
      </w:r>
      <w:r w:rsidRPr="003544AB">
        <w:rPr>
          <w:szCs w:val="18"/>
        </w:rPr>
        <w:t xml:space="preserve"> intérieurs pour la période 2016-2017 (ECE/TRANS/254, par.</w:t>
      </w:r>
      <w:r>
        <w:rPr>
          <w:szCs w:val="18"/>
        </w:rPr>
        <w:t> </w:t>
      </w:r>
      <w:r w:rsidRPr="003544AB">
        <w:rPr>
          <w:szCs w:val="18"/>
        </w:rPr>
        <w:t>159, et ECE/TRANS/2016/28/Add.1, activité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1F" w:rsidRPr="009B111F" w:rsidRDefault="009B111F">
    <w:pPr>
      <w:pStyle w:val="Header"/>
    </w:pPr>
    <w:r>
      <w:t>ECE/TRANS/WP.29/2016/53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1F" w:rsidRPr="009B111F" w:rsidRDefault="009B111F" w:rsidP="009B111F">
    <w:pPr>
      <w:pStyle w:val="Header"/>
      <w:jc w:val="right"/>
    </w:pPr>
    <w:r>
      <w:t>ECE/TRANS/WP.29/2016/53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9F"/>
    <w:rsid w:val="00017F94"/>
    <w:rsid w:val="00023842"/>
    <w:rsid w:val="000334F9"/>
    <w:rsid w:val="0007796D"/>
    <w:rsid w:val="000B1592"/>
    <w:rsid w:val="000B7790"/>
    <w:rsid w:val="00111F2F"/>
    <w:rsid w:val="0014365E"/>
    <w:rsid w:val="00143C66"/>
    <w:rsid w:val="00176178"/>
    <w:rsid w:val="001C16CE"/>
    <w:rsid w:val="001F525A"/>
    <w:rsid w:val="00223272"/>
    <w:rsid w:val="0024779E"/>
    <w:rsid w:val="00257168"/>
    <w:rsid w:val="002744B8"/>
    <w:rsid w:val="00281F7C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620D2"/>
    <w:rsid w:val="0071601D"/>
    <w:rsid w:val="007A62E6"/>
    <w:rsid w:val="007F20FA"/>
    <w:rsid w:val="0080684C"/>
    <w:rsid w:val="00871C75"/>
    <w:rsid w:val="008776DC"/>
    <w:rsid w:val="008A7CB8"/>
    <w:rsid w:val="009705C8"/>
    <w:rsid w:val="00986662"/>
    <w:rsid w:val="009B111F"/>
    <w:rsid w:val="009C1CF4"/>
    <w:rsid w:val="009F6B74"/>
    <w:rsid w:val="00A30353"/>
    <w:rsid w:val="00AC3823"/>
    <w:rsid w:val="00AE323C"/>
    <w:rsid w:val="00AE389F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853F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B111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986662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B111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986662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4615-2D83-4EAC-8E4C-1ADE68FB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ECE/TRANS/WP.29/2016/53</vt:lpstr>
      <vt:lpstr>ECE/TRANS/WP.29/2016/53</vt:lpstr>
    </vt:vector>
  </TitlesOfParts>
  <Company>DCM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ECE/TRANS/WP.29/2016/53</dc:title>
  <dc:subject>Final</dc:subject>
  <dc:creator>Fabienne Crelier</dc:creator>
  <cp:lastModifiedBy>Benedicte Boudol</cp:lastModifiedBy>
  <cp:revision>2</cp:revision>
  <cp:lastPrinted>2016-05-04T08:31:00Z</cp:lastPrinted>
  <dcterms:created xsi:type="dcterms:W3CDTF">2016-05-04T13:16:00Z</dcterms:created>
  <dcterms:modified xsi:type="dcterms:W3CDTF">2016-05-04T13:16:00Z</dcterms:modified>
</cp:coreProperties>
</file>