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66" w:rsidRDefault="000C7766" w:rsidP="000C7766">
      <w:pPr>
        <w:spacing w:line="240" w:lineRule="auto"/>
        <w:rPr>
          <w:sz w:val="2"/>
        </w:rPr>
        <w:sectPr w:rsidR="000C7766" w:rsidSect="000C77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0C7766" w:rsidRDefault="000C7766" w:rsidP="000C7766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0C7766" w:rsidRDefault="000C7766" w:rsidP="000C7766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8E0760" w:rsidRDefault="008E0760" w:rsidP="008E076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/>
        </w:rPr>
      </w:pPr>
      <w:r w:rsidRPr="008E0760">
        <w:rPr>
          <w:lang w:val="fr-CH"/>
        </w:rPr>
        <w:t xml:space="preserve">Forum mondial de l’harmonisation des Règlements </w:t>
      </w:r>
      <w:r>
        <w:rPr>
          <w:lang w:val="fr-CH"/>
        </w:rPr>
        <w:br/>
      </w:r>
      <w:r w:rsidRPr="008E0760">
        <w:rPr>
          <w:lang w:val="fr-CH"/>
        </w:rPr>
        <w:t>concernant les véhicules</w:t>
      </w:r>
    </w:p>
    <w:p w:rsidR="008E0760" w:rsidRPr="008E0760" w:rsidRDefault="008E0760" w:rsidP="008E0760">
      <w:pPr>
        <w:pStyle w:val="SingleTxt"/>
        <w:spacing w:after="0" w:line="120" w:lineRule="exact"/>
        <w:rPr>
          <w:sz w:val="10"/>
          <w:lang w:val="fr-CH"/>
        </w:rPr>
      </w:pPr>
    </w:p>
    <w:p w:rsidR="008E0760" w:rsidRPr="008E0760" w:rsidRDefault="008E0760" w:rsidP="008E076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8E0760">
        <w:rPr>
          <w:lang w:val="fr-CH"/>
        </w:rPr>
        <w:t>168</w:t>
      </w:r>
      <w:r w:rsidRPr="008E0760">
        <w:rPr>
          <w:vertAlign w:val="superscript"/>
          <w:lang w:val="fr-CH"/>
        </w:rPr>
        <w:t>e</w:t>
      </w:r>
      <w:r w:rsidRPr="008E0760">
        <w:rPr>
          <w:lang w:val="fr-CH"/>
        </w:rPr>
        <w:t xml:space="preserve"> session</w:t>
      </w:r>
    </w:p>
    <w:p w:rsidR="008E0760" w:rsidRPr="008E0760" w:rsidRDefault="008E0760" w:rsidP="008E076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8E0760">
        <w:rPr>
          <w:lang w:val="fr-CH"/>
        </w:rPr>
        <w:t>Genève, 8-11 mars 2016</w:t>
      </w:r>
    </w:p>
    <w:p w:rsidR="008E0760" w:rsidRPr="008E0760" w:rsidRDefault="008E0760" w:rsidP="008E076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8E0760">
        <w:rPr>
          <w:lang w:val="fr-CH"/>
        </w:rPr>
        <w:t>Point 4.9.9 de l’ordre du jour provisoire</w:t>
      </w:r>
    </w:p>
    <w:p w:rsidR="008E0760" w:rsidRDefault="008E0760" w:rsidP="003105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/>
        </w:rPr>
      </w:pPr>
      <w:r w:rsidRPr="008E0760">
        <w:rPr>
          <w:lang w:val="fr-CH"/>
        </w:rPr>
        <w:t xml:space="preserve">Accord de 1958 – </w:t>
      </w:r>
      <w:r w:rsidR="00310549">
        <w:rPr>
          <w:lang w:val="fr-CH"/>
        </w:rPr>
        <w:t>E</w:t>
      </w:r>
      <w:r w:rsidRPr="008E0760">
        <w:rPr>
          <w:lang w:val="fr-CH"/>
        </w:rPr>
        <w:t xml:space="preserve">xamen de projets d’amendements </w:t>
      </w:r>
      <w:r>
        <w:rPr>
          <w:lang w:val="fr-CH"/>
        </w:rPr>
        <w:br/>
      </w:r>
      <w:r w:rsidRPr="008E0760">
        <w:rPr>
          <w:lang w:val="fr-CH"/>
        </w:rPr>
        <w:t>à des</w:t>
      </w:r>
      <w:r>
        <w:rPr>
          <w:lang w:val="fr-CH"/>
        </w:rPr>
        <w:t xml:space="preserve"> </w:t>
      </w:r>
      <w:r w:rsidRPr="008E0760">
        <w:rPr>
          <w:lang w:val="fr-CH"/>
        </w:rPr>
        <w:t>Règlements existants, proposés par le GRE</w:t>
      </w:r>
    </w:p>
    <w:p w:rsidR="008E0760" w:rsidRPr="008E0760" w:rsidRDefault="008E0760" w:rsidP="008E0760">
      <w:pPr>
        <w:pStyle w:val="SingleTxt"/>
        <w:spacing w:after="0" w:line="120" w:lineRule="exact"/>
        <w:rPr>
          <w:sz w:val="10"/>
          <w:lang w:val="fr-CH"/>
        </w:rPr>
      </w:pPr>
    </w:p>
    <w:p w:rsidR="008E0760" w:rsidRPr="008E0760" w:rsidRDefault="008E0760" w:rsidP="008E0760">
      <w:pPr>
        <w:pStyle w:val="SingleTxt"/>
        <w:spacing w:after="0" w:line="120" w:lineRule="exact"/>
        <w:rPr>
          <w:sz w:val="10"/>
          <w:lang w:val="fr-CH"/>
        </w:rPr>
      </w:pPr>
    </w:p>
    <w:p w:rsidR="008E0760" w:rsidRPr="008E0760" w:rsidRDefault="008E0760" w:rsidP="008E0760">
      <w:pPr>
        <w:pStyle w:val="SingleTxt"/>
        <w:spacing w:after="0" w:line="120" w:lineRule="exact"/>
        <w:rPr>
          <w:sz w:val="10"/>
          <w:lang w:val="fr-CH"/>
        </w:rPr>
      </w:pPr>
    </w:p>
    <w:p w:rsidR="008E0760" w:rsidRDefault="008E0760" w:rsidP="008E076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E0760">
        <w:rPr>
          <w:lang w:val="fr-CH"/>
        </w:rPr>
        <w:t xml:space="preserve">Proposition de complément 6 à la série 01 </w:t>
      </w:r>
      <w:r>
        <w:rPr>
          <w:lang w:val="fr-CH"/>
        </w:rPr>
        <w:br/>
      </w:r>
      <w:r w:rsidRPr="008E0760">
        <w:rPr>
          <w:lang w:val="fr-CH"/>
        </w:rPr>
        <w:t xml:space="preserve">d’amendements au Règlement </w:t>
      </w:r>
      <w:r>
        <w:rPr>
          <w:lang w:val="fr-CH"/>
        </w:rPr>
        <w:t>n</w:t>
      </w:r>
      <w:r w:rsidRPr="008E0760">
        <w:rPr>
          <w:vertAlign w:val="superscript"/>
          <w:lang w:val="fr-CH"/>
        </w:rPr>
        <w:t>o</w:t>
      </w:r>
      <w:r w:rsidRPr="008E0760">
        <w:rPr>
          <w:lang w:val="fr-CH"/>
        </w:rPr>
        <w:t xml:space="preserve"> 113 </w:t>
      </w:r>
      <w:r>
        <w:rPr>
          <w:lang w:val="fr-CH"/>
        </w:rPr>
        <w:br/>
      </w:r>
      <w:r w:rsidRPr="008E0760">
        <w:rPr>
          <w:lang w:val="fr-CH"/>
        </w:rPr>
        <w:t xml:space="preserve">(Projecteurs émettant un faisceau </w:t>
      </w:r>
      <w:r>
        <w:rPr>
          <w:lang w:val="fr-CH"/>
        </w:rPr>
        <w:br/>
      </w:r>
      <w:r w:rsidRPr="008E0760">
        <w:rPr>
          <w:lang w:val="fr-CH"/>
        </w:rPr>
        <w:t>de croisement symétrique)</w:t>
      </w:r>
    </w:p>
    <w:p w:rsidR="008E0760" w:rsidRPr="008E0760" w:rsidRDefault="008E0760" w:rsidP="008E0760">
      <w:pPr>
        <w:pStyle w:val="SingleTxt"/>
        <w:spacing w:after="0" w:line="120" w:lineRule="exact"/>
        <w:rPr>
          <w:sz w:val="10"/>
          <w:lang w:val="fr-CH"/>
        </w:rPr>
      </w:pPr>
    </w:p>
    <w:p w:rsidR="008E0760" w:rsidRPr="008E0760" w:rsidRDefault="008E0760" w:rsidP="008E0760">
      <w:pPr>
        <w:pStyle w:val="SingleTxt"/>
        <w:spacing w:after="0" w:line="120" w:lineRule="exact"/>
        <w:rPr>
          <w:sz w:val="10"/>
          <w:lang w:val="fr-CH"/>
        </w:rPr>
      </w:pPr>
    </w:p>
    <w:p w:rsidR="008E0760" w:rsidRDefault="008E0760" w:rsidP="008E076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E0760">
        <w:rPr>
          <w:lang w:val="fr-CH"/>
        </w:rPr>
        <w:t xml:space="preserve">Communication du Groupe de travail de l’éclairage </w:t>
      </w:r>
      <w:r>
        <w:rPr>
          <w:lang w:val="fr-CH"/>
        </w:rPr>
        <w:br/>
      </w:r>
      <w:r w:rsidRPr="008E0760">
        <w:rPr>
          <w:lang w:val="fr-CH"/>
        </w:rPr>
        <w:t>et de la signalisation lumineuse</w:t>
      </w:r>
      <w:r w:rsidRPr="008E0760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id="1"/>
      </w:r>
    </w:p>
    <w:p w:rsidR="008E0760" w:rsidRPr="008E0760" w:rsidRDefault="008E0760" w:rsidP="008E0760">
      <w:pPr>
        <w:pStyle w:val="SingleTxt"/>
        <w:spacing w:after="0" w:line="120" w:lineRule="exact"/>
        <w:rPr>
          <w:sz w:val="10"/>
          <w:lang w:val="fr-CH"/>
        </w:rPr>
      </w:pPr>
    </w:p>
    <w:p w:rsidR="008E0760" w:rsidRPr="008E0760" w:rsidRDefault="008E0760" w:rsidP="008E0760">
      <w:pPr>
        <w:pStyle w:val="SingleTxt"/>
        <w:spacing w:after="0" w:line="120" w:lineRule="exact"/>
        <w:rPr>
          <w:sz w:val="10"/>
          <w:lang w:val="fr-CH"/>
        </w:rPr>
      </w:pPr>
    </w:p>
    <w:p w:rsidR="00D70A29" w:rsidRDefault="008E0760" w:rsidP="00D70A29">
      <w:pPr>
        <w:pStyle w:val="SingleTxt"/>
        <w:rPr>
          <w:lang w:val="fr-CH"/>
        </w:rPr>
      </w:pPr>
      <w:r w:rsidRPr="00D70A29">
        <w:rPr>
          <w:lang w:val="fr-CH"/>
        </w:rPr>
        <w:tab/>
        <w:t>Le texte reproduit ci-après, adopté par le Groupe de travail de l’éclairage et de la signalisation lumineuse (GRE) à sa soixante-quatorzième session (ECE/TRANS/WP.29/GRE/74, par.</w:t>
      </w:r>
      <w:r w:rsidR="00D70A29" w:rsidRPr="00D70A29">
        <w:rPr>
          <w:lang w:val="fr-CH"/>
        </w:rPr>
        <w:t> </w:t>
      </w:r>
      <w:r w:rsidRPr="00D70A29">
        <w:rPr>
          <w:lang w:val="fr-CH"/>
        </w:rPr>
        <w:t>35), est fondé sur le document ECE/TRANS/WP.29/GRE/2015/17. Il est soumis au Forum mondial de l’harmonisation des Règlements concernant les véhicules (WP.29) et au Comité d’administration (AC.1) pour examen à leurs sessions de mars 2016.</w:t>
      </w:r>
    </w:p>
    <w:p w:rsidR="008E0760" w:rsidRPr="00D70A29" w:rsidRDefault="008E0760" w:rsidP="00D70A29">
      <w:pPr>
        <w:pStyle w:val="SingleTxt"/>
        <w:rPr>
          <w:lang w:val="fr-CH"/>
        </w:rPr>
      </w:pPr>
      <w:r w:rsidRPr="00D70A29">
        <w:rPr>
          <w:lang w:val="fr-CH"/>
        </w:rPr>
        <w:br w:type="page"/>
      </w:r>
    </w:p>
    <w:p w:rsidR="008E0760" w:rsidRPr="008E0760" w:rsidRDefault="008E0760" w:rsidP="008E0760">
      <w:pPr>
        <w:pStyle w:val="SingleTxt"/>
        <w:rPr>
          <w:lang w:val="fr-CH"/>
        </w:rPr>
      </w:pPr>
      <w:r w:rsidRPr="008E0760">
        <w:rPr>
          <w:i/>
          <w:lang w:val="fr-CH"/>
        </w:rPr>
        <w:lastRenderedPageBreak/>
        <w:t>Paragraphe 6.2.6.1</w:t>
      </w:r>
      <w:r w:rsidRPr="008E0760">
        <w:rPr>
          <w:lang w:val="fr-CH"/>
        </w:rPr>
        <w:t xml:space="preserve">, </w:t>
      </w:r>
      <w:proofErr w:type="gramStart"/>
      <w:r w:rsidRPr="008E0760">
        <w:rPr>
          <w:lang w:val="fr-CH"/>
        </w:rPr>
        <w:t>supprimer</w:t>
      </w:r>
      <w:proofErr w:type="gramEnd"/>
      <w:r w:rsidRPr="008E0760">
        <w:rPr>
          <w:lang w:val="fr-CH"/>
        </w:rPr>
        <w:t>.</w:t>
      </w:r>
    </w:p>
    <w:p w:rsidR="008E0760" w:rsidRPr="008E0760" w:rsidRDefault="008E0760" w:rsidP="00310549">
      <w:pPr>
        <w:pStyle w:val="SingleTxt"/>
        <w:rPr>
          <w:lang w:val="fr-CH"/>
        </w:rPr>
      </w:pPr>
      <w:r w:rsidRPr="008E0760">
        <w:rPr>
          <w:i/>
          <w:lang w:val="fr-CH"/>
        </w:rPr>
        <w:t>Paragraphe 6.2.7</w:t>
      </w:r>
      <w:r w:rsidRPr="008E0760">
        <w:rPr>
          <w:lang w:val="fr-CH"/>
        </w:rPr>
        <w:t xml:space="preserve">, </w:t>
      </w:r>
      <w:proofErr w:type="gramStart"/>
      <w:r w:rsidRPr="008E0760">
        <w:rPr>
          <w:lang w:val="fr-CH"/>
        </w:rPr>
        <w:t>modifier</w:t>
      </w:r>
      <w:proofErr w:type="gramEnd"/>
      <w:r w:rsidRPr="008E0760">
        <w:rPr>
          <w:lang w:val="fr-CH"/>
        </w:rPr>
        <w:t xml:space="preserve"> comme suit</w:t>
      </w:r>
      <w:r w:rsidR="00310549">
        <w:rPr>
          <w:lang w:val="fr-CH"/>
        </w:rPr>
        <w:t> :</w:t>
      </w:r>
    </w:p>
    <w:p w:rsidR="008E0760" w:rsidRPr="008E0760" w:rsidRDefault="00310549" w:rsidP="00310549">
      <w:pPr>
        <w:pStyle w:val="SingleTxt"/>
        <w:ind w:left="2217" w:hanging="950"/>
        <w:rPr>
          <w:lang w:val="fr-CH"/>
        </w:rPr>
      </w:pPr>
      <w:r>
        <w:rPr>
          <w:lang w:val="fr-CH"/>
        </w:rPr>
        <w:t>« </w:t>
      </w:r>
      <w:r w:rsidR="008E0760" w:rsidRPr="008E0760">
        <w:rPr>
          <w:lang w:val="fr-CH"/>
        </w:rPr>
        <w:t>6.2.7</w:t>
      </w:r>
      <w:r w:rsidR="008E0760" w:rsidRPr="008E0760">
        <w:rPr>
          <w:lang w:val="fr-CH"/>
        </w:rPr>
        <w:tab/>
        <w:t xml:space="preserve">Pour le faisceau de croisement principal, il est admis soit une ou deux lampes à </w:t>
      </w:r>
      <w:r w:rsidR="008E0760" w:rsidRPr="008E0760">
        <w:rPr>
          <w:lang w:val="fr-FR"/>
        </w:rPr>
        <w:t>incandescence</w:t>
      </w:r>
      <w:r w:rsidR="008E0760" w:rsidRPr="008E0760">
        <w:rPr>
          <w:lang w:val="fr-CH"/>
        </w:rPr>
        <w:t xml:space="preserve"> (classe A, B, C ou D), soit une source lumineuse à décharge (classe E), soit un ou plusieurs modules DEL (classe A, B, C, D ou E).</w:t>
      </w:r>
      <w:r>
        <w:rPr>
          <w:lang w:val="fr-CH"/>
        </w:rPr>
        <w:t> »</w:t>
      </w:r>
      <w:r w:rsidR="008E0760" w:rsidRPr="008E0760">
        <w:rPr>
          <w:lang w:val="fr-CH"/>
        </w:rPr>
        <w:t>.</w:t>
      </w:r>
    </w:p>
    <w:p w:rsidR="008E0760" w:rsidRPr="008E0760" w:rsidRDefault="008E0760" w:rsidP="00310549">
      <w:pPr>
        <w:pStyle w:val="SingleTxt"/>
        <w:rPr>
          <w:lang w:val="fr-CH"/>
        </w:rPr>
      </w:pPr>
      <w:r w:rsidRPr="008E0760">
        <w:rPr>
          <w:i/>
          <w:lang w:val="fr-CH"/>
        </w:rPr>
        <w:t>Paragraphe 6.3.2</w:t>
      </w:r>
      <w:r w:rsidRPr="008E0760">
        <w:rPr>
          <w:lang w:val="fr-CH"/>
        </w:rPr>
        <w:t xml:space="preserve">, </w:t>
      </w:r>
      <w:proofErr w:type="gramStart"/>
      <w:r w:rsidRPr="008E0760">
        <w:rPr>
          <w:lang w:val="fr-CH"/>
        </w:rPr>
        <w:t>modifier</w:t>
      </w:r>
      <w:proofErr w:type="gramEnd"/>
      <w:r w:rsidRPr="008E0760">
        <w:rPr>
          <w:lang w:val="fr-CH"/>
        </w:rPr>
        <w:t xml:space="preserve"> comme suit</w:t>
      </w:r>
      <w:r w:rsidR="00310549">
        <w:rPr>
          <w:lang w:val="fr-CH"/>
        </w:rPr>
        <w:t> :</w:t>
      </w:r>
    </w:p>
    <w:p w:rsidR="008E0760" w:rsidRPr="008E0760" w:rsidRDefault="00310549" w:rsidP="00310549">
      <w:pPr>
        <w:pStyle w:val="SingleTxt"/>
        <w:ind w:left="2217" w:hanging="950"/>
        <w:rPr>
          <w:lang w:val="fr-CH"/>
        </w:rPr>
      </w:pPr>
      <w:r>
        <w:rPr>
          <w:lang w:val="fr-CH"/>
        </w:rPr>
        <w:t>« </w:t>
      </w:r>
      <w:r w:rsidR="008E0760" w:rsidRPr="008E0760">
        <w:rPr>
          <w:lang w:val="fr-CH"/>
        </w:rPr>
        <w:t>6.3.2</w:t>
      </w:r>
      <w:r w:rsidR="008E0760" w:rsidRPr="008E0760">
        <w:rPr>
          <w:lang w:val="fr-CH"/>
        </w:rPr>
        <w:tab/>
        <w:t>Quel que soit le type de source lumineuse (module(s) DEL, lampe(s) à incandescence ou source lumineuse à décharge) utilisé pour produire le faisceau de croisement, plusieurs sources lumineuses, soit</w:t>
      </w:r>
      <w:r>
        <w:rPr>
          <w:lang w:val="fr-CH"/>
        </w:rPr>
        <w:t> :</w:t>
      </w:r>
    </w:p>
    <w:p w:rsidR="008E0760" w:rsidRPr="008E0760" w:rsidRDefault="008E0760" w:rsidP="008E0760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E0760">
        <w:rPr>
          <w:lang w:val="fr-CH"/>
        </w:rPr>
        <w:t>a)</w:t>
      </w:r>
      <w:r w:rsidRPr="008E0760">
        <w:rPr>
          <w:lang w:val="fr-CH"/>
        </w:rPr>
        <w:tab/>
        <w:t>…</w:t>
      </w:r>
    </w:p>
    <w:p w:rsidR="008E0760" w:rsidRPr="008E0760" w:rsidRDefault="008E0760" w:rsidP="008E0760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E0760">
        <w:rPr>
          <w:lang w:val="fr-CH"/>
        </w:rPr>
        <w:t>b)</w:t>
      </w:r>
      <w:r w:rsidRPr="008E0760">
        <w:rPr>
          <w:lang w:val="fr-CH"/>
        </w:rPr>
        <w:tab/>
        <w:t>…</w:t>
      </w:r>
    </w:p>
    <w:p w:rsidR="008E0760" w:rsidRPr="008E0760" w:rsidRDefault="008E0760" w:rsidP="0031054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E0760">
        <w:rPr>
          <w:lang w:val="fr-CH"/>
        </w:rPr>
        <w:t>c)</w:t>
      </w:r>
      <w:r w:rsidRPr="008E0760">
        <w:rPr>
          <w:lang w:val="fr-CH"/>
        </w:rPr>
        <w:tab/>
        <w:t>Des modules DEL (classe B, C, D ou E), peuvent être utilisées pour produire le faisceau de route dans chaque cas.</w:t>
      </w:r>
      <w:r w:rsidR="00310549">
        <w:rPr>
          <w:lang w:val="fr-CH"/>
        </w:rPr>
        <w:t> »</w:t>
      </w:r>
      <w:r w:rsidRPr="008E0760">
        <w:rPr>
          <w:lang w:val="fr-CH"/>
        </w:rPr>
        <w:t>.</w:t>
      </w:r>
    </w:p>
    <w:p w:rsidR="008E0760" w:rsidRPr="008E0760" w:rsidRDefault="008E0760" w:rsidP="00310549">
      <w:pPr>
        <w:pStyle w:val="SingleTxt"/>
        <w:rPr>
          <w:lang w:val="fr-CH"/>
        </w:rPr>
      </w:pPr>
      <w:r w:rsidRPr="008E0760">
        <w:rPr>
          <w:i/>
          <w:lang w:val="fr-CH"/>
        </w:rPr>
        <w:t>Annexe 4, paragraphe 2.2.1</w:t>
      </w:r>
      <w:r w:rsidRPr="008E0760">
        <w:rPr>
          <w:lang w:val="fr-CH"/>
        </w:rPr>
        <w:t xml:space="preserve">, </w:t>
      </w:r>
      <w:proofErr w:type="gramStart"/>
      <w:r w:rsidRPr="008E0760">
        <w:rPr>
          <w:lang w:val="fr-CH"/>
        </w:rPr>
        <w:t>modifier</w:t>
      </w:r>
      <w:proofErr w:type="gramEnd"/>
      <w:r w:rsidRPr="008E0760">
        <w:rPr>
          <w:lang w:val="fr-CH"/>
        </w:rPr>
        <w:t xml:space="preserve"> comme suit</w:t>
      </w:r>
      <w:r w:rsidR="00310549">
        <w:rPr>
          <w:lang w:val="fr-CH"/>
        </w:rPr>
        <w:t> :</w:t>
      </w:r>
    </w:p>
    <w:p w:rsidR="008E0760" w:rsidRPr="008E0760" w:rsidRDefault="00310549" w:rsidP="00310549">
      <w:pPr>
        <w:pStyle w:val="SingleTxt"/>
        <w:ind w:left="2217" w:hanging="950"/>
        <w:rPr>
          <w:lang w:val="fr-CH"/>
        </w:rPr>
      </w:pPr>
      <w:r>
        <w:rPr>
          <w:lang w:val="fr-CH"/>
        </w:rPr>
        <w:t>« </w:t>
      </w:r>
      <w:r w:rsidR="008E0760" w:rsidRPr="008E0760">
        <w:rPr>
          <w:lang w:val="fr-CH"/>
        </w:rPr>
        <w:t>2.2.1</w:t>
      </w:r>
      <w:r w:rsidR="008E0760" w:rsidRPr="008E0760">
        <w:rPr>
          <w:lang w:val="fr-CH"/>
        </w:rPr>
        <w:tab/>
        <w:t xml:space="preserve">Le résultat, exprimé en </w:t>
      </w:r>
      <w:proofErr w:type="spellStart"/>
      <w:r w:rsidR="008E0760" w:rsidRPr="008E0760">
        <w:rPr>
          <w:lang w:val="fr-CH"/>
        </w:rPr>
        <w:t>milliradians</w:t>
      </w:r>
      <w:proofErr w:type="spellEnd"/>
      <w:r w:rsidR="008E0760" w:rsidRPr="008E0760">
        <w:rPr>
          <w:lang w:val="fr-CH"/>
        </w:rPr>
        <w:t xml:space="preserve"> (</w:t>
      </w:r>
      <w:proofErr w:type="spellStart"/>
      <w:r w:rsidR="008E0760" w:rsidRPr="008E0760">
        <w:rPr>
          <w:lang w:val="fr-CH"/>
        </w:rPr>
        <w:t>mrad</w:t>
      </w:r>
      <w:proofErr w:type="spellEnd"/>
      <w:r w:rsidR="008E0760" w:rsidRPr="008E0760">
        <w:rPr>
          <w:lang w:val="fr-CH"/>
        </w:rPr>
        <w:t xml:space="preserve">), n’est considéré comme acceptable pour un </w:t>
      </w:r>
      <w:r w:rsidR="008E0760" w:rsidRPr="008E0760">
        <w:rPr>
          <w:lang w:val="fr-FR"/>
        </w:rPr>
        <w:t>projecteur</w:t>
      </w:r>
      <w:r w:rsidR="008E0760" w:rsidRPr="008E0760">
        <w:rPr>
          <w:lang w:val="fr-CH"/>
        </w:rPr>
        <w:t xml:space="preserve"> produisant un faisceau de croisement que si la valeur absolue ∆</w:t>
      </w:r>
      <w:proofErr w:type="spellStart"/>
      <w:r w:rsidR="008E0760" w:rsidRPr="008E0760">
        <w:rPr>
          <w:lang w:val="fr-CH"/>
        </w:rPr>
        <w:t>r</w:t>
      </w:r>
      <w:r w:rsidR="008E0760" w:rsidRPr="008E0760">
        <w:rPr>
          <w:vertAlign w:val="subscript"/>
          <w:lang w:val="fr-CH"/>
        </w:rPr>
        <w:t>I</w:t>
      </w:r>
      <w:proofErr w:type="spellEnd"/>
      <w:r w:rsidR="008E0760" w:rsidRPr="008E0760">
        <w:rPr>
          <w:lang w:val="fr-CH"/>
        </w:rPr>
        <w:t xml:space="preserve"> = | r</w:t>
      </w:r>
      <w:r w:rsidR="008E0760" w:rsidRPr="008E0760">
        <w:rPr>
          <w:vertAlign w:val="subscript"/>
          <w:lang w:val="fr-CH"/>
        </w:rPr>
        <w:t>3</w:t>
      </w:r>
      <w:r w:rsidR="008E0760" w:rsidRPr="008E0760">
        <w:rPr>
          <w:lang w:val="fr-CH"/>
        </w:rPr>
        <w:t xml:space="preserve"> - r</w:t>
      </w:r>
      <w:r w:rsidR="008E0760" w:rsidRPr="008E0760">
        <w:rPr>
          <w:vertAlign w:val="subscript"/>
          <w:lang w:val="fr-CH"/>
        </w:rPr>
        <w:t>60</w:t>
      </w:r>
      <w:r w:rsidR="008E0760" w:rsidRPr="008E0760">
        <w:rPr>
          <w:lang w:val="fr-CH"/>
        </w:rPr>
        <w:t xml:space="preserve"> | enregistrée pour le projecteur n’est pas supérieure à 1,0 </w:t>
      </w:r>
      <w:proofErr w:type="spellStart"/>
      <w:r w:rsidR="008E0760" w:rsidRPr="008E0760">
        <w:rPr>
          <w:lang w:val="fr-CH"/>
        </w:rPr>
        <w:t>mrad</w:t>
      </w:r>
      <w:proofErr w:type="spellEnd"/>
      <w:r w:rsidR="008E0760" w:rsidRPr="008E0760">
        <w:rPr>
          <w:lang w:val="fr-CH"/>
        </w:rPr>
        <w:t xml:space="preserve"> (∆</w:t>
      </w:r>
      <w:proofErr w:type="spellStart"/>
      <w:r w:rsidR="008E0760" w:rsidRPr="008E0760">
        <w:rPr>
          <w:lang w:val="fr-CH"/>
        </w:rPr>
        <w:t>r</w:t>
      </w:r>
      <w:r w:rsidR="008E0760" w:rsidRPr="008E0760">
        <w:rPr>
          <w:vertAlign w:val="subscript"/>
          <w:lang w:val="fr-CH"/>
        </w:rPr>
        <w:t>I</w:t>
      </w:r>
      <w:proofErr w:type="spellEnd"/>
      <w:r w:rsidR="008E0760" w:rsidRPr="008E0760">
        <w:rPr>
          <w:lang w:val="fr-CH"/>
        </w:rPr>
        <w:t xml:space="preserve"> ≤ 1,0 </w:t>
      </w:r>
      <w:proofErr w:type="spellStart"/>
      <w:r w:rsidR="008E0760" w:rsidRPr="008E0760">
        <w:rPr>
          <w:lang w:val="fr-CH"/>
        </w:rPr>
        <w:t>mrad</w:t>
      </w:r>
      <w:proofErr w:type="spellEnd"/>
      <w:r w:rsidR="008E0760" w:rsidRPr="008E0760">
        <w:rPr>
          <w:lang w:val="fr-CH"/>
        </w:rPr>
        <w:t xml:space="preserve">) vers le haut et à 2,0 </w:t>
      </w:r>
      <w:proofErr w:type="spellStart"/>
      <w:r w:rsidR="008E0760" w:rsidRPr="008E0760">
        <w:rPr>
          <w:lang w:val="fr-CH"/>
        </w:rPr>
        <w:t>mrad</w:t>
      </w:r>
      <w:proofErr w:type="spellEnd"/>
      <w:r w:rsidR="008E0760" w:rsidRPr="008E0760">
        <w:rPr>
          <w:lang w:val="fr-CH"/>
        </w:rPr>
        <w:t xml:space="preserve"> (∆</w:t>
      </w:r>
      <w:proofErr w:type="spellStart"/>
      <w:r w:rsidR="008E0760" w:rsidRPr="008E0760">
        <w:rPr>
          <w:lang w:val="fr-CH"/>
        </w:rPr>
        <w:t>r</w:t>
      </w:r>
      <w:r w:rsidR="008E0760" w:rsidRPr="008E0760">
        <w:rPr>
          <w:vertAlign w:val="subscript"/>
          <w:lang w:val="fr-CH"/>
        </w:rPr>
        <w:t>I</w:t>
      </w:r>
      <w:proofErr w:type="spellEnd"/>
      <w:r w:rsidR="008E0760" w:rsidRPr="008E0760">
        <w:rPr>
          <w:lang w:val="fr-CH"/>
        </w:rPr>
        <w:t xml:space="preserve"> ≤ 2,0 </w:t>
      </w:r>
      <w:proofErr w:type="spellStart"/>
      <w:r w:rsidR="008E0760" w:rsidRPr="008E0760">
        <w:rPr>
          <w:lang w:val="fr-CH"/>
        </w:rPr>
        <w:t>mrad</w:t>
      </w:r>
      <w:proofErr w:type="spellEnd"/>
      <w:r w:rsidR="008E0760" w:rsidRPr="008E0760">
        <w:rPr>
          <w:lang w:val="fr-CH"/>
        </w:rPr>
        <w:t>) vers le bas.</w:t>
      </w:r>
      <w:r>
        <w:rPr>
          <w:lang w:val="fr-CH"/>
        </w:rPr>
        <w:t> »</w:t>
      </w:r>
      <w:r w:rsidR="008E0760" w:rsidRPr="008E0760">
        <w:rPr>
          <w:lang w:val="fr-CH"/>
        </w:rPr>
        <w:t>.</w:t>
      </w:r>
    </w:p>
    <w:p w:rsidR="008E0760" w:rsidRPr="008E0760" w:rsidRDefault="008E0760" w:rsidP="00310549">
      <w:pPr>
        <w:pStyle w:val="SingleTxt"/>
        <w:rPr>
          <w:lang w:val="fr-CH"/>
        </w:rPr>
      </w:pPr>
      <w:r w:rsidRPr="008E0760">
        <w:rPr>
          <w:i/>
          <w:lang w:val="fr-CH"/>
        </w:rPr>
        <w:t>Paragraphe 2.2.2</w:t>
      </w:r>
      <w:r w:rsidRPr="008E0760">
        <w:rPr>
          <w:lang w:val="fr-CH"/>
        </w:rPr>
        <w:t xml:space="preserve">, </w:t>
      </w:r>
      <w:proofErr w:type="gramStart"/>
      <w:r w:rsidRPr="008E0760">
        <w:rPr>
          <w:lang w:val="fr-CH"/>
        </w:rPr>
        <w:t>modifier</w:t>
      </w:r>
      <w:proofErr w:type="gramEnd"/>
      <w:r w:rsidRPr="008E0760">
        <w:rPr>
          <w:lang w:val="fr-CH"/>
        </w:rPr>
        <w:t xml:space="preserve"> comme suit</w:t>
      </w:r>
      <w:r w:rsidR="00310549">
        <w:rPr>
          <w:lang w:val="fr-CH"/>
        </w:rPr>
        <w:t> :</w:t>
      </w:r>
    </w:p>
    <w:p w:rsidR="008E0760" w:rsidRDefault="00310549" w:rsidP="00310549">
      <w:pPr>
        <w:pStyle w:val="SingleTxt"/>
        <w:ind w:left="2217" w:hanging="950"/>
        <w:rPr>
          <w:lang w:val="fr-CH"/>
        </w:rPr>
      </w:pPr>
      <w:r>
        <w:rPr>
          <w:lang w:val="fr-CH"/>
        </w:rPr>
        <w:t>« </w:t>
      </w:r>
      <w:r w:rsidR="008E0760" w:rsidRPr="008E0760">
        <w:rPr>
          <w:lang w:val="fr-CH"/>
        </w:rPr>
        <w:t>2.2.2</w:t>
      </w:r>
      <w:r w:rsidR="008E0760" w:rsidRPr="008E0760">
        <w:rPr>
          <w:lang w:val="fr-CH"/>
        </w:rPr>
        <w:tab/>
      </w:r>
      <w:r w:rsidR="008E0760" w:rsidRPr="008E0760">
        <w:rPr>
          <w:lang w:val="fr-FR"/>
        </w:rPr>
        <w:t>Cependant</w:t>
      </w:r>
      <w:r w:rsidR="008E0760" w:rsidRPr="008E0760">
        <w:rPr>
          <w:lang w:val="fr-CH"/>
        </w:rPr>
        <w:t>, si cette valeur est</w:t>
      </w:r>
      <w:r>
        <w:rPr>
          <w:lang w:val="fr-CH"/>
        </w:rPr>
        <w:t> :</w:t>
      </w:r>
    </w:p>
    <w:p w:rsidR="00D70A29" w:rsidRPr="001D1491" w:rsidRDefault="00D70A29" w:rsidP="001D1491">
      <w:pPr>
        <w:pStyle w:val="SingleTxt"/>
        <w:spacing w:after="0" w:line="120" w:lineRule="exact"/>
        <w:ind w:left="2217" w:hanging="950"/>
        <w:rPr>
          <w:sz w:val="10"/>
          <w:lang w:val="fr-CH"/>
        </w:rPr>
      </w:pPr>
    </w:p>
    <w:p w:rsidR="001D1491" w:rsidRPr="00D70A29" w:rsidRDefault="001D1491" w:rsidP="00D70A29">
      <w:pPr>
        <w:pStyle w:val="SingleTxt"/>
        <w:spacing w:after="0" w:line="120" w:lineRule="exact"/>
        <w:ind w:left="2217" w:hanging="950"/>
        <w:rPr>
          <w:sz w:val="10"/>
          <w:lang w:val="fr-CH"/>
        </w:rPr>
      </w:pPr>
    </w:p>
    <w:tbl>
      <w:tblPr>
        <w:tblW w:w="6552" w:type="dxa"/>
        <w:tblInd w:w="2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5165"/>
      </w:tblGrid>
      <w:tr w:rsidR="006E262D" w:rsidTr="00D70A29">
        <w:trPr>
          <w:tblHeader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62D" w:rsidRDefault="006E26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rPr>
                <w:i/>
                <w:sz w:val="14"/>
              </w:rPr>
            </w:pPr>
            <w:r>
              <w:rPr>
                <w:i/>
                <w:sz w:val="14"/>
                <w:lang w:val="fr-CH"/>
              </w:rPr>
              <w:t>Déplacement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62D" w:rsidRDefault="006E26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397"/>
              <w:rPr>
                <w:i/>
                <w:sz w:val="14"/>
              </w:rPr>
            </w:pPr>
          </w:p>
        </w:tc>
      </w:tr>
      <w:tr w:rsidR="006E262D" w:rsidRPr="006E262D" w:rsidTr="00D70A29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2D" w:rsidRDefault="006E26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>
              <w:rPr>
                <w:lang w:val="fr-CH"/>
              </w:rPr>
              <w:t>Vers le haut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2D" w:rsidRDefault="006E262D" w:rsidP="00D70A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>
              <w:rPr>
                <w:lang w:val="fr-CH"/>
              </w:rPr>
              <w:t>supérieure à 1,0 </w:t>
            </w:r>
            <w:proofErr w:type="spellStart"/>
            <w:r>
              <w:rPr>
                <w:lang w:val="fr-CH"/>
              </w:rPr>
              <w:t>mrad</w:t>
            </w:r>
            <w:proofErr w:type="spellEnd"/>
            <w:r>
              <w:rPr>
                <w:lang w:val="fr-CH"/>
              </w:rPr>
              <w:t xml:space="preserve"> mais inférieure ou égale à</w:t>
            </w:r>
            <w:r w:rsidR="00D70A29">
              <w:rPr>
                <w:lang w:val="fr-CH"/>
              </w:rPr>
              <w:t> </w:t>
            </w:r>
            <w:r>
              <w:rPr>
                <w:lang w:val="fr-CH"/>
              </w:rPr>
              <w:t>1,5 </w:t>
            </w:r>
            <w:proofErr w:type="spellStart"/>
            <w:r>
              <w:rPr>
                <w:lang w:val="fr-CH"/>
              </w:rPr>
              <w:t>mrad</w:t>
            </w:r>
            <w:proofErr w:type="spellEnd"/>
            <w:r>
              <w:rPr>
                <w:lang w:val="fr-CH"/>
              </w:rPr>
              <w:t xml:space="preserve"> (1,0 </w:t>
            </w:r>
            <w:proofErr w:type="spellStart"/>
            <w:r>
              <w:rPr>
                <w:lang w:val="fr-CH"/>
              </w:rPr>
              <w:t>mrad</w:t>
            </w:r>
            <w:proofErr w:type="spellEnd"/>
            <w:r>
              <w:rPr>
                <w:lang w:val="fr-CH"/>
              </w:rPr>
              <w:t xml:space="preserve"> &lt; ∆</w:t>
            </w:r>
            <w:proofErr w:type="spellStart"/>
            <w:r>
              <w:rPr>
                <w:lang w:val="fr-CH"/>
              </w:rPr>
              <w:t>r</w:t>
            </w:r>
            <w:r>
              <w:rPr>
                <w:vertAlign w:val="subscript"/>
                <w:lang w:val="fr-CH"/>
              </w:rPr>
              <w:t>I</w:t>
            </w:r>
            <w:proofErr w:type="spellEnd"/>
            <w:r>
              <w:rPr>
                <w:lang w:val="fr-CH"/>
              </w:rPr>
              <w:t xml:space="preserve"> ≤ 1,5 </w:t>
            </w:r>
            <w:proofErr w:type="spellStart"/>
            <w:r>
              <w:rPr>
                <w:lang w:val="fr-CH"/>
              </w:rPr>
              <w:t>mrad</w:t>
            </w:r>
            <w:proofErr w:type="spellEnd"/>
            <w:r>
              <w:rPr>
                <w:lang w:val="fr-CH"/>
              </w:rPr>
              <w:t>)</w:t>
            </w:r>
          </w:p>
        </w:tc>
      </w:tr>
      <w:tr w:rsidR="006E262D" w:rsidRPr="006E262D" w:rsidTr="00D70A29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2D" w:rsidRDefault="006E26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>
              <w:rPr>
                <w:lang w:val="fr-CH"/>
              </w:rPr>
              <w:t>Vers le bas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2D" w:rsidRDefault="006E262D" w:rsidP="00D70A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>
              <w:rPr>
                <w:lang w:val="fr-CH"/>
              </w:rPr>
              <w:t>supérieure à 2,0 </w:t>
            </w:r>
            <w:proofErr w:type="spellStart"/>
            <w:r>
              <w:rPr>
                <w:lang w:val="fr-CH"/>
              </w:rPr>
              <w:t>mrad</w:t>
            </w:r>
            <w:proofErr w:type="spellEnd"/>
            <w:r>
              <w:rPr>
                <w:lang w:val="fr-CH"/>
              </w:rPr>
              <w:t xml:space="preserve"> mais inférieure ou égale à</w:t>
            </w:r>
            <w:r w:rsidR="00D70A29">
              <w:rPr>
                <w:lang w:val="fr-CH"/>
              </w:rPr>
              <w:t> </w:t>
            </w:r>
            <w:r>
              <w:rPr>
                <w:lang w:val="fr-CH"/>
              </w:rPr>
              <w:t>3,0 </w:t>
            </w:r>
            <w:proofErr w:type="spellStart"/>
            <w:r>
              <w:rPr>
                <w:lang w:val="fr-CH"/>
              </w:rPr>
              <w:t>mrad</w:t>
            </w:r>
            <w:proofErr w:type="spellEnd"/>
            <w:r>
              <w:rPr>
                <w:lang w:val="fr-CH"/>
              </w:rPr>
              <w:t xml:space="preserve"> (2,0 </w:t>
            </w:r>
            <w:proofErr w:type="spellStart"/>
            <w:r>
              <w:rPr>
                <w:lang w:val="fr-CH"/>
              </w:rPr>
              <w:t>mrad</w:t>
            </w:r>
            <w:proofErr w:type="spellEnd"/>
            <w:r>
              <w:rPr>
                <w:lang w:val="fr-CH"/>
              </w:rPr>
              <w:t xml:space="preserve"> &lt; ∆</w:t>
            </w:r>
            <w:proofErr w:type="spellStart"/>
            <w:r>
              <w:rPr>
                <w:lang w:val="fr-CH"/>
              </w:rPr>
              <w:t>r</w:t>
            </w:r>
            <w:r>
              <w:rPr>
                <w:vertAlign w:val="subscript"/>
                <w:lang w:val="fr-CH"/>
              </w:rPr>
              <w:t>I</w:t>
            </w:r>
            <w:proofErr w:type="spellEnd"/>
            <w:r>
              <w:rPr>
                <w:lang w:val="fr-CH"/>
              </w:rPr>
              <w:t xml:space="preserve"> ≤ 3,0 </w:t>
            </w:r>
            <w:proofErr w:type="spellStart"/>
            <w:r>
              <w:rPr>
                <w:lang w:val="fr-CH"/>
              </w:rPr>
              <w:t>mrad</w:t>
            </w:r>
            <w:proofErr w:type="spellEnd"/>
            <w:r>
              <w:rPr>
                <w:lang w:val="fr-CH"/>
              </w:rPr>
              <w:t>)</w:t>
            </w:r>
          </w:p>
        </w:tc>
      </w:tr>
    </w:tbl>
    <w:p w:rsidR="006E262D" w:rsidRPr="00D70A29" w:rsidRDefault="006E262D" w:rsidP="00D70A29">
      <w:pPr>
        <w:pStyle w:val="SingleTxt"/>
        <w:spacing w:after="0" w:line="120" w:lineRule="exact"/>
        <w:ind w:left="2217" w:hanging="950"/>
        <w:rPr>
          <w:sz w:val="10"/>
          <w:lang w:val="fr-CH"/>
        </w:rPr>
      </w:pPr>
    </w:p>
    <w:p w:rsidR="001D1491" w:rsidRPr="001D1491" w:rsidRDefault="001D1491" w:rsidP="001D1491">
      <w:pPr>
        <w:pStyle w:val="SingleTxt"/>
        <w:spacing w:after="0" w:line="120" w:lineRule="exact"/>
        <w:ind w:left="2218" w:hanging="951"/>
        <w:rPr>
          <w:sz w:val="10"/>
          <w:lang w:val="fr-CH"/>
        </w:rPr>
      </w:pPr>
    </w:p>
    <w:p w:rsidR="008E0760" w:rsidRPr="008E0760" w:rsidRDefault="008E0760" w:rsidP="00310549">
      <w:pPr>
        <w:pStyle w:val="SingleTxt"/>
        <w:ind w:left="2218" w:hanging="951"/>
        <w:rPr>
          <w:lang w:val="fr-CH"/>
        </w:rPr>
      </w:pPr>
      <w:r w:rsidRPr="008E0760">
        <w:rPr>
          <w:lang w:val="fr-CH"/>
        </w:rPr>
        <w:tab/>
      </w:r>
      <w:r>
        <w:rPr>
          <w:lang w:val="fr-CH"/>
        </w:rPr>
        <w:tab/>
      </w:r>
      <w:r w:rsidRPr="008E0760">
        <w:rPr>
          <w:lang w:val="fr-CH"/>
        </w:rPr>
        <w:t>Un autre spécimen est mis à l’essai comme prévu dans le paragraphe 2.1, après avoir été soumis trois fois de suite au cycle décrit ci</w:t>
      </w:r>
      <w:r w:rsidR="006E262D">
        <w:rPr>
          <w:lang w:val="fr-CH"/>
        </w:rPr>
        <w:t>-</w:t>
      </w:r>
      <w:r w:rsidRPr="008E0760">
        <w:rPr>
          <w:lang w:val="fr-CH"/>
        </w:rPr>
        <w:t>dessous, afin de stabiliser la position des parties mécaniques du projecteur sur un support représentatif de son installation correcte sur le véhicule</w:t>
      </w:r>
      <w:r w:rsidR="00310549">
        <w:rPr>
          <w:lang w:val="fr-CH"/>
        </w:rPr>
        <w:t> :</w:t>
      </w:r>
    </w:p>
    <w:p w:rsidR="008E0760" w:rsidRPr="008E0760" w:rsidRDefault="008E0760" w:rsidP="008E0760">
      <w:pPr>
        <w:pStyle w:val="SingleTxt"/>
        <w:ind w:left="2218" w:hanging="951"/>
        <w:rPr>
          <w:lang w:val="fr-CH"/>
        </w:rPr>
      </w:pPr>
      <w:r w:rsidRPr="008E0760">
        <w:rPr>
          <w:lang w:val="fr-CH"/>
        </w:rPr>
        <w:tab/>
      </w:r>
      <w:r>
        <w:rPr>
          <w:lang w:val="fr-CH"/>
        </w:rPr>
        <w:tab/>
      </w:r>
      <w:r w:rsidRPr="008E0760">
        <w:rPr>
          <w:lang w:val="fr-CH"/>
        </w:rPr>
        <w:t>Feu de croisement allumé pendant 1 h (la tension d’alimentation étant réglée comme prescrit au paragraphe 1.1.1.2),</w:t>
      </w:r>
    </w:p>
    <w:p w:rsidR="008E0760" w:rsidRPr="008E0760" w:rsidRDefault="008E0760" w:rsidP="00310549">
      <w:pPr>
        <w:pStyle w:val="SingleTxt"/>
        <w:ind w:left="2218" w:hanging="951"/>
        <w:rPr>
          <w:lang w:val="fr-CH"/>
        </w:rPr>
      </w:pPr>
      <w:r w:rsidRPr="008E0760">
        <w:rPr>
          <w:bCs/>
          <w:lang w:val="fr-CH"/>
        </w:rPr>
        <w:tab/>
      </w:r>
      <w:r>
        <w:rPr>
          <w:bCs/>
          <w:lang w:val="fr-CH"/>
        </w:rPr>
        <w:tab/>
      </w:r>
      <w:r w:rsidRPr="008E0760">
        <w:rPr>
          <w:bCs/>
          <w:lang w:val="fr-CH"/>
        </w:rPr>
        <w:t xml:space="preserve">Cette période écoulée, le type de projecteur est considéré comme acceptable si les valeurs </w:t>
      </w:r>
      <w:r w:rsidRPr="008E0760">
        <w:rPr>
          <w:lang w:val="fr-CH"/>
        </w:rPr>
        <w:t>absolues</w:t>
      </w:r>
      <w:r w:rsidRPr="008E0760">
        <w:rPr>
          <w:bCs/>
          <w:lang w:val="fr-CH"/>
        </w:rPr>
        <w:t xml:space="preserve"> </w:t>
      </w:r>
      <w:proofErr w:type="spellStart"/>
      <w:r w:rsidRPr="008E0760">
        <w:rPr>
          <w:bCs/>
          <w:lang w:val="fr-CH"/>
        </w:rPr>
        <w:t>Δr</w:t>
      </w:r>
      <w:proofErr w:type="spellEnd"/>
      <w:r w:rsidRPr="008E0760">
        <w:rPr>
          <w:bCs/>
          <w:lang w:val="fr-CH"/>
        </w:rPr>
        <w:t xml:space="preserve"> mesurées sur l’échantillon suivant satisfont aux prescriptions du paragraphe 2.2.1 ci-dessus</w:t>
      </w:r>
      <w:r w:rsidRPr="008E0760">
        <w:rPr>
          <w:lang w:val="fr-CH"/>
        </w:rPr>
        <w:t>.</w:t>
      </w:r>
      <w:r w:rsidR="00310549">
        <w:rPr>
          <w:lang w:val="fr-CH"/>
        </w:rPr>
        <w:t> »</w:t>
      </w:r>
      <w:r w:rsidRPr="008E0760">
        <w:rPr>
          <w:lang w:val="fr-CH"/>
        </w:rPr>
        <w:t>.</w:t>
      </w:r>
    </w:p>
    <w:p w:rsidR="008E0760" w:rsidRPr="008E0760" w:rsidRDefault="008E0760" w:rsidP="00310549">
      <w:pPr>
        <w:pStyle w:val="SingleTxt"/>
        <w:rPr>
          <w:lang w:val="fr-CH"/>
        </w:rPr>
      </w:pPr>
      <w:r w:rsidRPr="008E0760">
        <w:rPr>
          <w:i/>
          <w:lang w:val="fr-CH"/>
        </w:rPr>
        <w:t>Annexe 5, paragraphe 1.4</w:t>
      </w:r>
      <w:r w:rsidRPr="008E0760">
        <w:rPr>
          <w:lang w:val="fr-CH"/>
        </w:rPr>
        <w:t xml:space="preserve">, </w:t>
      </w:r>
      <w:proofErr w:type="gramStart"/>
      <w:r w:rsidRPr="008E0760">
        <w:rPr>
          <w:lang w:val="fr-CH"/>
        </w:rPr>
        <w:t>modifier</w:t>
      </w:r>
      <w:proofErr w:type="gramEnd"/>
      <w:r w:rsidRPr="008E0760">
        <w:rPr>
          <w:lang w:val="fr-CH"/>
        </w:rPr>
        <w:t xml:space="preserve"> comme suit</w:t>
      </w:r>
      <w:r w:rsidR="00310549">
        <w:rPr>
          <w:lang w:val="fr-CH"/>
        </w:rPr>
        <w:t> :</w:t>
      </w:r>
    </w:p>
    <w:p w:rsidR="008E0760" w:rsidRPr="008E0760" w:rsidRDefault="00310549" w:rsidP="00310549">
      <w:pPr>
        <w:pStyle w:val="SingleTxt"/>
        <w:ind w:left="2217" w:hanging="950"/>
        <w:rPr>
          <w:lang w:val="fr-CH"/>
        </w:rPr>
      </w:pPr>
      <w:r>
        <w:rPr>
          <w:lang w:val="fr-CH"/>
        </w:rPr>
        <w:t>« </w:t>
      </w:r>
      <w:r w:rsidR="008E0760" w:rsidRPr="008E0760">
        <w:rPr>
          <w:lang w:val="fr-CH"/>
        </w:rPr>
        <w:t>1.4</w:t>
      </w:r>
      <w:r w:rsidR="008E0760" w:rsidRPr="008E0760">
        <w:rPr>
          <w:lang w:val="fr-CH"/>
        </w:rPr>
        <w:tab/>
      </w:r>
      <w:r w:rsidR="008E0760">
        <w:rPr>
          <w:lang w:val="fr-CH"/>
        </w:rPr>
        <w:tab/>
      </w:r>
      <w:r w:rsidR="008E0760" w:rsidRPr="008E0760">
        <w:rPr>
          <w:lang w:val="fr-CH"/>
        </w:rPr>
        <w:t>Pour vérifier le déplacement de la position verticale de la ligne de coupure sous l’effet de la chaleur, la méthode ci-dessous est appliquée (pour des projecteurs des classes B, C, D et E seulement)</w:t>
      </w:r>
      <w:r>
        <w:rPr>
          <w:lang w:val="fr-CH"/>
        </w:rPr>
        <w:t> :</w:t>
      </w:r>
    </w:p>
    <w:p w:rsidR="008E0760" w:rsidRPr="008E0760" w:rsidRDefault="008E0760" w:rsidP="008E0760">
      <w:pPr>
        <w:pStyle w:val="SingleTxt"/>
        <w:ind w:left="2218" w:hanging="951"/>
        <w:rPr>
          <w:lang w:val="fr-CH"/>
        </w:rPr>
      </w:pPr>
      <w:r w:rsidRPr="008E0760">
        <w:rPr>
          <w:lang w:val="fr-CH"/>
        </w:rPr>
        <w:lastRenderedPageBreak/>
        <w:tab/>
      </w:r>
      <w:r>
        <w:rPr>
          <w:lang w:val="fr-CH"/>
        </w:rPr>
        <w:tab/>
      </w:r>
      <w:r w:rsidRPr="008E0760">
        <w:rPr>
          <w:lang w:val="fr-CH"/>
        </w:rPr>
        <w:t>Un des projecteurs prélevés est soumis aux essais conformément à la méthode prévue au paragraphe 2.1 de l’annexe 4, après avoir été soumis trois fois de suite au cycle défini au paragraphe 2.2.2 de l’annexe 4.</w:t>
      </w:r>
    </w:p>
    <w:p w:rsidR="008E0760" w:rsidRPr="008E0760" w:rsidRDefault="008E0760" w:rsidP="008E0760">
      <w:pPr>
        <w:pStyle w:val="SingleTxt"/>
        <w:ind w:left="2218" w:hanging="951"/>
        <w:rPr>
          <w:lang w:val="fr-CH"/>
        </w:rPr>
      </w:pPr>
      <w:r w:rsidRPr="008E0760">
        <w:rPr>
          <w:lang w:val="fr-CH"/>
        </w:rPr>
        <w:tab/>
      </w:r>
      <w:r>
        <w:rPr>
          <w:lang w:val="fr-CH"/>
        </w:rPr>
        <w:tab/>
      </w:r>
      <w:r w:rsidRPr="008E0760">
        <w:rPr>
          <w:lang w:val="fr-CH"/>
        </w:rPr>
        <w:t>Le projecteur est considéré comme acceptable si ∆r ne dépasse pas 1,5 </w:t>
      </w:r>
      <w:proofErr w:type="spellStart"/>
      <w:r w:rsidRPr="008E0760">
        <w:rPr>
          <w:lang w:val="fr-CH"/>
        </w:rPr>
        <w:t>mrad</w:t>
      </w:r>
      <w:proofErr w:type="spellEnd"/>
      <w:r w:rsidRPr="008E0760">
        <w:rPr>
          <w:lang w:val="fr-CH"/>
        </w:rPr>
        <w:t xml:space="preserve"> vers le haut et 2,5 </w:t>
      </w:r>
      <w:proofErr w:type="spellStart"/>
      <w:r w:rsidRPr="008E0760">
        <w:rPr>
          <w:lang w:val="fr-CH"/>
        </w:rPr>
        <w:t>mrad</w:t>
      </w:r>
      <w:proofErr w:type="spellEnd"/>
      <w:r w:rsidRPr="008E0760">
        <w:rPr>
          <w:lang w:val="fr-CH"/>
        </w:rPr>
        <w:t xml:space="preserve"> vers le bas.</w:t>
      </w:r>
    </w:p>
    <w:p w:rsidR="000C7766" w:rsidRDefault="008E0760" w:rsidP="00310549">
      <w:pPr>
        <w:pStyle w:val="SingleTxt"/>
        <w:ind w:left="2218" w:hanging="951"/>
        <w:rPr>
          <w:lang w:val="fr-CH"/>
        </w:rPr>
      </w:pPr>
      <w:r w:rsidRPr="008E0760">
        <w:rPr>
          <w:lang w:val="fr-CH"/>
        </w:rPr>
        <w:tab/>
      </w:r>
      <w:r>
        <w:rPr>
          <w:lang w:val="fr-CH"/>
        </w:rPr>
        <w:tab/>
      </w:r>
      <w:r w:rsidRPr="008E0760">
        <w:rPr>
          <w:lang w:val="fr-CH"/>
        </w:rPr>
        <w:t>Si cette valeur dépasse 1,5 </w:t>
      </w:r>
      <w:proofErr w:type="spellStart"/>
      <w:r w:rsidRPr="008E0760">
        <w:rPr>
          <w:lang w:val="fr-CH"/>
        </w:rPr>
        <w:t>mrad</w:t>
      </w:r>
      <w:proofErr w:type="spellEnd"/>
      <w:r w:rsidRPr="008E0760">
        <w:rPr>
          <w:lang w:val="fr-CH"/>
        </w:rPr>
        <w:t xml:space="preserve"> sans excéder 2 </w:t>
      </w:r>
      <w:proofErr w:type="spellStart"/>
      <w:r w:rsidRPr="008E0760">
        <w:rPr>
          <w:lang w:val="fr-CH"/>
        </w:rPr>
        <w:t>mrad</w:t>
      </w:r>
      <w:proofErr w:type="spellEnd"/>
      <w:r w:rsidRPr="008E0760">
        <w:rPr>
          <w:lang w:val="fr-CH"/>
        </w:rPr>
        <w:t xml:space="preserve"> vers le haut ou si elle dépasse 2,5 </w:t>
      </w:r>
      <w:proofErr w:type="spellStart"/>
      <w:r w:rsidRPr="008E0760">
        <w:rPr>
          <w:lang w:val="fr-CH"/>
        </w:rPr>
        <w:t>mrad</w:t>
      </w:r>
      <w:proofErr w:type="spellEnd"/>
      <w:r w:rsidRPr="008E0760">
        <w:rPr>
          <w:lang w:val="fr-CH"/>
        </w:rPr>
        <w:t xml:space="preserve"> sans excéder 3,0 </w:t>
      </w:r>
      <w:proofErr w:type="spellStart"/>
      <w:r w:rsidRPr="008E0760">
        <w:rPr>
          <w:lang w:val="fr-CH"/>
        </w:rPr>
        <w:t>mrad</w:t>
      </w:r>
      <w:proofErr w:type="spellEnd"/>
      <w:r w:rsidRPr="008E0760">
        <w:rPr>
          <w:lang w:val="fr-CH"/>
        </w:rPr>
        <w:t xml:space="preserve"> vers le bas, un second spécimen est soumis à l’essai, après quoi la moyenne des valeurs absolues enregistrées pour les deux spécimens ne doit pas dépasser 1,5 </w:t>
      </w:r>
      <w:proofErr w:type="spellStart"/>
      <w:r w:rsidRPr="008E0760">
        <w:rPr>
          <w:lang w:val="fr-CH"/>
        </w:rPr>
        <w:t>mrad</w:t>
      </w:r>
      <w:proofErr w:type="spellEnd"/>
      <w:r w:rsidRPr="008E0760">
        <w:rPr>
          <w:lang w:val="fr-CH"/>
        </w:rPr>
        <w:t xml:space="preserve"> vers le haut et 2,5 </w:t>
      </w:r>
      <w:proofErr w:type="spellStart"/>
      <w:r w:rsidRPr="008E0760">
        <w:rPr>
          <w:lang w:val="fr-CH"/>
        </w:rPr>
        <w:t>mrad</w:t>
      </w:r>
      <w:proofErr w:type="spellEnd"/>
      <w:r w:rsidRPr="008E0760">
        <w:rPr>
          <w:lang w:val="fr-CH"/>
        </w:rPr>
        <w:t xml:space="preserve"> vers le bas.</w:t>
      </w:r>
      <w:r w:rsidR="00310549">
        <w:rPr>
          <w:lang w:val="fr-CH"/>
        </w:rPr>
        <w:t> »</w:t>
      </w:r>
      <w:r w:rsidRPr="008E0760">
        <w:rPr>
          <w:lang w:val="fr-CH"/>
        </w:rPr>
        <w:t>.</w:t>
      </w:r>
    </w:p>
    <w:p w:rsidR="008E0760" w:rsidRPr="008E0760" w:rsidRDefault="008E0760" w:rsidP="008E0760">
      <w:pPr>
        <w:pStyle w:val="SingleTxt"/>
        <w:spacing w:after="0" w:line="240" w:lineRule="auto"/>
        <w:ind w:left="2218" w:hanging="951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8E0760" w:rsidRPr="008E0760" w:rsidSect="000C7766">
      <w:footnotePr>
        <w:numFmt w:val="chicago"/>
      </w:footnotePr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7C" w:rsidRDefault="00B20A7C" w:rsidP="00F3330B">
      <w:pPr>
        <w:spacing w:line="240" w:lineRule="auto"/>
      </w:pPr>
      <w:r>
        <w:separator/>
      </w:r>
    </w:p>
  </w:endnote>
  <w:endnote w:type="continuationSeparator" w:id="0">
    <w:p w:rsidR="00B20A7C" w:rsidRDefault="00B20A7C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C7766" w:rsidTr="000C7766">
      <w:trPr>
        <w:jc w:val="center"/>
      </w:trPr>
      <w:tc>
        <w:tcPr>
          <w:tcW w:w="5126" w:type="dxa"/>
          <w:shd w:val="clear" w:color="auto" w:fill="auto"/>
        </w:tcPr>
        <w:p w:rsidR="000C7766" w:rsidRPr="000C7766" w:rsidRDefault="000C7766" w:rsidP="000C776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A4E4B">
            <w:rPr>
              <w:b w:val="0"/>
              <w:w w:val="103"/>
              <w:sz w:val="14"/>
            </w:rPr>
            <w:t>GE.15-22706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C7766" w:rsidRPr="000C7766" w:rsidRDefault="000C7766" w:rsidP="000C776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A666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A666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0C7766" w:rsidRPr="000C7766" w:rsidRDefault="000C7766" w:rsidP="000C7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C7766" w:rsidTr="000C7766">
      <w:trPr>
        <w:jc w:val="center"/>
      </w:trPr>
      <w:tc>
        <w:tcPr>
          <w:tcW w:w="5126" w:type="dxa"/>
          <w:shd w:val="clear" w:color="auto" w:fill="auto"/>
        </w:tcPr>
        <w:p w:rsidR="000C7766" w:rsidRPr="000C7766" w:rsidRDefault="000C7766" w:rsidP="000C776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A666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A666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C7766" w:rsidRPr="000C7766" w:rsidRDefault="000C7766" w:rsidP="000C776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A4E4B">
            <w:rPr>
              <w:b w:val="0"/>
              <w:w w:val="103"/>
              <w:sz w:val="14"/>
            </w:rPr>
            <w:t>GE.15-22706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0C7766" w:rsidRPr="000C7766" w:rsidRDefault="000C7766" w:rsidP="000C77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66" w:rsidRDefault="000C776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3A5CA15" wp14:editId="6A4663F0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2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2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0C7766" w:rsidTr="000C7766">
      <w:tc>
        <w:tcPr>
          <w:tcW w:w="3859" w:type="dxa"/>
        </w:tcPr>
        <w:p w:rsidR="000C7766" w:rsidRDefault="000C7766" w:rsidP="00887C9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A4E4B">
            <w:rPr>
              <w:b w:val="0"/>
              <w:sz w:val="20"/>
            </w:rPr>
            <w:t>GE.15-22706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020216    0</w:t>
          </w:r>
          <w:r w:rsidR="00887C95">
            <w:rPr>
              <w:b w:val="0"/>
              <w:sz w:val="20"/>
            </w:rPr>
            <w:t>3</w:t>
          </w:r>
          <w:r>
            <w:rPr>
              <w:b w:val="0"/>
              <w:sz w:val="20"/>
            </w:rPr>
            <w:t>0216</w:t>
          </w:r>
        </w:p>
        <w:p w:rsidR="000C7766" w:rsidRPr="000C7766" w:rsidRDefault="000C7766" w:rsidP="000C7766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A4E4B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*1522706*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0C7766" w:rsidRDefault="000C7766" w:rsidP="000C776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974E600" wp14:editId="04A8527D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7766" w:rsidRPr="000C7766" w:rsidRDefault="000C7766" w:rsidP="000C7766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7C" w:rsidRPr="008E0760" w:rsidRDefault="008E0760" w:rsidP="008E0760">
      <w:pPr>
        <w:pStyle w:val="Footer"/>
        <w:spacing w:after="80"/>
        <w:ind w:left="792"/>
        <w:rPr>
          <w:sz w:val="16"/>
        </w:rPr>
      </w:pPr>
      <w:r w:rsidRPr="008E0760">
        <w:rPr>
          <w:sz w:val="16"/>
        </w:rPr>
        <w:t>__________________</w:t>
      </w:r>
    </w:p>
  </w:footnote>
  <w:footnote w:type="continuationSeparator" w:id="0">
    <w:p w:rsidR="00B20A7C" w:rsidRPr="008E0760" w:rsidRDefault="008E0760" w:rsidP="008E0760">
      <w:pPr>
        <w:pStyle w:val="Footer"/>
        <w:spacing w:after="80"/>
        <w:ind w:left="792"/>
        <w:rPr>
          <w:sz w:val="16"/>
        </w:rPr>
      </w:pPr>
      <w:r w:rsidRPr="008E0760">
        <w:rPr>
          <w:sz w:val="16"/>
        </w:rPr>
        <w:t>__________________</w:t>
      </w:r>
    </w:p>
  </w:footnote>
  <w:footnote w:id="1">
    <w:p w:rsidR="008E0760" w:rsidRPr="008E0760" w:rsidRDefault="008E0760" w:rsidP="00D70A2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spacing w:val="5"/>
          <w:w w:val="104"/>
          <w:lang w:val="fr-CH"/>
        </w:rPr>
      </w:pPr>
      <w:r>
        <w:tab/>
      </w:r>
      <w:r w:rsidRPr="008E0760">
        <w:rPr>
          <w:rStyle w:val="FootnoteReference"/>
          <w:vertAlign w:val="baseline"/>
        </w:rPr>
        <w:footnoteRef/>
      </w:r>
      <w:r>
        <w:t xml:space="preserve"> </w:t>
      </w:r>
      <w:r>
        <w:tab/>
      </w:r>
      <w:r w:rsidRPr="008E0760">
        <w:t>Conformément au programme de travail du Comité des transports intérieurs pour la période 2014</w:t>
      </w:r>
      <w:r w:rsidR="00D70A29">
        <w:t>-</w:t>
      </w:r>
      <w:r w:rsidRPr="008E0760">
        <w:t>2018 (ECE/TRANS/240, par.</w:t>
      </w:r>
      <w:r w:rsidR="00D70A29">
        <w:t> </w:t>
      </w:r>
      <w:r w:rsidRPr="008E0760">
        <w:t>105</w:t>
      </w:r>
      <w:r w:rsidR="00D70A29">
        <w:t>,</w:t>
      </w:r>
      <w:r w:rsidRPr="008E0760">
        <w:t xml:space="preserve"> et ECE/TRANS/2014/26, activité 02.4), le Forum mondial a pour mission d</w:t>
      </w:r>
      <w:r w:rsidR="00310549">
        <w:t>’</w:t>
      </w:r>
      <w:r w:rsidRPr="008E0760">
        <w:t>élaborer, d</w:t>
      </w:r>
      <w:r w:rsidR="00310549">
        <w:t>’</w:t>
      </w:r>
      <w:r w:rsidRPr="008E0760">
        <w:t>harmoniser et de mettre à jour les Règlements en vue d’améliorer les caractéristiques fonctionnelles des véhicules. Le présent document est soumis en vertu de ce mandat</w:t>
      </w:r>
      <w:r w:rsidRPr="008E0760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C7766" w:rsidTr="000C776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C7766" w:rsidRPr="000C7766" w:rsidRDefault="000C7766" w:rsidP="000C7766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A4E4B">
            <w:rPr>
              <w:b/>
              <w:color w:val="000000"/>
            </w:rPr>
            <w:t>ECE/TRANS/WP.29/2016/24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C7766" w:rsidRDefault="000C7766" w:rsidP="000C7766">
          <w:pPr>
            <w:pStyle w:val="Header"/>
          </w:pPr>
        </w:p>
      </w:tc>
    </w:tr>
  </w:tbl>
  <w:p w:rsidR="000C7766" w:rsidRPr="000C7766" w:rsidRDefault="000C7766" w:rsidP="000C7766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C7766" w:rsidTr="000C776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C7766" w:rsidRDefault="000C7766" w:rsidP="000C776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C7766" w:rsidRPr="000C7766" w:rsidRDefault="000C7766" w:rsidP="000C7766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A4E4B">
            <w:rPr>
              <w:b/>
              <w:color w:val="000000"/>
            </w:rPr>
            <w:t>ECE/TRANS/WP.29/2016/24</w:t>
          </w:r>
          <w:r>
            <w:rPr>
              <w:b/>
              <w:color w:val="000000"/>
            </w:rPr>
            <w:fldChar w:fldCharType="end"/>
          </w:r>
        </w:p>
      </w:tc>
    </w:tr>
  </w:tbl>
  <w:p w:rsidR="000C7766" w:rsidRPr="000C7766" w:rsidRDefault="000C7766" w:rsidP="000C776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0C7766" w:rsidTr="000C776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C7766" w:rsidRDefault="000C7766" w:rsidP="000C7766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C7766" w:rsidRPr="000C7766" w:rsidRDefault="000C7766" w:rsidP="000C7766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C7766" w:rsidRDefault="000C7766" w:rsidP="000C7766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0C7766" w:rsidRPr="000C7766" w:rsidRDefault="000C7766" w:rsidP="000C776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/TRANS/WP.29/2016/24</w:t>
          </w:r>
        </w:p>
      </w:tc>
    </w:tr>
    <w:tr w:rsidR="000C7766" w:rsidRPr="000C7766" w:rsidTr="000C7766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7766" w:rsidRPr="000C7766" w:rsidRDefault="000C7766" w:rsidP="000C7766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FD0ACE1" wp14:editId="438515E5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7766" w:rsidRPr="000C7766" w:rsidRDefault="000C7766" w:rsidP="000C7766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7766" w:rsidRPr="000C7766" w:rsidRDefault="000C7766" w:rsidP="000C776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7766" w:rsidRPr="008E0760" w:rsidRDefault="000C7766" w:rsidP="000C7766">
          <w:pPr>
            <w:pStyle w:val="Distribution"/>
            <w:rPr>
              <w:color w:val="000000"/>
              <w:lang w:val="fr-CH"/>
            </w:rPr>
          </w:pPr>
          <w:proofErr w:type="spellStart"/>
          <w:r w:rsidRPr="008E0760">
            <w:rPr>
              <w:color w:val="000000"/>
              <w:lang w:val="fr-CH"/>
            </w:rPr>
            <w:t>Distr</w:t>
          </w:r>
          <w:proofErr w:type="spellEnd"/>
          <w:r w:rsidRPr="008E0760">
            <w:rPr>
              <w:color w:val="000000"/>
              <w:lang w:val="fr-CH"/>
            </w:rPr>
            <w:t>. générale</w:t>
          </w:r>
        </w:p>
        <w:p w:rsidR="000C7766" w:rsidRPr="008E0760" w:rsidRDefault="000C7766" w:rsidP="000C7766">
          <w:pPr>
            <w:pStyle w:val="Publication"/>
            <w:rPr>
              <w:color w:val="000000"/>
              <w:lang w:val="fr-CH"/>
            </w:rPr>
          </w:pPr>
          <w:r w:rsidRPr="008E0760">
            <w:rPr>
              <w:color w:val="000000"/>
              <w:lang w:val="fr-CH"/>
            </w:rPr>
            <w:t>23 décembre 2015</w:t>
          </w:r>
        </w:p>
        <w:p w:rsidR="000C7766" w:rsidRPr="008E0760" w:rsidRDefault="000C7766" w:rsidP="000C7766">
          <w:pPr>
            <w:rPr>
              <w:lang w:val="fr-CH"/>
            </w:rPr>
          </w:pPr>
          <w:r w:rsidRPr="008E0760">
            <w:rPr>
              <w:lang w:val="fr-CH"/>
            </w:rPr>
            <w:t>Français</w:t>
          </w:r>
        </w:p>
        <w:p w:rsidR="000C7766" w:rsidRPr="008E0760" w:rsidRDefault="000C7766" w:rsidP="000C7766">
          <w:pPr>
            <w:pStyle w:val="Original"/>
            <w:rPr>
              <w:color w:val="000000"/>
              <w:lang w:val="fr-CH"/>
            </w:rPr>
          </w:pPr>
          <w:r w:rsidRPr="008E0760">
            <w:rPr>
              <w:color w:val="000000"/>
              <w:lang w:val="fr-CH"/>
            </w:rPr>
            <w:t>Original : anglais</w:t>
          </w:r>
        </w:p>
      </w:tc>
    </w:tr>
  </w:tbl>
  <w:p w:rsidR="000C7766" w:rsidRPr="008E0760" w:rsidRDefault="000C7766" w:rsidP="000C7766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706*"/>
    <w:docVar w:name="CreationDt" w:val="2/2/2016 4:21: PM"/>
    <w:docVar w:name="DocCategory" w:val="Doc"/>
    <w:docVar w:name="DocType" w:val="Final"/>
    <w:docVar w:name="DutyStation" w:val="Geneva"/>
    <w:docVar w:name="FooterJN" w:val="GE.15-22706"/>
    <w:docVar w:name="jobn" w:val="GE.15-22706 (F)"/>
    <w:docVar w:name="jobnDT" w:val="GE.15-22706 (F)   020216"/>
    <w:docVar w:name="jobnDTDT" w:val="GE.15-22706 (F)   020216   020216"/>
    <w:docVar w:name="JobNo" w:val="GE.1522706F"/>
    <w:docVar w:name="JobNo2" w:val="GE.1529018F"/>
    <w:docVar w:name="LocalDrive" w:val="0"/>
    <w:docVar w:name="OandT" w:val="Beysard"/>
    <w:docVar w:name="PaperSize" w:val="A4"/>
    <w:docVar w:name="sss1" w:val="ECE/TRANS/WP.29/2016/24"/>
    <w:docVar w:name="sss2" w:val="-"/>
    <w:docVar w:name="Symbol1" w:val="ECE/TRANS/WP.29/2016/24"/>
    <w:docVar w:name="Symbol2" w:val="-"/>
  </w:docVars>
  <w:rsids>
    <w:rsidRoot w:val="00B20A7C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C7766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C79FE"/>
    <w:rsid w:val="001D0E60"/>
    <w:rsid w:val="001D1491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0549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4B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399D"/>
    <w:rsid w:val="005D7CA9"/>
    <w:rsid w:val="005E0F5F"/>
    <w:rsid w:val="005E3BA0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262D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6668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87C95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60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1F1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4299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6B0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0A7C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0A29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415A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0C7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7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766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766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0C7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7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766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766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AB59-E80D-42E5-A6F0-71A2331E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Beysard Pascale</dc:creator>
  <cp:lastModifiedBy>Caillot</cp:lastModifiedBy>
  <cp:revision>2</cp:revision>
  <cp:lastPrinted>2016-02-03T07:29:00Z</cp:lastPrinted>
  <dcterms:created xsi:type="dcterms:W3CDTF">2016-02-03T09:23:00Z</dcterms:created>
  <dcterms:modified xsi:type="dcterms:W3CDTF">2016-02-03T09:23:00Z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1522706F</vt:lpwstr>
  </property>
  <property fmtid="{D5CDD505-2E9C-101B-9397-08002B2CF9AE}" pid="3" name="ODSRefJobNo">
    <vt:lpwstr>1529018F</vt:lpwstr>
  </property>
  <property fmtid="{D5CDD505-2E9C-101B-9397-08002B2CF9AE}" pid="4" name="Symbol1">
    <vt:lpwstr>ECE/TRANS/WP.29/2016/24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Beysard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020216</vt:lpwstr>
  </property>
</Properties>
</file>