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0544E" w:rsidRPr="00F0544E" w:rsidTr="004E2DAE">
        <w:trPr>
          <w:cantSplit/>
          <w:trHeight w:hRule="exact" w:val="851"/>
        </w:trPr>
        <w:tc>
          <w:tcPr>
            <w:tcW w:w="1276" w:type="dxa"/>
            <w:tcBorders>
              <w:bottom w:val="single" w:sz="4" w:space="0" w:color="auto"/>
            </w:tcBorders>
            <w:shd w:val="clear" w:color="auto" w:fill="auto"/>
            <w:vAlign w:val="bottom"/>
          </w:tcPr>
          <w:p w:rsidR="00F0544E" w:rsidRPr="00F0544E" w:rsidRDefault="00F0544E" w:rsidP="00F0544E">
            <w:pPr>
              <w:suppressAutoHyphens/>
              <w:spacing w:after="80" w:line="240" w:lineRule="atLeast"/>
              <w:rPr>
                <w:rFonts w:ascii="Times New Roman" w:eastAsia="Times New Roman" w:hAnsi="Times New Roman" w:cs="Times New Roman"/>
                <w:sz w:val="20"/>
                <w:szCs w:val="20"/>
                <w:lang w:val="en-GB" w:eastAsia="en-US"/>
              </w:rPr>
            </w:pPr>
          </w:p>
        </w:tc>
        <w:tc>
          <w:tcPr>
            <w:tcW w:w="2268" w:type="dxa"/>
            <w:tcBorders>
              <w:bottom w:val="single" w:sz="4" w:space="0" w:color="auto"/>
            </w:tcBorders>
            <w:shd w:val="clear" w:color="auto" w:fill="auto"/>
            <w:vAlign w:val="bottom"/>
          </w:tcPr>
          <w:p w:rsidR="00F0544E" w:rsidRPr="00F0544E" w:rsidRDefault="00F0544E" w:rsidP="00F0544E">
            <w:pPr>
              <w:suppressAutoHyphens/>
              <w:spacing w:after="80" w:line="300" w:lineRule="exact"/>
              <w:rPr>
                <w:rFonts w:ascii="Times New Roman" w:eastAsia="Times New Roman" w:hAnsi="Times New Roman" w:cs="Times New Roman"/>
                <w:b/>
                <w:sz w:val="24"/>
                <w:szCs w:val="24"/>
                <w:lang w:val="en-GB" w:eastAsia="en-US"/>
              </w:rPr>
            </w:pPr>
            <w:r w:rsidRPr="00F0544E">
              <w:rPr>
                <w:rFonts w:ascii="Times New Roman" w:eastAsia="Times New Roman" w:hAnsi="Times New Roman" w:cs="Times New Roman"/>
                <w:sz w:val="28"/>
                <w:szCs w:val="28"/>
                <w:lang w:val="en-GB" w:eastAsia="en-US"/>
              </w:rPr>
              <w:t>United Nations</w:t>
            </w:r>
          </w:p>
        </w:tc>
        <w:tc>
          <w:tcPr>
            <w:tcW w:w="6095" w:type="dxa"/>
            <w:gridSpan w:val="2"/>
            <w:tcBorders>
              <w:bottom w:val="single" w:sz="4" w:space="0" w:color="auto"/>
            </w:tcBorders>
            <w:shd w:val="clear" w:color="auto" w:fill="auto"/>
            <w:vAlign w:val="bottom"/>
          </w:tcPr>
          <w:p w:rsidR="00F0544E" w:rsidRPr="00F0544E" w:rsidRDefault="00F0544E" w:rsidP="00CE5092">
            <w:pPr>
              <w:suppressAutoHyphens/>
              <w:spacing w:after="0" w:line="240" w:lineRule="atLeast"/>
              <w:jc w:val="right"/>
              <w:rPr>
                <w:rFonts w:ascii="Times New Roman" w:eastAsia="Times New Roman" w:hAnsi="Times New Roman" w:cs="Times New Roman"/>
                <w:sz w:val="20"/>
                <w:szCs w:val="20"/>
                <w:lang w:val="en-GB" w:eastAsia="en-US"/>
              </w:rPr>
            </w:pPr>
            <w:r w:rsidRPr="00F0544E">
              <w:rPr>
                <w:rFonts w:ascii="Times New Roman" w:eastAsia="Times New Roman" w:hAnsi="Times New Roman" w:cs="Times New Roman"/>
                <w:sz w:val="40"/>
                <w:szCs w:val="20"/>
                <w:lang w:val="en-GB" w:eastAsia="en-US"/>
              </w:rPr>
              <w:t>ECE</w:t>
            </w:r>
            <w:r w:rsidRPr="00F0544E">
              <w:rPr>
                <w:rFonts w:ascii="Times New Roman" w:eastAsia="Times New Roman" w:hAnsi="Times New Roman" w:cs="Times New Roman"/>
                <w:sz w:val="20"/>
                <w:szCs w:val="20"/>
                <w:lang w:val="en-GB" w:eastAsia="en-US"/>
              </w:rPr>
              <w:t>/TRANS/WP.11</w:t>
            </w:r>
            <w:r>
              <w:rPr>
                <w:rFonts w:ascii="Times New Roman" w:eastAsia="Times New Roman" w:hAnsi="Times New Roman" w:cs="Times New Roman"/>
                <w:sz w:val="20"/>
                <w:szCs w:val="20"/>
                <w:lang w:val="en-GB" w:eastAsia="en-US"/>
              </w:rPr>
              <w:t>/2016</w:t>
            </w:r>
            <w:r w:rsidRPr="00F0544E">
              <w:rPr>
                <w:rFonts w:ascii="Times New Roman" w:eastAsia="Times New Roman" w:hAnsi="Times New Roman" w:cs="Times New Roman"/>
                <w:sz w:val="20"/>
                <w:szCs w:val="20"/>
                <w:lang w:val="en-GB" w:eastAsia="en-US"/>
              </w:rPr>
              <w:t>/</w:t>
            </w:r>
            <w:r w:rsidR="00CE5092">
              <w:rPr>
                <w:rFonts w:ascii="Times New Roman" w:eastAsia="Times New Roman" w:hAnsi="Times New Roman" w:cs="Times New Roman"/>
                <w:sz w:val="20"/>
                <w:szCs w:val="20"/>
                <w:lang w:val="en-GB" w:eastAsia="en-US"/>
              </w:rPr>
              <w:t>21</w:t>
            </w:r>
          </w:p>
        </w:tc>
      </w:tr>
      <w:tr w:rsidR="00F0544E" w:rsidRPr="000715A7" w:rsidTr="004E2DAE">
        <w:trPr>
          <w:cantSplit/>
          <w:trHeight w:hRule="exact" w:val="2835"/>
        </w:trPr>
        <w:tc>
          <w:tcPr>
            <w:tcW w:w="1276" w:type="dxa"/>
            <w:tcBorders>
              <w:top w:val="single" w:sz="4" w:space="0" w:color="auto"/>
              <w:bottom w:val="single" w:sz="12" w:space="0" w:color="auto"/>
            </w:tcBorders>
            <w:shd w:val="clear" w:color="auto" w:fill="auto"/>
          </w:tcPr>
          <w:p w:rsidR="00F0544E" w:rsidRPr="00F0544E" w:rsidRDefault="00F0544E" w:rsidP="00F0544E">
            <w:pPr>
              <w:suppressAutoHyphens/>
              <w:spacing w:before="120" w:after="0" w:line="240" w:lineRule="atLeast"/>
              <w:rPr>
                <w:rFonts w:ascii="Times New Roman" w:eastAsia="Times New Roman" w:hAnsi="Times New Roman" w:cs="Times New Roman"/>
                <w:sz w:val="20"/>
                <w:szCs w:val="20"/>
                <w:lang w:val="en-GB" w:eastAsia="en-US"/>
              </w:rPr>
            </w:pPr>
            <w:r>
              <w:rPr>
                <w:rFonts w:ascii="Times New Roman" w:eastAsia="Times New Roman" w:hAnsi="Times New Roman" w:cs="Times New Roman"/>
                <w:noProof/>
                <w:sz w:val="20"/>
                <w:szCs w:val="20"/>
                <w:lang w:val="en-US" w:eastAsia="en-US"/>
              </w:rPr>
              <w:drawing>
                <wp:inline distT="0" distB="0" distL="0" distR="0">
                  <wp:extent cx="713740" cy="591820"/>
                  <wp:effectExtent l="0" t="0" r="0" b="0"/>
                  <wp:docPr id="3" name="Afbeelding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F0544E" w:rsidRPr="00F0544E" w:rsidRDefault="00F0544E" w:rsidP="00F0544E">
            <w:pPr>
              <w:suppressAutoHyphens/>
              <w:spacing w:before="120" w:after="0" w:line="420" w:lineRule="exact"/>
              <w:rPr>
                <w:rFonts w:ascii="Times New Roman" w:eastAsia="Times New Roman" w:hAnsi="Times New Roman" w:cs="Times New Roman"/>
                <w:sz w:val="40"/>
                <w:szCs w:val="40"/>
                <w:lang w:val="en-GB" w:eastAsia="en-US"/>
              </w:rPr>
            </w:pPr>
            <w:r w:rsidRPr="00F0544E">
              <w:rPr>
                <w:rFonts w:ascii="Times New Roman" w:eastAsia="Times New Roman" w:hAnsi="Times New Roman" w:cs="Times New Roman"/>
                <w:b/>
                <w:sz w:val="40"/>
                <w:szCs w:val="40"/>
                <w:lang w:val="en-GB" w:eastAsia="en-US"/>
              </w:rPr>
              <w:t>Economic and Social Council</w:t>
            </w:r>
          </w:p>
        </w:tc>
        <w:tc>
          <w:tcPr>
            <w:tcW w:w="2835" w:type="dxa"/>
            <w:tcBorders>
              <w:top w:val="single" w:sz="4" w:space="0" w:color="auto"/>
              <w:bottom w:val="single" w:sz="12" w:space="0" w:color="auto"/>
            </w:tcBorders>
            <w:shd w:val="clear" w:color="auto" w:fill="auto"/>
          </w:tcPr>
          <w:p w:rsidR="00F0544E" w:rsidRPr="00F0544E" w:rsidRDefault="00F0544E" w:rsidP="00F0544E">
            <w:pPr>
              <w:suppressAutoHyphens/>
              <w:spacing w:before="240" w:after="0" w:line="240" w:lineRule="exact"/>
              <w:rPr>
                <w:rFonts w:ascii="Times New Roman" w:eastAsia="Times New Roman" w:hAnsi="Times New Roman" w:cs="Times New Roman"/>
                <w:sz w:val="20"/>
                <w:szCs w:val="20"/>
                <w:lang w:val="en-GB" w:eastAsia="en-US"/>
              </w:rPr>
            </w:pPr>
            <w:r w:rsidRPr="00F0544E">
              <w:rPr>
                <w:rFonts w:ascii="Times New Roman" w:eastAsia="Times New Roman" w:hAnsi="Times New Roman" w:cs="Times New Roman"/>
                <w:sz w:val="20"/>
                <w:szCs w:val="20"/>
                <w:lang w:val="en-GB" w:eastAsia="en-US"/>
              </w:rPr>
              <w:t>Distr.: General</w:t>
            </w:r>
          </w:p>
          <w:p w:rsidR="00F0544E" w:rsidRPr="00F0544E" w:rsidRDefault="0001711C" w:rsidP="00F0544E">
            <w:pPr>
              <w:suppressAutoHyphens/>
              <w:spacing w:after="0" w:line="24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20</w:t>
            </w:r>
            <w:r w:rsidR="00CE5092">
              <w:rPr>
                <w:rFonts w:ascii="Times New Roman" w:eastAsia="Times New Roman" w:hAnsi="Times New Roman" w:cs="Times New Roman"/>
                <w:sz w:val="20"/>
                <w:szCs w:val="20"/>
                <w:lang w:val="en-GB" w:eastAsia="en-US"/>
              </w:rPr>
              <w:t xml:space="preserve"> July</w:t>
            </w:r>
            <w:r w:rsidR="00F0544E" w:rsidRPr="00F0544E">
              <w:rPr>
                <w:rFonts w:ascii="Times New Roman" w:eastAsia="Times New Roman" w:hAnsi="Times New Roman" w:cs="Times New Roman"/>
                <w:sz w:val="20"/>
                <w:szCs w:val="20"/>
                <w:lang w:val="en-GB" w:eastAsia="en-US"/>
              </w:rPr>
              <w:t xml:space="preserve"> 201</w:t>
            </w:r>
            <w:r w:rsidR="00F0544E">
              <w:rPr>
                <w:rFonts w:ascii="Times New Roman" w:eastAsia="Times New Roman" w:hAnsi="Times New Roman" w:cs="Times New Roman"/>
                <w:sz w:val="20"/>
                <w:szCs w:val="20"/>
                <w:lang w:val="en-GB" w:eastAsia="en-US"/>
              </w:rPr>
              <w:t>6</w:t>
            </w:r>
          </w:p>
          <w:p w:rsidR="00F0544E" w:rsidRPr="00F0544E" w:rsidRDefault="00F0544E" w:rsidP="00F0544E">
            <w:pPr>
              <w:suppressAutoHyphens/>
              <w:spacing w:after="0" w:line="240" w:lineRule="exact"/>
              <w:rPr>
                <w:rFonts w:ascii="Times New Roman" w:eastAsia="Times New Roman" w:hAnsi="Times New Roman" w:cs="Times New Roman"/>
                <w:sz w:val="20"/>
                <w:szCs w:val="20"/>
                <w:lang w:val="en-GB" w:eastAsia="en-US"/>
              </w:rPr>
            </w:pPr>
          </w:p>
          <w:p w:rsidR="00F0544E" w:rsidRPr="00F0544E" w:rsidRDefault="00F0544E" w:rsidP="00F0544E">
            <w:pPr>
              <w:suppressAutoHyphens/>
              <w:spacing w:after="0" w:line="240" w:lineRule="exact"/>
              <w:rPr>
                <w:rFonts w:ascii="Times New Roman" w:eastAsia="Times New Roman" w:hAnsi="Times New Roman" w:cs="Times New Roman"/>
                <w:sz w:val="20"/>
                <w:szCs w:val="20"/>
                <w:lang w:val="en-GB" w:eastAsia="en-US"/>
              </w:rPr>
            </w:pPr>
            <w:r w:rsidRPr="00F0544E">
              <w:rPr>
                <w:rFonts w:ascii="Times New Roman" w:eastAsia="Times New Roman" w:hAnsi="Times New Roman" w:cs="Times New Roman"/>
                <w:sz w:val="20"/>
                <w:szCs w:val="20"/>
                <w:lang w:val="en-GB" w:eastAsia="en-US"/>
              </w:rPr>
              <w:t>Original: English</w:t>
            </w:r>
          </w:p>
        </w:tc>
      </w:tr>
    </w:tbl>
    <w:p w:rsidR="00F0544E" w:rsidRPr="00F0544E" w:rsidRDefault="00F0544E" w:rsidP="00F0544E">
      <w:pPr>
        <w:suppressAutoHyphens/>
        <w:spacing w:before="120" w:after="0" w:line="240" w:lineRule="atLeast"/>
        <w:rPr>
          <w:rFonts w:ascii="Times New Roman" w:eastAsia="Times New Roman" w:hAnsi="Times New Roman" w:cs="Times New Roman"/>
          <w:b/>
          <w:sz w:val="28"/>
          <w:szCs w:val="28"/>
          <w:lang w:val="en-GB" w:eastAsia="en-US"/>
        </w:rPr>
      </w:pPr>
      <w:r w:rsidRPr="00F0544E">
        <w:rPr>
          <w:rFonts w:ascii="Times New Roman" w:eastAsia="Times New Roman" w:hAnsi="Times New Roman" w:cs="Times New Roman"/>
          <w:b/>
          <w:sz w:val="28"/>
          <w:szCs w:val="28"/>
          <w:lang w:val="en-GB" w:eastAsia="en-US"/>
        </w:rPr>
        <w:t xml:space="preserve">Economic Commission for </w:t>
      </w:r>
      <w:smartTag w:uri="urn:schemas-microsoft-com:office:smarttags" w:element="City">
        <w:r w:rsidRPr="00F0544E">
          <w:rPr>
            <w:rFonts w:ascii="Times New Roman" w:eastAsia="Times New Roman" w:hAnsi="Times New Roman" w:cs="Times New Roman"/>
            <w:b/>
            <w:sz w:val="28"/>
            <w:szCs w:val="28"/>
            <w:lang w:val="en-GB" w:eastAsia="en-US"/>
          </w:rPr>
          <w:t>Europe</w:t>
        </w:r>
      </w:smartTag>
    </w:p>
    <w:p w:rsidR="00F0544E" w:rsidRPr="00F0544E" w:rsidRDefault="00F0544E" w:rsidP="00F0544E">
      <w:pPr>
        <w:suppressAutoHyphens/>
        <w:spacing w:before="120" w:after="0" w:line="240" w:lineRule="atLeast"/>
        <w:rPr>
          <w:rFonts w:ascii="Times New Roman" w:eastAsia="Times New Roman" w:hAnsi="Times New Roman" w:cs="Times New Roman"/>
          <w:sz w:val="28"/>
          <w:szCs w:val="28"/>
          <w:lang w:val="en-GB" w:eastAsia="en-US"/>
        </w:rPr>
      </w:pPr>
      <w:r w:rsidRPr="00F0544E">
        <w:rPr>
          <w:rFonts w:ascii="Times New Roman" w:eastAsia="Times New Roman" w:hAnsi="Times New Roman" w:cs="Times New Roman"/>
          <w:sz w:val="28"/>
          <w:szCs w:val="28"/>
          <w:lang w:val="en-GB" w:eastAsia="en-US"/>
        </w:rPr>
        <w:t>Inland Transport Committee</w:t>
      </w:r>
    </w:p>
    <w:p w:rsidR="00F0544E" w:rsidRPr="00F0544E" w:rsidRDefault="00F0544E" w:rsidP="00F0544E">
      <w:pPr>
        <w:suppressAutoHyphens/>
        <w:spacing w:before="120" w:after="0" w:line="240" w:lineRule="atLeast"/>
        <w:rPr>
          <w:rFonts w:ascii="Times New Roman" w:eastAsia="Times New Roman" w:hAnsi="Times New Roman" w:cs="Times New Roman"/>
          <w:b/>
          <w:sz w:val="24"/>
          <w:szCs w:val="24"/>
          <w:lang w:val="en-GB" w:eastAsia="en-US"/>
        </w:rPr>
      </w:pPr>
      <w:r w:rsidRPr="00F0544E">
        <w:rPr>
          <w:rFonts w:ascii="Times New Roman" w:eastAsia="Times New Roman" w:hAnsi="Times New Roman" w:cs="Times New Roman"/>
          <w:b/>
          <w:sz w:val="24"/>
          <w:szCs w:val="24"/>
          <w:lang w:val="en-GB" w:eastAsia="en-US"/>
        </w:rPr>
        <w:t>Working Party on the Transport of Perishable Foodstuffs</w:t>
      </w:r>
    </w:p>
    <w:p w:rsidR="00F0544E" w:rsidRPr="00F0544E" w:rsidRDefault="00F0544E" w:rsidP="00F0544E">
      <w:pPr>
        <w:suppressAutoHyphens/>
        <w:spacing w:before="120" w:after="0" w:line="240" w:lineRule="atLeast"/>
        <w:rPr>
          <w:rFonts w:ascii="Times New Roman" w:eastAsia="Times New Roman" w:hAnsi="Times New Roman" w:cs="Times New Roman"/>
          <w:b/>
          <w:sz w:val="20"/>
          <w:szCs w:val="20"/>
          <w:lang w:val="en-GB" w:eastAsia="en-US"/>
        </w:rPr>
      </w:pPr>
      <w:r w:rsidRPr="00F0544E">
        <w:rPr>
          <w:rFonts w:ascii="Times New Roman" w:eastAsia="Times New Roman" w:hAnsi="Times New Roman" w:cs="Times New Roman"/>
          <w:b/>
          <w:sz w:val="20"/>
          <w:szCs w:val="20"/>
          <w:lang w:val="en-GB" w:eastAsia="en-US"/>
        </w:rPr>
        <w:t>Seventy-</w:t>
      </w:r>
      <w:r w:rsidR="009A70F3">
        <w:rPr>
          <w:rFonts w:ascii="Times New Roman" w:eastAsia="Times New Roman" w:hAnsi="Times New Roman" w:cs="Times New Roman"/>
          <w:b/>
          <w:sz w:val="20"/>
          <w:szCs w:val="20"/>
          <w:lang w:val="en-GB" w:eastAsia="en-US"/>
        </w:rPr>
        <w:t>second</w:t>
      </w:r>
      <w:r w:rsidRPr="00F0544E">
        <w:rPr>
          <w:rFonts w:ascii="Times New Roman" w:eastAsia="Times New Roman" w:hAnsi="Times New Roman" w:cs="Times New Roman"/>
          <w:b/>
          <w:sz w:val="20"/>
          <w:szCs w:val="20"/>
          <w:lang w:val="en-GB" w:eastAsia="en-US"/>
        </w:rPr>
        <w:t xml:space="preserve"> session</w:t>
      </w:r>
    </w:p>
    <w:p w:rsidR="00F0544E" w:rsidRPr="00F0544E" w:rsidRDefault="00F0544E" w:rsidP="00F0544E">
      <w:pPr>
        <w:suppressAutoHyphens/>
        <w:spacing w:after="0" w:line="240" w:lineRule="atLeast"/>
        <w:rPr>
          <w:rFonts w:ascii="Times New Roman" w:eastAsia="Times New Roman" w:hAnsi="Times New Roman" w:cs="Times New Roman"/>
          <w:sz w:val="20"/>
          <w:szCs w:val="20"/>
          <w:lang w:val="en-GB" w:eastAsia="en-US"/>
        </w:rPr>
      </w:pPr>
      <w:r w:rsidRPr="00F0544E">
        <w:rPr>
          <w:rFonts w:ascii="Times New Roman" w:eastAsia="Times New Roman" w:hAnsi="Times New Roman" w:cs="Times New Roman"/>
          <w:sz w:val="20"/>
          <w:szCs w:val="20"/>
          <w:lang w:val="en-GB" w:eastAsia="en-US"/>
        </w:rPr>
        <w:t xml:space="preserve">Geneva, </w:t>
      </w:r>
      <w:r>
        <w:rPr>
          <w:rFonts w:ascii="Times New Roman" w:eastAsia="Times New Roman" w:hAnsi="Times New Roman" w:cs="Times New Roman"/>
          <w:sz w:val="20"/>
          <w:szCs w:val="20"/>
          <w:lang w:val="en-GB" w:eastAsia="en-US"/>
        </w:rPr>
        <w:t>4</w:t>
      </w:r>
      <w:r w:rsidRPr="00F0544E">
        <w:rPr>
          <w:rFonts w:ascii="Times New Roman" w:eastAsia="Times New Roman" w:hAnsi="Times New Roman" w:cs="Times New Roman"/>
          <w:sz w:val="20"/>
          <w:szCs w:val="20"/>
          <w:lang w:val="en-GB" w:eastAsia="en-US"/>
        </w:rPr>
        <w:t>-</w:t>
      </w:r>
      <w:r>
        <w:rPr>
          <w:rFonts w:ascii="Times New Roman" w:eastAsia="Times New Roman" w:hAnsi="Times New Roman" w:cs="Times New Roman"/>
          <w:sz w:val="20"/>
          <w:szCs w:val="20"/>
          <w:lang w:val="en-GB" w:eastAsia="en-US"/>
        </w:rPr>
        <w:t>7</w:t>
      </w:r>
      <w:r w:rsidRPr="00F0544E">
        <w:rPr>
          <w:rFonts w:ascii="Times New Roman" w:eastAsia="Times New Roman" w:hAnsi="Times New Roman" w:cs="Times New Roman"/>
          <w:sz w:val="20"/>
          <w:szCs w:val="20"/>
          <w:lang w:val="en-GB" w:eastAsia="en-US"/>
        </w:rPr>
        <w:t xml:space="preserve"> October 201</w:t>
      </w:r>
      <w:r>
        <w:rPr>
          <w:rFonts w:ascii="Times New Roman" w:eastAsia="Times New Roman" w:hAnsi="Times New Roman" w:cs="Times New Roman"/>
          <w:sz w:val="20"/>
          <w:szCs w:val="20"/>
          <w:lang w:val="en-GB" w:eastAsia="en-US"/>
        </w:rPr>
        <w:t>6</w:t>
      </w:r>
    </w:p>
    <w:p w:rsidR="00F0544E" w:rsidRPr="00F0544E" w:rsidRDefault="00F0544E" w:rsidP="00F0544E">
      <w:pPr>
        <w:suppressAutoHyphens/>
        <w:spacing w:after="0" w:line="240" w:lineRule="atLeast"/>
        <w:rPr>
          <w:rFonts w:ascii="Times New Roman" w:eastAsia="Times New Roman" w:hAnsi="Times New Roman" w:cs="Times New Roman"/>
          <w:sz w:val="20"/>
          <w:szCs w:val="20"/>
          <w:lang w:val="en-GB" w:eastAsia="en-US"/>
        </w:rPr>
      </w:pPr>
      <w:r w:rsidRPr="00F0544E">
        <w:rPr>
          <w:rFonts w:ascii="Times New Roman" w:eastAsia="Times New Roman" w:hAnsi="Times New Roman" w:cs="Times New Roman"/>
          <w:sz w:val="20"/>
          <w:szCs w:val="20"/>
          <w:lang w:val="en-GB" w:eastAsia="en-US"/>
        </w:rPr>
        <w:t xml:space="preserve">Item </w:t>
      </w:r>
      <w:r w:rsidR="00004CB1">
        <w:rPr>
          <w:rFonts w:ascii="Times New Roman" w:eastAsia="Times New Roman" w:hAnsi="Times New Roman" w:cs="Times New Roman"/>
          <w:sz w:val="20"/>
          <w:szCs w:val="20"/>
          <w:lang w:val="en-GB" w:eastAsia="en-US"/>
        </w:rPr>
        <w:t>5 (a)</w:t>
      </w:r>
      <w:r w:rsidR="009A70F3">
        <w:rPr>
          <w:rFonts w:ascii="Times New Roman" w:eastAsia="Times New Roman" w:hAnsi="Times New Roman" w:cs="Times New Roman"/>
          <w:sz w:val="20"/>
          <w:szCs w:val="20"/>
          <w:lang w:val="en-GB" w:eastAsia="en-US"/>
        </w:rPr>
        <w:t xml:space="preserve"> </w:t>
      </w:r>
      <w:r w:rsidRPr="00F0544E">
        <w:rPr>
          <w:rFonts w:ascii="Times New Roman" w:eastAsia="Times New Roman" w:hAnsi="Times New Roman" w:cs="Times New Roman"/>
          <w:sz w:val="20"/>
          <w:szCs w:val="20"/>
          <w:lang w:val="en-GB" w:eastAsia="en-US"/>
        </w:rPr>
        <w:t>of the provisional agenda</w:t>
      </w:r>
    </w:p>
    <w:p w:rsidR="001B0299" w:rsidRDefault="00F0544E" w:rsidP="00F0544E">
      <w:pPr>
        <w:suppressAutoHyphens/>
        <w:spacing w:after="0" w:line="240" w:lineRule="atLeast"/>
        <w:rPr>
          <w:rFonts w:ascii="Times New Roman" w:eastAsia="Times New Roman" w:hAnsi="Times New Roman" w:cs="Times New Roman"/>
          <w:b/>
          <w:sz w:val="20"/>
          <w:szCs w:val="20"/>
          <w:lang w:val="en-GB" w:eastAsia="en-US"/>
        </w:rPr>
      </w:pPr>
      <w:r w:rsidRPr="00F0544E">
        <w:rPr>
          <w:rFonts w:ascii="Times New Roman" w:eastAsia="Times New Roman" w:hAnsi="Times New Roman" w:cs="Times New Roman"/>
          <w:b/>
          <w:sz w:val="20"/>
          <w:szCs w:val="20"/>
          <w:lang w:val="en-GB" w:eastAsia="en-US"/>
        </w:rPr>
        <w:t xml:space="preserve">Proposals of amendments to the ATP: </w:t>
      </w:r>
    </w:p>
    <w:p w:rsidR="00F0544E" w:rsidRDefault="00F0544E" w:rsidP="00F0544E">
      <w:pPr>
        <w:suppressAutoHyphens/>
        <w:spacing w:after="0" w:line="240" w:lineRule="atLeast"/>
        <w:rPr>
          <w:rFonts w:ascii="Times New Roman" w:eastAsia="Times New Roman" w:hAnsi="Times New Roman" w:cs="Times New Roman"/>
          <w:b/>
          <w:sz w:val="20"/>
          <w:szCs w:val="20"/>
          <w:lang w:val="en-GB" w:eastAsia="en-US"/>
        </w:rPr>
      </w:pPr>
      <w:r w:rsidRPr="00F0544E">
        <w:rPr>
          <w:rFonts w:ascii="Times New Roman" w:eastAsia="Times New Roman" w:hAnsi="Times New Roman" w:cs="Times New Roman"/>
          <w:b/>
          <w:sz w:val="20"/>
          <w:szCs w:val="20"/>
          <w:lang w:val="en-GB" w:eastAsia="en-US"/>
        </w:rPr>
        <w:t>pending proposals</w:t>
      </w:r>
    </w:p>
    <w:p w:rsidR="009A70F3" w:rsidRPr="009A70F3" w:rsidRDefault="00CE5092" w:rsidP="0001711C">
      <w:pPr>
        <w:pStyle w:val="HChG"/>
        <w:ind w:right="0"/>
        <w:rPr>
          <w:b w:val="0"/>
          <w:lang w:val="en-US"/>
        </w:rPr>
      </w:pPr>
      <w:r>
        <w:rPr>
          <w:lang w:eastAsia="ar-SA"/>
        </w:rPr>
        <w:tab/>
      </w:r>
      <w:r>
        <w:rPr>
          <w:lang w:eastAsia="ar-SA"/>
        </w:rPr>
        <w:tab/>
      </w:r>
      <w:r w:rsidR="004451FC">
        <w:rPr>
          <w:lang w:eastAsia="ar-SA"/>
        </w:rPr>
        <w:t xml:space="preserve">Pending issues </w:t>
      </w:r>
      <w:r w:rsidR="0001711C">
        <w:rPr>
          <w:lang w:eastAsia="ar-SA"/>
        </w:rPr>
        <w:t>"</w:t>
      </w:r>
      <w:r w:rsidR="009A70F3" w:rsidRPr="009A70F3">
        <w:rPr>
          <w:lang w:val="en-US"/>
        </w:rPr>
        <w:t xml:space="preserve">Multi </w:t>
      </w:r>
      <w:r w:rsidR="009A70F3" w:rsidRPr="00CE5092">
        <w:t>temperature</w:t>
      </w:r>
      <w:r w:rsidR="009A70F3" w:rsidRPr="009A70F3">
        <w:rPr>
          <w:lang w:val="en-US"/>
        </w:rPr>
        <w:t xml:space="preserve"> multi compartment equipment</w:t>
      </w:r>
      <w:r w:rsidR="0001711C">
        <w:rPr>
          <w:lang w:val="en-US"/>
        </w:rPr>
        <w:t>"</w:t>
      </w:r>
      <w:r w:rsidR="009A70F3" w:rsidRPr="009A70F3">
        <w:rPr>
          <w:lang w:val="en-US"/>
        </w:rPr>
        <w:t xml:space="preserve"> (MTMC)</w:t>
      </w:r>
    </w:p>
    <w:p w:rsidR="00F0544E" w:rsidRPr="00F0544E" w:rsidRDefault="00F0544E" w:rsidP="00CE5092">
      <w:pPr>
        <w:pStyle w:val="H1G"/>
        <w:rPr>
          <w:b w:val="0"/>
        </w:rPr>
      </w:pPr>
      <w:r w:rsidRPr="00F0544E">
        <w:tab/>
      </w:r>
      <w:r w:rsidRPr="00F0544E">
        <w:tab/>
        <w:t xml:space="preserve">Transmitted by the </w:t>
      </w:r>
      <w:r w:rsidR="000715A7">
        <w:t xml:space="preserve">Government of the </w:t>
      </w:r>
      <w:r w:rsidR="009A70F3">
        <w:t>Netherlands</w:t>
      </w:r>
    </w:p>
    <w:p w:rsidR="001C79D8" w:rsidRPr="009A70F3" w:rsidRDefault="00CE5092" w:rsidP="0001711C">
      <w:pPr>
        <w:pStyle w:val="SingleTxtG"/>
        <w:tabs>
          <w:tab w:val="left" w:pos="1701"/>
        </w:tabs>
        <w:suppressAutoHyphens/>
        <w:ind w:right="0"/>
        <w:rPr>
          <w:lang w:val="en-US"/>
        </w:rPr>
      </w:pPr>
      <w:r>
        <w:rPr>
          <w:lang w:val="en-US"/>
        </w:rPr>
        <w:t>1.</w:t>
      </w:r>
      <w:r>
        <w:rPr>
          <w:lang w:val="en-US"/>
        </w:rPr>
        <w:tab/>
      </w:r>
      <w:r w:rsidR="001C79D8" w:rsidRPr="009A70F3">
        <w:rPr>
          <w:lang w:val="en-US"/>
        </w:rPr>
        <w:t xml:space="preserve">MTMC is a very specific kind of refrigerated equipment. </w:t>
      </w:r>
      <w:r w:rsidR="005B5781" w:rsidRPr="009A70F3">
        <w:rPr>
          <w:lang w:val="en-US"/>
        </w:rPr>
        <w:t xml:space="preserve">Very specific because it involves only heavily insulated bodies </w:t>
      </w:r>
      <w:r w:rsidR="00320980" w:rsidRPr="009A70F3">
        <w:rPr>
          <w:lang w:val="en-US"/>
        </w:rPr>
        <w:t xml:space="preserve">that can internally be partitioned by fixed, movable </w:t>
      </w:r>
      <w:r w:rsidR="00E979A6" w:rsidRPr="009A70F3">
        <w:rPr>
          <w:lang w:val="en-US"/>
        </w:rPr>
        <w:t xml:space="preserve">and </w:t>
      </w:r>
      <w:r w:rsidR="00320980" w:rsidRPr="009A70F3">
        <w:rPr>
          <w:lang w:val="en-US"/>
        </w:rPr>
        <w:t xml:space="preserve">removable partitions. Other constructions such a road vehicles consisting of two sections </w:t>
      </w:r>
      <w:r w:rsidR="00320980" w:rsidRPr="00CE5092">
        <w:rPr>
          <w:rFonts w:eastAsia="Times New Roman"/>
          <w:lang w:val="en-GB"/>
        </w:rPr>
        <w:t>tested</w:t>
      </w:r>
      <w:r w:rsidR="00320980" w:rsidRPr="009A70F3">
        <w:rPr>
          <w:lang w:val="en-US"/>
        </w:rPr>
        <w:t xml:space="preserve"> and approved separately</w:t>
      </w:r>
      <w:r w:rsidR="00182F19" w:rsidRPr="009A70F3">
        <w:rPr>
          <w:lang w:val="en-US"/>
        </w:rPr>
        <w:t xml:space="preserve">, for </w:t>
      </w:r>
      <w:r w:rsidR="00182F19" w:rsidRPr="00CE5092">
        <w:rPr>
          <w:rFonts w:eastAsia="Times New Roman"/>
          <w:lang w:val="en-GB"/>
        </w:rPr>
        <w:t>instance</w:t>
      </w:r>
      <w:r w:rsidR="00182F19" w:rsidRPr="009A70F3">
        <w:rPr>
          <w:lang w:val="en-US"/>
        </w:rPr>
        <w:t xml:space="preserve"> one part normally insulated and the other heavily insulated, </w:t>
      </w:r>
      <w:r w:rsidR="00320980" w:rsidRPr="009A70F3">
        <w:rPr>
          <w:lang w:val="en-US"/>
        </w:rPr>
        <w:t xml:space="preserve">are not considered to be </w:t>
      </w:r>
      <w:r w:rsidR="00320980" w:rsidRPr="00CE5092">
        <w:rPr>
          <w:rFonts w:eastAsia="Times New Roman"/>
          <w:lang w:val="en-GB"/>
        </w:rPr>
        <w:t>MTMC’s</w:t>
      </w:r>
      <w:r w:rsidR="0012435D" w:rsidRPr="009A70F3">
        <w:rPr>
          <w:lang w:val="en-US"/>
        </w:rPr>
        <w:t xml:space="preserve"> nor are heavily insulated bodies with compartments at the same temperature (i.e. frozen food/ice cream distribution trucks)</w:t>
      </w:r>
      <w:r w:rsidR="00320980" w:rsidRPr="009A70F3">
        <w:rPr>
          <w:lang w:val="en-US"/>
        </w:rPr>
        <w:t xml:space="preserve">. For the moment the regulation only deals with </w:t>
      </w:r>
      <w:r w:rsidR="001C79D8" w:rsidRPr="009A70F3">
        <w:rPr>
          <w:i/>
          <w:lang w:val="en-US"/>
        </w:rPr>
        <w:t>mec</w:t>
      </w:r>
      <w:r w:rsidR="005B5781" w:rsidRPr="009A70F3">
        <w:rPr>
          <w:i/>
          <w:lang w:val="en-US"/>
        </w:rPr>
        <w:t>hanically</w:t>
      </w:r>
      <w:r w:rsidR="005B5781" w:rsidRPr="009A70F3">
        <w:rPr>
          <w:lang w:val="en-US"/>
        </w:rPr>
        <w:t xml:space="preserve"> refrigerated </w:t>
      </w:r>
      <w:r w:rsidR="00320980" w:rsidRPr="009A70F3">
        <w:rPr>
          <w:lang w:val="en-US"/>
        </w:rPr>
        <w:t xml:space="preserve">equipment </w:t>
      </w:r>
      <w:r w:rsidR="005B5781" w:rsidRPr="009A70F3">
        <w:rPr>
          <w:lang w:val="en-US"/>
        </w:rPr>
        <w:t xml:space="preserve">but in principle all </w:t>
      </w:r>
      <w:r w:rsidR="00320980" w:rsidRPr="009A70F3">
        <w:rPr>
          <w:lang w:val="en-US"/>
        </w:rPr>
        <w:t>types of heating and cooling can be used.</w:t>
      </w:r>
    </w:p>
    <w:p w:rsidR="00320980" w:rsidRPr="009A70F3" w:rsidRDefault="00CE5092" w:rsidP="0001711C">
      <w:pPr>
        <w:pStyle w:val="SingleTxtG"/>
        <w:tabs>
          <w:tab w:val="left" w:pos="1701"/>
        </w:tabs>
        <w:suppressAutoHyphens/>
        <w:ind w:right="0"/>
        <w:rPr>
          <w:lang w:val="en-US"/>
        </w:rPr>
      </w:pPr>
      <w:r>
        <w:rPr>
          <w:lang w:val="en-US"/>
        </w:rPr>
        <w:t>2.</w:t>
      </w:r>
      <w:r>
        <w:rPr>
          <w:lang w:val="en-US"/>
        </w:rPr>
        <w:tab/>
      </w:r>
      <w:r w:rsidR="00320980" w:rsidRPr="009A70F3">
        <w:rPr>
          <w:lang w:val="en-US"/>
        </w:rPr>
        <w:t xml:space="preserve">The use of MTMC’s is more </w:t>
      </w:r>
      <w:r w:rsidR="00CA33CE" w:rsidRPr="009A70F3">
        <w:rPr>
          <w:lang w:val="en-US"/>
        </w:rPr>
        <w:t xml:space="preserve">related to </w:t>
      </w:r>
      <w:r w:rsidR="00320980" w:rsidRPr="009A70F3">
        <w:rPr>
          <w:lang w:val="en-US"/>
        </w:rPr>
        <w:t xml:space="preserve">distribution transport than long distance </w:t>
      </w:r>
      <w:r w:rsidR="00CA33CE" w:rsidRPr="009A70F3">
        <w:rPr>
          <w:lang w:val="en-US"/>
        </w:rPr>
        <w:t xml:space="preserve">international </w:t>
      </w:r>
      <w:r w:rsidR="00320980" w:rsidRPr="009A70F3">
        <w:rPr>
          <w:lang w:val="en-US"/>
        </w:rPr>
        <w:t xml:space="preserve">transport. However concerning the opening of the </w:t>
      </w:r>
      <w:r w:rsidR="00320980" w:rsidRPr="00CE5092">
        <w:rPr>
          <w:rFonts w:eastAsia="Times New Roman"/>
          <w:lang w:val="en-GB"/>
        </w:rPr>
        <w:t>markets</w:t>
      </w:r>
      <w:r w:rsidR="00320980" w:rsidRPr="009A70F3">
        <w:rPr>
          <w:lang w:val="en-US"/>
        </w:rPr>
        <w:t xml:space="preserve"> </w:t>
      </w:r>
      <w:r w:rsidR="00FE4AFE" w:rsidRPr="009A70F3">
        <w:rPr>
          <w:lang w:val="en-US"/>
        </w:rPr>
        <w:t xml:space="preserve">in Europe </w:t>
      </w:r>
      <w:r w:rsidR="00977D71" w:rsidRPr="009A70F3">
        <w:rPr>
          <w:lang w:val="en-US"/>
        </w:rPr>
        <w:t>and chains of super markets opening in neighboring countries make crossing border</w:t>
      </w:r>
      <w:r w:rsidR="00B9136E" w:rsidRPr="009A70F3">
        <w:rPr>
          <w:lang w:val="en-US"/>
        </w:rPr>
        <w:t xml:space="preserve"> use of </w:t>
      </w:r>
      <w:r w:rsidR="00977D71" w:rsidRPr="009A70F3">
        <w:rPr>
          <w:lang w:val="en-US"/>
        </w:rPr>
        <w:t xml:space="preserve">such equipment </w:t>
      </w:r>
      <w:r w:rsidR="000715A7">
        <w:rPr>
          <w:lang w:val="en-US"/>
        </w:rPr>
        <w:t xml:space="preserve">is </w:t>
      </w:r>
      <w:r w:rsidR="00977D71" w:rsidRPr="009A70F3">
        <w:rPr>
          <w:lang w:val="en-US"/>
        </w:rPr>
        <w:t xml:space="preserve">more likely than </w:t>
      </w:r>
      <w:r w:rsidR="008A7572" w:rsidRPr="009A70F3">
        <w:rPr>
          <w:lang w:val="en-US"/>
        </w:rPr>
        <w:t xml:space="preserve">ever </w:t>
      </w:r>
      <w:r w:rsidR="00977D71" w:rsidRPr="009A70F3">
        <w:rPr>
          <w:lang w:val="en-US"/>
        </w:rPr>
        <w:t xml:space="preserve">before, </w:t>
      </w:r>
      <w:r w:rsidR="008A7572" w:rsidRPr="009A70F3">
        <w:rPr>
          <w:lang w:val="en-US"/>
        </w:rPr>
        <w:t xml:space="preserve">justifying </w:t>
      </w:r>
      <w:r w:rsidR="00977D71" w:rsidRPr="009A70F3">
        <w:rPr>
          <w:lang w:val="en-US"/>
        </w:rPr>
        <w:t>introduction in the ATP.</w:t>
      </w:r>
    </w:p>
    <w:p w:rsidR="00E81FB4" w:rsidRPr="009A70F3" w:rsidRDefault="00CE5092" w:rsidP="0001711C">
      <w:pPr>
        <w:pStyle w:val="SingleTxtG"/>
        <w:tabs>
          <w:tab w:val="left" w:pos="1701"/>
        </w:tabs>
        <w:suppressAutoHyphens/>
        <w:ind w:right="0"/>
        <w:rPr>
          <w:lang w:val="en-US"/>
        </w:rPr>
      </w:pPr>
      <w:r>
        <w:rPr>
          <w:lang w:val="en-US"/>
        </w:rPr>
        <w:t>3.</w:t>
      </w:r>
      <w:r>
        <w:rPr>
          <w:lang w:val="en-US"/>
        </w:rPr>
        <w:tab/>
      </w:r>
      <w:r w:rsidR="00093294" w:rsidRPr="009A70F3">
        <w:rPr>
          <w:lang w:val="en-US"/>
        </w:rPr>
        <w:t xml:space="preserve">In </w:t>
      </w:r>
      <w:r w:rsidR="00A268AC">
        <w:rPr>
          <w:lang w:val="en-US"/>
        </w:rPr>
        <w:t xml:space="preserve">2011 </w:t>
      </w:r>
      <w:r w:rsidR="00093294" w:rsidRPr="009A70F3">
        <w:rPr>
          <w:lang w:val="en-US"/>
        </w:rPr>
        <w:t xml:space="preserve">procedures </w:t>
      </w:r>
      <w:r w:rsidR="00A268AC">
        <w:rPr>
          <w:lang w:val="en-US"/>
        </w:rPr>
        <w:t xml:space="preserve">for </w:t>
      </w:r>
      <w:r w:rsidR="00093294" w:rsidRPr="009A70F3">
        <w:rPr>
          <w:lang w:val="en-US"/>
        </w:rPr>
        <w:t xml:space="preserve">the initial approval and certification of MTMC </w:t>
      </w:r>
      <w:r w:rsidR="00A268AC" w:rsidRPr="009A70F3">
        <w:rPr>
          <w:lang w:val="en-US"/>
        </w:rPr>
        <w:t>equipment</w:t>
      </w:r>
      <w:r w:rsidR="00A268AC">
        <w:rPr>
          <w:lang w:val="en-US"/>
        </w:rPr>
        <w:t xml:space="preserve"> were accepted by WP.11 for</w:t>
      </w:r>
      <w:r w:rsidR="00093294" w:rsidRPr="009A70F3">
        <w:rPr>
          <w:lang w:val="en-US"/>
        </w:rPr>
        <w:t xml:space="preserve"> coming into force </w:t>
      </w:r>
      <w:r w:rsidR="00A268AC">
        <w:rPr>
          <w:lang w:val="en-US"/>
        </w:rPr>
        <w:t xml:space="preserve">on 23 September </w:t>
      </w:r>
      <w:r w:rsidR="00A268AC" w:rsidRPr="00CE5092">
        <w:rPr>
          <w:rFonts w:eastAsia="Times New Roman"/>
          <w:lang w:val="en-GB"/>
        </w:rPr>
        <w:t>2013</w:t>
      </w:r>
      <w:r w:rsidR="00A268AC">
        <w:rPr>
          <w:lang w:val="en-US"/>
        </w:rPr>
        <w:t xml:space="preserve">. In 2011 </w:t>
      </w:r>
      <w:r w:rsidR="00093294" w:rsidRPr="009A70F3">
        <w:rPr>
          <w:lang w:val="en-US"/>
        </w:rPr>
        <w:t>it was recognized that some issues woul</w:t>
      </w:r>
      <w:r>
        <w:rPr>
          <w:lang w:val="en-US"/>
        </w:rPr>
        <w:t>d need to be further developed.</w:t>
      </w:r>
      <w:r w:rsidR="00093294" w:rsidRPr="009A70F3">
        <w:rPr>
          <w:lang w:val="en-US"/>
        </w:rPr>
        <w:t xml:space="preserve"> </w:t>
      </w:r>
      <w:r w:rsidR="001C16FC" w:rsidRPr="009A70F3">
        <w:rPr>
          <w:lang w:val="en-US"/>
        </w:rPr>
        <w:t xml:space="preserve">So far </w:t>
      </w:r>
      <w:r w:rsidR="00E81FB4" w:rsidRPr="009A70F3">
        <w:rPr>
          <w:lang w:val="en-US"/>
        </w:rPr>
        <w:t>fill</w:t>
      </w:r>
      <w:r w:rsidR="00F0548A" w:rsidRPr="009A70F3">
        <w:rPr>
          <w:lang w:val="en-US"/>
        </w:rPr>
        <w:t>ing</w:t>
      </w:r>
      <w:r w:rsidR="00E81FB4" w:rsidRPr="009A70F3">
        <w:rPr>
          <w:lang w:val="en-US"/>
        </w:rPr>
        <w:t xml:space="preserve"> in the missing parts w</w:t>
      </w:r>
      <w:r w:rsidR="00F0548A" w:rsidRPr="009A70F3">
        <w:rPr>
          <w:lang w:val="en-US"/>
        </w:rPr>
        <w:t>as</w:t>
      </w:r>
      <w:r w:rsidR="00E81FB4" w:rsidRPr="009A70F3">
        <w:rPr>
          <w:lang w:val="en-US"/>
        </w:rPr>
        <w:t xml:space="preserve"> not </w:t>
      </w:r>
      <w:r w:rsidR="000D5C38" w:rsidRPr="009A70F3">
        <w:rPr>
          <w:lang w:val="en-US"/>
        </w:rPr>
        <w:t>successful</w:t>
      </w:r>
      <w:r w:rsidR="00E81FB4" w:rsidRPr="009A70F3">
        <w:rPr>
          <w:lang w:val="en-US"/>
        </w:rPr>
        <w:t>.</w:t>
      </w:r>
      <w:r w:rsidR="000D5C38" w:rsidRPr="009A70F3">
        <w:rPr>
          <w:lang w:val="en-US"/>
        </w:rPr>
        <w:t xml:space="preserve"> The following reasons </w:t>
      </w:r>
      <w:r w:rsidR="00FE4AFE" w:rsidRPr="009A70F3">
        <w:rPr>
          <w:lang w:val="en-US"/>
        </w:rPr>
        <w:t xml:space="preserve">for this </w:t>
      </w:r>
      <w:r w:rsidR="000D5C38" w:rsidRPr="009A70F3">
        <w:rPr>
          <w:lang w:val="en-US"/>
        </w:rPr>
        <w:t>can be identified;</w:t>
      </w:r>
    </w:p>
    <w:p w:rsidR="00F0548A" w:rsidRPr="009A70F3" w:rsidRDefault="00CE5092" w:rsidP="0001711C">
      <w:pPr>
        <w:pStyle w:val="SingleTxtG"/>
        <w:tabs>
          <w:tab w:val="left" w:pos="2268"/>
        </w:tabs>
        <w:suppressAutoHyphens/>
        <w:ind w:left="2268" w:right="0" w:hanging="567"/>
        <w:rPr>
          <w:lang w:val="en-US"/>
        </w:rPr>
      </w:pPr>
      <w:r>
        <w:rPr>
          <w:lang w:val="en-US"/>
        </w:rPr>
        <w:t>(</w:t>
      </w:r>
      <w:r w:rsidR="00204DF8" w:rsidRPr="009A70F3">
        <w:rPr>
          <w:lang w:val="en-US"/>
        </w:rPr>
        <w:t>a)</w:t>
      </w:r>
      <w:r w:rsidR="000D5C38" w:rsidRPr="009A70F3">
        <w:rPr>
          <w:lang w:val="en-US"/>
        </w:rPr>
        <w:t xml:space="preserve"> </w:t>
      </w:r>
      <w:r>
        <w:rPr>
          <w:lang w:val="en-US"/>
        </w:rPr>
        <w:tab/>
      </w:r>
      <w:r w:rsidR="00404BF3" w:rsidRPr="009A70F3">
        <w:rPr>
          <w:lang w:val="en-US"/>
        </w:rPr>
        <w:t xml:space="preserve">details </w:t>
      </w:r>
      <w:r w:rsidR="00A25567" w:rsidRPr="009A70F3">
        <w:rPr>
          <w:lang w:val="en-US"/>
        </w:rPr>
        <w:t xml:space="preserve">on these topics </w:t>
      </w:r>
      <w:r w:rsidR="00B9136E" w:rsidRPr="009A70F3">
        <w:rPr>
          <w:lang w:val="en-US"/>
        </w:rPr>
        <w:t xml:space="preserve">are </w:t>
      </w:r>
      <w:r w:rsidR="00A25567" w:rsidRPr="009A70F3">
        <w:rPr>
          <w:lang w:val="en-US"/>
        </w:rPr>
        <w:t xml:space="preserve">already </w:t>
      </w:r>
      <w:r w:rsidR="00B9136E" w:rsidRPr="009A70F3">
        <w:rPr>
          <w:lang w:val="en-US"/>
        </w:rPr>
        <w:t xml:space="preserve">regulated in </w:t>
      </w:r>
      <w:r w:rsidR="009C5F3F" w:rsidRPr="009A70F3">
        <w:rPr>
          <w:i/>
          <w:lang w:val="en-US"/>
        </w:rPr>
        <w:t>national</w:t>
      </w:r>
      <w:r w:rsidR="009C5F3F" w:rsidRPr="009A70F3">
        <w:rPr>
          <w:lang w:val="en-US"/>
        </w:rPr>
        <w:t xml:space="preserve"> </w:t>
      </w:r>
      <w:r w:rsidR="00A25567" w:rsidRPr="009A70F3">
        <w:rPr>
          <w:lang w:val="en-US"/>
        </w:rPr>
        <w:t xml:space="preserve">rules </w:t>
      </w:r>
      <w:r w:rsidR="00E81FB4" w:rsidRPr="009A70F3">
        <w:rPr>
          <w:lang w:val="en-US"/>
        </w:rPr>
        <w:t xml:space="preserve">that can </w:t>
      </w:r>
      <w:r w:rsidR="007079EC" w:rsidRPr="009A70F3">
        <w:rPr>
          <w:lang w:val="en-US"/>
        </w:rPr>
        <w:t xml:space="preserve">only </w:t>
      </w:r>
      <w:r w:rsidR="00E81FB4" w:rsidRPr="009A70F3">
        <w:rPr>
          <w:lang w:val="en-US"/>
        </w:rPr>
        <w:t xml:space="preserve">be changed </w:t>
      </w:r>
      <w:r w:rsidR="009C5F3F" w:rsidRPr="009A70F3">
        <w:rPr>
          <w:lang w:val="en-US"/>
        </w:rPr>
        <w:t xml:space="preserve">with great difficulty, </w:t>
      </w:r>
    </w:p>
    <w:p w:rsidR="00217496" w:rsidRPr="004451FC" w:rsidRDefault="00217496" w:rsidP="0001711C">
      <w:pPr>
        <w:ind w:left="1701"/>
        <w:rPr>
          <w:rFonts w:ascii="Times New Roman" w:hAnsi="Times New Roman" w:cs="Times New Roman"/>
          <w:sz w:val="18"/>
          <w:szCs w:val="18"/>
          <w:lang w:val="en-US"/>
        </w:rPr>
      </w:pPr>
      <w:r w:rsidRPr="004451FC">
        <w:rPr>
          <w:rFonts w:ascii="Times New Roman" w:hAnsi="Times New Roman" w:cs="Times New Roman"/>
          <w:i/>
          <w:sz w:val="18"/>
          <w:szCs w:val="18"/>
          <w:lang w:val="en-US"/>
        </w:rPr>
        <w:t>At least in one contracting party rules have been taken up in national legislation for marking of MTMC’s and the procedure for the retest. This may be replaced by a more efficient regulation but there should be a clear advantage or benefit.</w:t>
      </w:r>
    </w:p>
    <w:p w:rsidR="00CE5092" w:rsidRDefault="00CE5092" w:rsidP="0001711C">
      <w:pPr>
        <w:pStyle w:val="SingleTxtG"/>
        <w:tabs>
          <w:tab w:val="left" w:pos="2268"/>
        </w:tabs>
        <w:suppressAutoHyphens/>
        <w:ind w:left="2268" w:right="0" w:hanging="567"/>
        <w:rPr>
          <w:lang w:val="en-US"/>
        </w:rPr>
      </w:pPr>
      <w:r>
        <w:rPr>
          <w:lang w:val="en-US"/>
        </w:rPr>
        <w:lastRenderedPageBreak/>
        <w:t>(</w:t>
      </w:r>
      <w:r w:rsidR="00204DF8" w:rsidRPr="009A70F3">
        <w:rPr>
          <w:lang w:val="en-US"/>
        </w:rPr>
        <w:t>b)</w:t>
      </w:r>
      <w:r w:rsidR="000D5C38" w:rsidRPr="009A70F3">
        <w:rPr>
          <w:lang w:val="en-US"/>
        </w:rPr>
        <w:t xml:space="preserve"> </w:t>
      </w:r>
      <w:r>
        <w:rPr>
          <w:lang w:val="en-US"/>
        </w:rPr>
        <w:tab/>
      </w:r>
      <w:r w:rsidR="009C5F3F" w:rsidRPr="009A70F3">
        <w:rPr>
          <w:lang w:val="en-US"/>
        </w:rPr>
        <w:t xml:space="preserve">the wish to adopt </w:t>
      </w:r>
      <w:r w:rsidR="007079EC" w:rsidRPr="009A70F3">
        <w:rPr>
          <w:lang w:val="en-US"/>
        </w:rPr>
        <w:t xml:space="preserve">only </w:t>
      </w:r>
      <w:r w:rsidR="00B9136E" w:rsidRPr="009A70F3">
        <w:rPr>
          <w:lang w:val="en-US"/>
        </w:rPr>
        <w:t xml:space="preserve">a package deal where all </w:t>
      </w:r>
      <w:r w:rsidR="00E81FB4" w:rsidRPr="009A70F3">
        <w:rPr>
          <w:lang w:val="en-US"/>
        </w:rPr>
        <w:t>remaining issues a</w:t>
      </w:r>
      <w:r w:rsidR="00B9136E" w:rsidRPr="009A70F3">
        <w:rPr>
          <w:lang w:val="en-US"/>
        </w:rPr>
        <w:t>re included to satisfaction</w:t>
      </w:r>
      <w:r w:rsidR="00E81FB4" w:rsidRPr="009A70F3">
        <w:rPr>
          <w:lang w:val="en-US"/>
        </w:rPr>
        <w:t>,</w:t>
      </w:r>
    </w:p>
    <w:p w:rsidR="00217496" w:rsidRPr="004451FC" w:rsidRDefault="00217496" w:rsidP="0001711C">
      <w:pPr>
        <w:pStyle w:val="SingleTxtG"/>
        <w:tabs>
          <w:tab w:val="left" w:pos="2268"/>
        </w:tabs>
        <w:suppressAutoHyphens/>
        <w:ind w:left="1701" w:right="0"/>
        <w:rPr>
          <w:sz w:val="18"/>
          <w:szCs w:val="18"/>
          <w:lang w:val="en-US"/>
        </w:rPr>
      </w:pPr>
      <w:r w:rsidRPr="004451FC">
        <w:rPr>
          <w:i/>
          <w:sz w:val="18"/>
          <w:szCs w:val="18"/>
          <w:lang w:val="en-US"/>
        </w:rPr>
        <w:t xml:space="preserve">A valid argument because the issues are inter related. A change in one issue leads to changes in the others. The approval process of </w:t>
      </w:r>
      <w:r w:rsidR="000715A7">
        <w:rPr>
          <w:i/>
          <w:sz w:val="18"/>
          <w:szCs w:val="18"/>
          <w:lang w:val="en-US"/>
        </w:rPr>
        <w:t>amendments to the ATP and annexes</w:t>
      </w:r>
      <w:r w:rsidRPr="004451FC">
        <w:rPr>
          <w:i/>
          <w:sz w:val="18"/>
          <w:szCs w:val="18"/>
          <w:lang w:val="en-US"/>
        </w:rPr>
        <w:t xml:space="preserve"> is long and correcting maybe difficult. An overview is needed but it should also be realized that it will never be perfect first time and that the first approved equipment will come for retest soon.</w:t>
      </w:r>
    </w:p>
    <w:p w:rsidR="00CE5092" w:rsidRDefault="00CE5092" w:rsidP="0001711C">
      <w:pPr>
        <w:pStyle w:val="SingleTxtG"/>
        <w:tabs>
          <w:tab w:val="left" w:pos="2268"/>
        </w:tabs>
        <w:suppressAutoHyphens/>
        <w:ind w:right="0" w:firstLine="567"/>
        <w:rPr>
          <w:lang w:val="en-US"/>
        </w:rPr>
      </w:pPr>
      <w:r>
        <w:rPr>
          <w:lang w:val="en-US"/>
        </w:rPr>
        <w:t>(</w:t>
      </w:r>
      <w:r w:rsidR="00204DF8" w:rsidRPr="009A70F3">
        <w:rPr>
          <w:lang w:val="en-US"/>
        </w:rPr>
        <w:t>c)</w:t>
      </w:r>
      <w:r>
        <w:rPr>
          <w:lang w:val="en-US"/>
        </w:rPr>
        <w:tab/>
      </w:r>
      <w:r w:rsidR="00E81FB4" w:rsidRPr="009A70F3">
        <w:rPr>
          <w:lang w:val="en-US"/>
        </w:rPr>
        <w:t>making the issues overcomplicated,</w:t>
      </w:r>
    </w:p>
    <w:p w:rsidR="00217496" w:rsidRPr="009A70F3" w:rsidRDefault="00217496" w:rsidP="0001711C">
      <w:pPr>
        <w:pStyle w:val="SingleTxtG"/>
        <w:tabs>
          <w:tab w:val="left" w:pos="2268"/>
        </w:tabs>
        <w:suppressAutoHyphens/>
        <w:ind w:left="1701" w:right="0"/>
        <w:rPr>
          <w:i/>
          <w:lang w:val="en-US"/>
        </w:rPr>
      </w:pPr>
      <w:r w:rsidRPr="004451FC">
        <w:rPr>
          <w:i/>
          <w:sz w:val="18"/>
          <w:szCs w:val="18"/>
          <w:lang w:val="en-US"/>
        </w:rPr>
        <w:t xml:space="preserve">MTMC is only applicable to distribution trucks and not likely to refrigerated containers of rail wagons. The average number of compartments in MTMC trucks are 3, more compartments are not common. Control authorities on the road may </w:t>
      </w:r>
      <w:r w:rsidR="00970EA1" w:rsidRPr="004451FC">
        <w:rPr>
          <w:i/>
          <w:sz w:val="18"/>
          <w:szCs w:val="18"/>
          <w:lang w:val="en-US"/>
        </w:rPr>
        <w:t xml:space="preserve">want </w:t>
      </w:r>
      <w:r w:rsidRPr="004451FC">
        <w:rPr>
          <w:i/>
          <w:sz w:val="18"/>
          <w:szCs w:val="18"/>
          <w:lang w:val="en-US"/>
        </w:rPr>
        <w:t xml:space="preserve">to know that more than one temperature zone can be used in </w:t>
      </w:r>
      <w:r w:rsidR="00970EA1" w:rsidRPr="004451FC">
        <w:rPr>
          <w:i/>
          <w:sz w:val="18"/>
          <w:szCs w:val="18"/>
          <w:lang w:val="en-US"/>
        </w:rPr>
        <w:t xml:space="preserve">one and the same </w:t>
      </w:r>
      <w:r w:rsidRPr="004451FC">
        <w:rPr>
          <w:i/>
          <w:sz w:val="18"/>
          <w:szCs w:val="18"/>
          <w:lang w:val="en-US"/>
        </w:rPr>
        <w:t>equipment, but is it necessary to know if where they are or if they have movable or even removable walls?</w:t>
      </w:r>
    </w:p>
    <w:p w:rsidR="00815FE4" w:rsidRPr="009A70F3" w:rsidRDefault="00CE5092" w:rsidP="0001711C">
      <w:pPr>
        <w:pStyle w:val="SingleTxtG"/>
        <w:tabs>
          <w:tab w:val="left" w:pos="2268"/>
        </w:tabs>
        <w:suppressAutoHyphens/>
        <w:ind w:right="0" w:firstLine="567"/>
        <w:rPr>
          <w:lang w:val="en-US"/>
        </w:rPr>
      </w:pPr>
      <w:r>
        <w:rPr>
          <w:lang w:val="en-US"/>
        </w:rPr>
        <w:t>(</w:t>
      </w:r>
      <w:r w:rsidR="00204DF8" w:rsidRPr="009A70F3">
        <w:rPr>
          <w:lang w:val="en-US"/>
        </w:rPr>
        <w:t>d)</w:t>
      </w:r>
      <w:r w:rsidR="00C30118" w:rsidRPr="009A70F3">
        <w:rPr>
          <w:lang w:val="en-US"/>
        </w:rPr>
        <w:t xml:space="preserve"> </w:t>
      </w:r>
      <w:r>
        <w:rPr>
          <w:lang w:val="en-US"/>
        </w:rPr>
        <w:tab/>
      </w:r>
      <w:r w:rsidR="00C30118" w:rsidRPr="009A70F3">
        <w:rPr>
          <w:lang w:val="en-US"/>
        </w:rPr>
        <w:t>lack of development of supporting tools</w:t>
      </w:r>
      <w:r w:rsidR="00A25567" w:rsidRPr="009A70F3">
        <w:rPr>
          <w:lang w:val="en-US"/>
        </w:rPr>
        <w:t xml:space="preserve"> and</w:t>
      </w:r>
    </w:p>
    <w:p w:rsidR="00CE5092" w:rsidRDefault="00815FE4" w:rsidP="0001711C">
      <w:pPr>
        <w:ind w:left="1701"/>
        <w:rPr>
          <w:rFonts w:ascii="Times New Roman" w:hAnsi="Times New Roman" w:cs="Times New Roman"/>
          <w:sz w:val="20"/>
          <w:szCs w:val="20"/>
          <w:lang w:val="en-US"/>
        </w:rPr>
      </w:pPr>
      <w:r w:rsidRPr="004451FC">
        <w:rPr>
          <w:rFonts w:ascii="Times New Roman" w:hAnsi="Times New Roman" w:cs="Times New Roman"/>
          <w:i/>
          <w:sz w:val="18"/>
          <w:szCs w:val="18"/>
          <w:lang w:val="en-US"/>
        </w:rPr>
        <w:t xml:space="preserve">a usable tool for calculating heat requirements in the various configurations </w:t>
      </w:r>
      <w:r w:rsidR="00970EA1" w:rsidRPr="004451FC">
        <w:rPr>
          <w:rFonts w:ascii="Times New Roman" w:hAnsi="Times New Roman" w:cs="Times New Roman"/>
          <w:i/>
          <w:sz w:val="18"/>
          <w:szCs w:val="18"/>
          <w:lang w:val="en-US"/>
        </w:rPr>
        <w:t xml:space="preserve">of the compartments </w:t>
      </w:r>
      <w:r w:rsidRPr="004451FC">
        <w:rPr>
          <w:rFonts w:ascii="Times New Roman" w:hAnsi="Times New Roman" w:cs="Times New Roman"/>
          <w:i/>
          <w:sz w:val="18"/>
          <w:szCs w:val="18"/>
          <w:lang w:val="en-US"/>
        </w:rPr>
        <w:t>was developed by industry after adoption of MTMC’s in the ATP. It is now available but available for all? Has it the functionality to make usable overview for approval and change of thermal appliance?</w:t>
      </w:r>
    </w:p>
    <w:p w:rsidR="00C30118" w:rsidRPr="000715A7" w:rsidRDefault="004E1FF8" w:rsidP="0001711C">
      <w:pPr>
        <w:pStyle w:val="SingleTxtG"/>
        <w:tabs>
          <w:tab w:val="left" w:pos="2268"/>
        </w:tabs>
        <w:suppressAutoHyphens/>
        <w:ind w:right="0" w:firstLine="567"/>
        <w:rPr>
          <w:i/>
          <w:sz w:val="18"/>
          <w:szCs w:val="18"/>
          <w:lang w:val="en-US"/>
        </w:rPr>
      </w:pPr>
      <w:r>
        <w:rPr>
          <w:lang w:val="en-US"/>
        </w:rPr>
        <w:t>(</w:t>
      </w:r>
      <w:r w:rsidR="00204DF8" w:rsidRPr="009A70F3">
        <w:rPr>
          <w:lang w:val="en-US"/>
        </w:rPr>
        <w:t>e)</w:t>
      </w:r>
      <w:r w:rsidR="00CE5092">
        <w:rPr>
          <w:lang w:val="en-US"/>
        </w:rPr>
        <w:tab/>
      </w:r>
      <w:r w:rsidR="00A25567" w:rsidRPr="009A70F3">
        <w:rPr>
          <w:lang w:val="en-US"/>
        </w:rPr>
        <w:t>uncertainties in the already accepted provisions</w:t>
      </w:r>
      <w:r w:rsidR="00182F19" w:rsidRPr="009A70F3">
        <w:rPr>
          <w:lang w:val="en-US"/>
        </w:rPr>
        <w:t xml:space="preserve"> </w:t>
      </w:r>
      <w:r w:rsidR="00FE4AFE" w:rsidRPr="009A70F3">
        <w:rPr>
          <w:lang w:val="en-US"/>
        </w:rPr>
        <w:t>for MTMC’s</w:t>
      </w:r>
      <w:r w:rsidR="00A25567" w:rsidRPr="009A70F3">
        <w:rPr>
          <w:lang w:val="en-US"/>
        </w:rPr>
        <w:t>.</w:t>
      </w:r>
    </w:p>
    <w:p w:rsidR="00A42578" w:rsidRPr="004451FC" w:rsidRDefault="00815FE4" w:rsidP="0001711C">
      <w:pPr>
        <w:ind w:left="1701"/>
        <w:rPr>
          <w:rFonts w:ascii="Times New Roman" w:hAnsi="Times New Roman" w:cs="Times New Roman"/>
          <w:i/>
          <w:sz w:val="18"/>
          <w:szCs w:val="18"/>
          <w:lang w:val="en-US"/>
        </w:rPr>
      </w:pPr>
      <w:r w:rsidRPr="004451FC">
        <w:rPr>
          <w:rFonts w:ascii="Times New Roman" w:hAnsi="Times New Roman" w:cs="Times New Roman"/>
          <w:i/>
          <w:sz w:val="18"/>
          <w:szCs w:val="18"/>
          <w:lang w:val="en-US"/>
        </w:rPr>
        <w:t>A</w:t>
      </w:r>
      <w:r w:rsidR="00A42578" w:rsidRPr="004451FC">
        <w:rPr>
          <w:rFonts w:ascii="Times New Roman" w:hAnsi="Times New Roman" w:cs="Times New Roman"/>
          <w:i/>
          <w:sz w:val="18"/>
          <w:szCs w:val="18"/>
          <w:lang w:val="en-US"/>
        </w:rPr>
        <w:t xml:space="preserve">re removable partitions included and are </w:t>
      </w:r>
      <w:r w:rsidR="0001711C">
        <w:rPr>
          <w:rFonts w:ascii="Times New Roman" w:hAnsi="Times New Roman" w:cs="Times New Roman"/>
          <w:i/>
          <w:sz w:val="18"/>
          <w:szCs w:val="18"/>
          <w:lang w:val="en-US"/>
        </w:rPr>
        <w:t>"</w:t>
      </w:r>
      <w:r w:rsidR="00A42578" w:rsidRPr="004451FC">
        <w:rPr>
          <w:rFonts w:ascii="Times New Roman" w:hAnsi="Times New Roman" w:cs="Times New Roman"/>
          <w:i/>
          <w:sz w:val="18"/>
          <w:szCs w:val="18"/>
          <w:lang w:val="en-US"/>
        </w:rPr>
        <w:t>soft</w:t>
      </w:r>
      <w:r w:rsidR="0001711C">
        <w:rPr>
          <w:rFonts w:ascii="Times New Roman" w:hAnsi="Times New Roman" w:cs="Times New Roman"/>
          <w:i/>
          <w:sz w:val="18"/>
          <w:szCs w:val="18"/>
          <w:lang w:val="en-US"/>
        </w:rPr>
        <w:t>"</w:t>
      </w:r>
      <w:r w:rsidR="00A42578" w:rsidRPr="004451FC">
        <w:rPr>
          <w:rFonts w:ascii="Times New Roman" w:hAnsi="Times New Roman" w:cs="Times New Roman"/>
          <w:i/>
          <w:sz w:val="18"/>
          <w:szCs w:val="18"/>
          <w:lang w:val="en-US"/>
        </w:rPr>
        <w:t xml:space="preserve"> inflatable partitions allowed. Is the heating possibility of the mechanically refrigerating unit </w:t>
      </w:r>
      <w:r w:rsidR="00E979A6" w:rsidRPr="004451FC">
        <w:rPr>
          <w:rFonts w:ascii="Times New Roman" w:hAnsi="Times New Roman" w:cs="Times New Roman"/>
          <w:i/>
          <w:sz w:val="18"/>
          <w:szCs w:val="18"/>
          <w:lang w:val="en-US"/>
        </w:rPr>
        <w:t>to be taken into account</w:t>
      </w:r>
      <w:r w:rsidR="00A42578" w:rsidRPr="004451FC">
        <w:rPr>
          <w:rFonts w:ascii="Times New Roman" w:hAnsi="Times New Roman" w:cs="Times New Roman"/>
          <w:i/>
          <w:sz w:val="18"/>
          <w:szCs w:val="18"/>
          <w:lang w:val="en-US"/>
        </w:rPr>
        <w:t xml:space="preserve">? </w:t>
      </w:r>
    </w:p>
    <w:p w:rsidR="002F677E" w:rsidRPr="009A70F3" w:rsidRDefault="00CE5092" w:rsidP="0001711C">
      <w:pPr>
        <w:pStyle w:val="SingleTxtG"/>
        <w:tabs>
          <w:tab w:val="left" w:pos="1701"/>
        </w:tabs>
        <w:ind w:right="0"/>
        <w:rPr>
          <w:lang w:val="en-US"/>
        </w:rPr>
      </w:pPr>
      <w:r>
        <w:rPr>
          <w:lang w:val="en-US"/>
        </w:rPr>
        <w:t>4.</w:t>
      </w:r>
      <w:r>
        <w:rPr>
          <w:lang w:val="en-US"/>
        </w:rPr>
        <w:tab/>
      </w:r>
      <w:r w:rsidR="00CA28A7" w:rsidRPr="009A70F3">
        <w:rPr>
          <w:lang w:val="en-US"/>
        </w:rPr>
        <w:t xml:space="preserve">Taking these </w:t>
      </w:r>
      <w:r w:rsidR="00970EA1" w:rsidRPr="009A70F3">
        <w:rPr>
          <w:lang w:val="en-US"/>
        </w:rPr>
        <w:t xml:space="preserve">possible </w:t>
      </w:r>
      <w:r w:rsidR="00815FE4" w:rsidRPr="009A70F3">
        <w:rPr>
          <w:lang w:val="en-US"/>
        </w:rPr>
        <w:t xml:space="preserve">reasons for not coming to conclusion in mind </w:t>
      </w:r>
      <w:r w:rsidR="00CA28A7" w:rsidRPr="009A70F3">
        <w:rPr>
          <w:lang w:val="en-US"/>
        </w:rPr>
        <w:t xml:space="preserve">may help </w:t>
      </w:r>
      <w:r w:rsidR="00970EA1" w:rsidRPr="009A70F3">
        <w:rPr>
          <w:lang w:val="en-US"/>
        </w:rPr>
        <w:t>to com</w:t>
      </w:r>
      <w:r w:rsidR="00CA28A7" w:rsidRPr="009A70F3">
        <w:rPr>
          <w:lang w:val="en-US"/>
        </w:rPr>
        <w:t xml:space="preserve">e to the </w:t>
      </w:r>
      <w:r w:rsidR="00CA28A7" w:rsidRPr="0001711C">
        <w:t>most</w:t>
      </w:r>
      <w:r w:rsidR="00CA28A7" w:rsidRPr="009A70F3">
        <w:rPr>
          <w:lang w:val="en-US"/>
        </w:rPr>
        <w:t xml:space="preserve"> acceptable solution for all parties.</w:t>
      </w:r>
    </w:p>
    <w:p w:rsidR="0001711C" w:rsidRDefault="00D801B0" w:rsidP="0001711C">
      <w:pPr>
        <w:pStyle w:val="SingleTxtG"/>
        <w:rPr>
          <w:lang w:val="en-US"/>
        </w:rPr>
      </w:pPr>
      <w:r w:rsidRPr="009A70F3">
        <w:rPr>
          <w:lang w:val="en-US"/>
        </w:rPr>
        <w:t>The following t</w:t>
      </w:r>
      <w:r w:rsidR="002F677E" w:rsidRPr="009A70F3">
        <w:rPr>
          <w:lang w:val="en-US"/>
        </w:rPr>
        <w:t xml:space="preserve">hree issues </w:t>
      </w:r>
      <w:r w:rsidRPr="009A70F3">
        <w:rPr>
          <w:lang w:val="en-US"/>
        </w:rPr>
        <w:t>are identified for development</w:t>
      </w:r>
      <w:r w:rsidR="002F677E" w:rsidRPr="009A70F3">
        <w:rPr>
          <w:lang w:val="en-US"/>
        </w:rPr>
        <w:t>:</w:t>
      </w:r>
    </w:p>
    <w:p w:rsidR="0001711C" w:rsidRPr="0001711C" w:rsidRDefault="002F677E" w:rsidP="0001711C">
      <w:pPr>
        <w:pStyle w:val="Bullet1G"/>
        <w:numPr>
          <w:ilvl w:val="0"/>
          <w:numId w:val="3"/>
        </w:numPr>
        <w:ind w:left="1701" w:hanging="141"/>
      </w:pPr>
      <w:r w:rsidRPr="0001711C">
        <w:rPr>
          <w:lang w:val="fr-FR"/>
        </w:rPr>
        <w:t>Marking</w:t>
      </w:r>
      <w:r w:rsidRPr="0001711C">
        <w:t>,</w:t>
      </w:r>
    </w:p>
    <w:p w:rsidR="0001711C" w:rsidRPr="0001711C" w:rsidRDefault="002F677E" w:rsidP="0001711C">
      <w:pPr>
        <w:pStyle w:val="Bullet1G"/>
        <w:numPr>
          <w:ilvl w:val="0"/>
          <w:numId w:val="3"/>
        </w:numPr>
        <w:ind w:left="1701" w:hanging="141"/>
      </w:pPr>
      <w:r w:rsidRPr="0001711C">
        <w:t>Information for approval,</w:t>
      </w:r>
    </w:p>
    <w:p w:rsidR="00A268AC" w:rsidRDefault="002F677E" w:rsidP="0001711C">
      <w:pPr>
        <w:pStyle w:val="Bullet1G"/>
        <w:numPr>
          <w:ilvl w:val="0"/>
          <w:numId w:val="3"/>
        </w:numPr>
        <w:ind w:left="1701" w:hanging="141"/>
        <w:rPr>
          <w:lang w:val="en-US"/>
        </w:rPr>
      </w:pPr>
      <w:r w:rsidRPr="0001711C">
        <w:t xml:space="preserve">Procedure for </w:t>
      </w:r>
      <w:r w:rsidRPr="009A70F3">
        <w:rPr>
          <w:lang w:val="en-US"/>
        </w:rPr>
        <w:t>a retest</w:t>
      </w:r>
      <w:r w:rsidR="00A268AC">
        <w:rPr>
          <w:lang w:val="en-US"/>
        </w:rPr>
        <w:t>.</w:t>
      </w:r>
    </w:p>
    <w:p w:rsidR="009A70F3" w:rsidRDefault="00CE5092" w:rsidP="0001711C">
      <w:pPr>
        <w:pStyle w:val="SingleTxtG"/>
        <w:tabs>
          <w:tab w:val="left" w:pos="1701"/>
        </w:tabs>
        <w:suppressAutoHyphens/>
        <w:ind w:right="0"/>
        <w:rPr>
          <w:lang w:val="en-US"/>
        </w:rPr>
      </w:pPr>
      <w:r>
        <w:rPr>
          <w:lang w:val="en-US"/>
        </w:rPr>
        <w:t>5.</w:t>
      </w:r>
      <w:r>
        <w:rPr>
          <w:lang w:val="en-US"/>
        </w:rPr>
        <w:tab/>
      </w:r>
      <w:r w:rsidR="00584B05" w:rsidRPr="009A70F3">
        <w:rPr>
          <w:lang w:val="en-US"/>
        </w:rPr>
        <w:t>In the 4 annexes to this document c</w:t>
      </w:r>
      <w:r w:rsidR="002F677E" w:rsidRPr="009A70F3">
        <w:rPr>
          <w:lang w:val="en-US"/>
        </w:rPr>
        <w:t>onsiderations</w:t>
      </w:r>
      <w:r w:rsidR="00B2765E" w:rsidRPr="009A70F3">
        <w:rPr>
          <w:lang w:val="en-US"/>
        </w:rPr>
        <w:t xml:space="preserve"> and </w:t>
      </w:r>
      <w:r w:rsidR="00F93A0C" w:rsidRPr="009A70F3">
        <w:rPr>
          <w:lang w:val="en-US"/>
        </w:rPr>
        <w:t>s</w:t>
      </w:r>
      <w:r w:rsidR="00584B05" w:rsidRPr="009A70F3">
        <w:rPr>
          <w:lang w:val="en-US"/>
        </w:rPr>
        <w:t>uggestions</w:t>
      </w:r>
      <w:r w:rsidR="00B2765E" w:rsidRPr="009A70F3">
        <w:rPr>
          <w:lang w:val="en-US"/>
        </w:rPr>
        <w:t xml:space="preserve"> </w:t>
      </w:r>
      <w:r w:rsidR="000715A7">
        <w:rPr>
          <w:lang w:val="en-US"/>
        </w:rPr>
        <w:t xml:space="preserve">(and 1 proposal) </w:t>
      </w:r>
      <w:r w:rsidR="00584B05" w:rsidRPr="009A70F3">
        <w:rPr>
          <w:lang w:val="en-US"/>
        </w:rPr>
        <w:t xml:space="preserve">for amendments are given </w:t>
      </w:r>
      <w:r w:rsidR="000715A7">
        <w:rPr>
          <w:lang w:val="en-US"/>
        </w:rPr>
        <w:t>to</w:t>
      </w:r>
      <w:r w:rsidR="00410F06" w:rsidRPr="009A70F3">
        <w:rPr>
          <w:lang w:val="en-US"/>
        </w:rPr>
        <w:t xml:space="preserve"> these issues</w:t>
      </w:r>
      <w:r w:rsidR="00584B05" w:rsidRPr="009A70F3">
        <w:rPr>
          <w:lang w:val="en-US"/>
        </w:rPr>
        <w:t xml:space="preserve">. </w:t>
      </w:r>
      <w:r w:rsidR="00F93A0C" w:rsidRPr="009A70F3">
        <w:rPr>
          <w:lang w:val="en-US"/>
        </w:rPr>
        <w:t xml:space="preserve">It is recognized that the suggestions may need further </w:t>
      </w:r>
      <w:r w:rsidR="00B2765E" w:rsidRPr="009A70F3">
        <w:rPr>
          <w:lang w:val="en-US"/>
        </w:rPr>
        <w:t xml:space="preserve">development and </w:t>
      </w:r>
      <w:r w:rsidR="00F93A0C" w:rsidRPr="009A70F3">
        <w:rPr>
          <w:lang w:val="en-US"/>
        </w:rPr>
        <w:t>fine tuning</w:t>
      </w:r>
      <w:r w:rsidR="00B2765E" w:rsidRPr="009A70F3">
        <w:rPr>
          <w:lang w:val="en-US"/>
        </w:rPr>
        <w:t xml:space="preserve"> that may be forwarded as informal d</w:t>
      </w:r>
      <w:r>
        <w:rPr>
          <w:lang w:val="en-US"/>
        </w:rPr>
        <w:t>ocuments modifying or replacing</w:t>
      </w:r>
      <w:r w:rsidR="00F93A0C" w:rsidRPr="009A70F3">
        <w:rPr>
          <w:lang w:val="en-US"/>
        </w:rPr>
        <w:t xml:space="preserve"> </w:t>
      </w:r>
      <w:r w:rsidR="00B2765E" w:rsidRPr="009A70F3">
        <w:rPr>
          <w:lang w:val="en-US"/>
        </w:rPr>
        <w:t xml:space="preserve">parts </w:t>
      </w:r>
      <w:r w:rsidR="00A268AC">
        <w:rPr>
          <w:lang w:val="en-US"/>
        </w:rPr>
        <w:t>of</w:t>
      </w:r>
      <w:r w:rsidR="00970EA1" w:rsidRPr="009A70F3">
        <w:rPr>
          <w:lang w:val="en-US"/>
        </w:rPr>
        <w:t xml:space="preserve"> this document</w:t>
      </w:r>
      <w:r w:rsidR="004E1FF8">
        <w:rPr>
          <w:lang w:val="en-US"/>
        </w:rPr>
        <w:t>.</w:t>
      </w:r>
    </w:p>
    <w:p w:rsidR="009A70F3" w:rsidRDefault="009A70F3" w:rsidP="0001711C">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CE5092" w:rsidRDefault="008A7572" w:rsidP="0001711C">
      <w:pPr>
        <w:pStyle w:val="HChG"/>
        <w:ind w:right="0"/>
      </w:pPr>
      <w:r w:rsidRPr="003C519A">
        <w:lastRenderedPageBreak/>
        <w:t>Annex 1</w:t>
      </w:r>
    </w:p>
    <w:p w:rsidR="001A78FB" w:rsidRPr="003C519A" w:rsidRDefault="00CE5092" w:rsidP="0001711C">
      <w:pPr>
        <w:pStyle w:val="HChG"/>
        <w:ind w:right="0"/>
      </w:pPr>
      <w:r>
        <w:tab/>
      </w:r>
      <w:r>
        <w:tab/>
      </w:r>
      <w:r w:rsidR="008A7572" w:rsidRPr="003C519A">
        <w:t>Marking of MTMC equipment</w:t>
      </w:r>
    </w:p>
    <w:p w:rsidR="00D25747" w:rsidRPr="0042262A" w:rsidRDefault="00CE5092" w:rsidP="0001711C">
      <w:pPr>
        <w:pStyle w:val="H1G"/>
        <w:ind w:right="0"/>
      </w:pPr>
      <w:r>
        <w:tab/>
      </w:r>
      <w:r>
        <w:tab/>
      </w:r>
      <w:r w:rsidR="00D25747" w:rsidRPr="0042262A">
        <w:t>Marking in general</w:t>
      </w:r>
    </w:p>
    <w:p w:rsidR="008A7572" w:rsidRPr="0042262A" w:rsidRDefault="005E265A" w:rsidP="0001711C">
      <w:pPr>
        <w:pStyle w:val="SingleTxtG"/>
        <w:tabs>
          <w:tab w:val="left" w:pos="1701"/>
        </w:tabs>
        <w:suppressAutoHyphens/>
        <w:ind w:right="0"/>
        <w:rPr>
          <w:lang w:val="en-US"/>
        </w:rPr>
      </w:pPr>
      <w:r w:rsidRPr="0042262A">
        <w:rPr>
          <w:lang w:val="en-US"/>
        </w:rPr>
        <w:t>In general ATP equipment is marked with its class</w:t>
      </w:r>
      <w:r w:rsidR="00036782" w:rsidRPr="0042262A">
        <w:rPr>
          <w:lang w:val="en-US"/>
        </w:rPr>
        <w:t>,</w:t>
      </w:r>
      <w:r w:rsidRPr="0042262A">
        <w:rPr>
          <w:lang w:val="en-US"/>
        </w:rPr>
        <w:t xml:space="preserve"> </w:t>
      </w:r>
      <w:r w:rsidR="000D6DBD" w:rsidRPr="0042262A">
        <w:rPr>
          <w:lang w:val="en-US"/>
        </w:rPr>
        <w:t>the equipment belongs to</w:t>
      </w:r>
      <w:r w:rsidR="00036782" w:rsidRPr="0042262A">
        <w:rPr>
          <w:lang w:val="en-US"/>
        </w:rPr>
        <w:t>,</w:t>
      </w:r>
      <w:r w:rsidR="000D6DBD" w:rsidRPr="0042262A">
        <w:rPr>
          <w:lang w:val="en-US"/>
        </w:rPr>
        <w:t xml:space="preserve"> </w:t>
      </w:r>
      <w:r w:rsidRPr="0042262A">
        <w:rPr>
          <w:lang w:val="en-US"/>
        </w:rPr>
        <w:t xml:space="preserve">and date when the approval </w:t>
      </w:r>
      <w:r w:rsidR="000D6DBD" w:rsidRPr="0042262A">
        <w:rPr>
          <w:lang w:val="en-US"/>
        </w:rPr>
        <w:t xml:space="preserve">expires. It can be questioned </w:t>
      </w:r>
      <w:r w:rsidR="00EB4A96" w:rsidRPr="0042262A">
        <w:rPr>
          <w:lang w:val="en-US"/>
        </w:rPr>
        <w:t xml:space="preserve">what the </w:t>
      </w:r>
      <w:r w:rsidR="00601B10" w:rsidRPr="0042262A">
        <w:rPr>
          <w:lang w:val="en-US"/>
        </w:rPr>
        <w:t xml:space="preserve">original </w:t>
      </w:r>
      <w:r w:rsidR="00EB4A96" w:rsidRPr="0042262A">
        <w:rPr>
          <w:lang w:val="en-US"/>
        </w:rPr>
        <w:t xml:space="preserve">intentions were to mark the equipment and </w:t>
      </w:r>
      <w:r w:rsidR="00036782" w:rsidRPr="0042262A">
        <w:rPr>
          <w:lang w:val="en-US"/>
        </w:rPr>
        <w:t>analyze</w:t>
      </w:r>
      <w:r w:rsidR="00601B10" w:rsidRPr="0042262A">
        <w:rPr>
          <w:lang w:val="en-US"/>
        </w:rPr>
        <w:t xml:space="preserve"> in which situation markings present</w:t>
      </w:r>
      <w:r w:rsidR="00FA0784" w:rsidRPr="0042262A">
        <w:rPr>
          <w:lang w:val="en-US"/>
        </w:rPr>
        <w:t>s</w:t>
      </w:r>
      <w:r w:rsidR="00601B10" w:rsidRPr="0042262A">
        <w:rPr>
          <w:lang w:val="en-US"/>
        </w:rPr>
        <w:t xml:space="preserve"> an additional value.</w:t>
      </w:r>
      <w:r w:rsidR="000D6DBD" w:rsidRPr="0042262A">
        <w:rPr>
          <w:lang w:val="en-US"/>
        </w:rPr>
        <w:t xml:space="preserve"> </w:t>
      </w:r>
      <w:r w:rsidR="00D25747" w:rsidRPr="0042262A">
        <w:rPr>
          <w:lang w:val="en-US"/>
        </w:rPr>
        <w:t>The following situations are considered:</w:t>
      </w:r>
    </w:p>
    <w:p w:rsidR="00CE5092" w:rsidRPr="00CE5092" w:rsidRDefault="00CE5092" w:rsidP="0001711C">
      <w:pPr>
        <w:pStyle w:val="H23G"/>
        <w:ind w:right="0"/>
        <w:rPr>
          <w:lang w:val="en-US"/>
        </w:rPr>
      </w:pPr>
      <w:r w:rsidRPr="00CE5092">
        <w:rPr>
          <w:lang w:val="en-US"/>
        </w:rPr>
        <w:tab/>
        <w:t>(</w:t>
      </w:r>
      <w:r w:rsidR="00036782" w:rsidRPr="00CE5092">
        <w:rPr>
          <w:lang w:val="en-US"/>
        </w:rPr>
        <w:t>a)</w:t>
      </w:r>
      <w:r w:rsidRPr="00CE5092">
        <w:rPr>
          <w:lang w:val="en-US"/>
        </w:rPr>
        <w:tab/>
      </w:r>
      <w:r w:rsidR="00B916E2" w:rsidRPr="00CE5092">
        <w:rPr>
          <w:lang w:val="en-US"/>
        </w:rPr>
        <w:t xml:space="preserve">For loading: </w:t>
      </w:r>
    </w:p>
    <w:p w:rsidR="00B916E2" w:rsidRPr="0042262A" w:rsidRDefault="00B916E2" w:rsidP="0001711C">
      <w:pPr>
        <w:pStyle w:val="SingleTxtG"/>
        <w:tabs>
          <w:tab w:val="left" w:pos="1701"/>
        </w:tabs>
        <w:suppressAutoHyphens/>
        <w:ind w:right="0"/>
        <w:rPr>
          <w:lang w:val="en-US"/>
        </w:rPr>
      </w:pPr>
      <w:r w:rsidRPr="0042262A">
        <w:rPr>
          <w:lang w:val="en-US"/>
        </w:rPr>
        <w:t xml:space="preserve">The loader will </w:t>
      </w:r>
      <w:r w:rsidR="00EB4A96" w:rsidRPr="0042262A">
        <w:rPr>
          <w:lang w:val="en-US"/>
        </w:rPr>
        <w:t xml:space="preserve">have the </w:t>
      </w:r>
      <w:r w:rsidRPr="0042262A">
        <w:rPr>
          <w:lang w:val="en-US"/>
        </w:rPr>
        <w:t xml:space="preserve">ATP certificate or ATP plate on the equipment </w:t>
      </w:r>
      <w:r w:rsidR="00EB4A96" w:rsidRPr="0042262A">
        <w:rPr>
          <w:lang w:val="en-US"/>
        </w:rPr>
        <w:t xml:space="preserve">available with more detailed information </w:t>
      </w:r>
      <w:r w:rsidRPr="0042262A">
        <w:rPr>
          <w:lang w:val="en-US"/>
        </w:rPr>
        <w:t>rather than using the marking on the outside of the equipment.</w:t>
      </w:r>
      <w:r w:rsidR="00D25747" w:rsidRPr="0042262A">
        <w:rPr>
          <w:lang w:val="en-US"/>
        </w:rPr>
        <w:t xml:space="preserve"> </w:t>
      </w:r>
      <w:r w:rsidR="001F57C3" w:rsidRPr="0042262A">
        <w:rPr>
          <w:lang w:val="en-US"/>
        </w:rPr>
        <w:t>There maybe an additional value when picking up a rental trailer from a parking lot</w:t>
      </w:r>
      <w:r w:rsidR="000715A7">
        <w:rPr>
          <w:lang w:val="en-US"/>
        </w:rPr>
        <w:t>. T</w:t>
      </w:r>
      <w:r w:rsidR="001F57C3" w:rsidRPr="0042262A">
        <w:rPr>
          <w:lang w:val="en-US"/>
        </w:rPr>
        <w:t>he expiry date will quickly identify a trailer that should not be used.</w:t>
      </w:r>
    </w:p>
    <w:p w:rsidR="00CE5092" w:rsidRDefault="00CE5092" w:rsidP="0001711C">
      <w:pPr>
        <w:pStyle w:val="H23G"/>
        <w:ind w:right="0"/>
      </w:pPr>
      <w:r>
        <w:tab/>
        <w:t>(</w:t>
      </w:r>
      <w:r w:rsidR="00036782" w:rsidRPr="0042262A">
        <w:t xml:space="preserve">b) </w:t>
      </w:r>
      <w:r>
        <w:tab/>
      </w:r>
      <w:r w:rsidR="00B916E2" w:rsidRPr="0042262A">
        <w:t>For testing:</w:t>
      </w:r>
    </w:p>
    <w:p w:rsidR="000D6DBD" w:rsidRPr="0042262A" w:rsidRDefault="000D6DBD" w:rsidP="0001711C">
      <w:pPr>
        <w:pStyle w:val="SingleTxtG"/>
        <w:tabs>
          <w:tab w:val="left" w:pos="1701"/>
        </w:tabs>
        <w:suppressAutoHyphens/>
        <w:ind w:right="0"/>
        <w:rPr>
          <w:lang w:val="en-US"/>
        </w:rPr>
      </w:pPr>
      <w:r w:rsidRPr="0042262A">
        <w:rPr>
          <w:lang w:val="en-US"/>
        </w:rPr>
        <w:t xml:space="preserve">The </w:t>
      </w:r>
      <w:r w:rsidR="00EB4A96" w:rsidRPr="0042262A">
        <w:rPr>
          <w:lang w:val="en-US"/>
        </w:rPr>
        <w:t>tester will rely on the ATP certificate or type approval documentation available rather than the marking on the equipment. The marking has no additional value in this case.</w:t>
      </w:r>
    </w:p>
    <w:p w:rsidR="00CE5092" w:rsidRDefault="00CE5092" w:rsidP="0001711C">
      <w:pPr>
        <w:pStyle w:val="H23G"/>
        <w:ind w:right="0"/>
      </w:pPr>
      <w:r>
        <w:tab/>
        <w:t>(</w:t>
      </w:r>
      <w:r w:rsidR="00036782" w:rsidRPr="0042262A">
        <w:t>c)</w:t>
      </w:r>
      <w:r>
        <w:tab/>
      </w:r>
      <w:r w:rsidR="00B916E2" w:rsidRPr="0042262A">
        <w:t xml:space="preserve">For </w:t>
      </w:r>
      <w:r w:rsidR="00EB4A96" w:rsidRPr="0042262A">
        <w:t xml:space="preserve">receiving </w:t>
      </w:r>
      <w:r w:rsidR="00FD0BE0" w:rsidRPr="0042262A">
        <w:t xml:space="preserve">privilege </w:t>
      </w:r>
      <w:r w:rsidR="00B916E2" w:rsidRPr="0042262A">
        <w:t>at border crossings or r</w:t>
      </w:r>
      <w:r w:rsidR="00FD0BE0" w:rsidRPr="0042262A">
        <w:t xml:space="preserve">oad side checks: </w:t>
      </w:r>
    </w:p>
    <w:p w:rsidR="00034ABF" w:rsidRPr="0042262A" w:rsidRDefault="00B2415C" w:rsidP="0001711C">
      <w:pPr>
        <w:pStyle w:val="SingleTxtG"/>
        <w:tabs>
          <w:tab w:val="left" w:pos="1701"/>
        </w:tabs>
        <w:suppressAutoHyphens/>
        <w:ind w:right="0"/>
        <w:rPr>
          <w:lang w:val="en-US"/>
        </w:rPr>
      </w:pPr>
      <w:r w:rsidRPr="0042262A">
        <w:rPr>
          <w:lang w:val="en-US"/>
        </w:rPr>
        <w:t>When crossing borders</w:t>
      </w:r>
      <w:r w:rsidR="006D45AE" w:rsidRPr="0042262A">
        <w:rPr>
          <w:lang w:val="en-US"/>
        </w:rPr>
        <w:t xml:space="preserve"> or being stopped for a road side inspection the marking may be useful to select </w:t>
      </w:r>
      <w:r w:rsidR="0001711C">
        <w:rPr>
          <w:lang w:val="en-US"/>
        </w:rPr>
        <w:t>"</w:t>
      </w:r>
      <w:r w:rsidR="00CD20E9" w:rsidRPr="0042262A">
        <w:rPr>
          <w:lang w:val="en-US"/>
        </w:rPr>
        <w:t>on sight</w:t>
      </w:r>
      <w:r w:rsidR="0001711C">
        <w:rPr>
          <w:lang w:val="en-US"/>
        </w:rPr>
        <w:t>"</w:t>
      </w:r>
      <w:r w:rsidR="00CD20E9" w:rsidRPr="0042262A">
        <w:rPr>
          <w:lang w:val="en-US"/>
        </w:rPr>
        <w:t xml:space="preserve"> </w:t>
      </w:r>
      <w:r w:rsidR="006D45AE" w:rsidRPr="0042262A">
        <w:rPr>
          <w:lang w:val="en-US"/>
        </w:rPr>
        <w:t>which equipment have more urgency</w:t>
      </w:r>
      <w:r w:rsidR="000715A7">
        <w:rPr>
          <w:lang w:val="en-US"/>
        </w:rPr>
        <w:t xml:space="preserve"> than others </w:t>
      </w:r>
      <w:r w:rsidR="006D45AE" w:rsidRPr="0042262A">
        <w:rPr>
          <w:lang w:val="en-US"/>
        </w:rPr>
        <w:t xml:space="preserve">to move on. That this is probable </w:t>
      </w:r>
      <w:r w:rsidR="001F57C3" w:rsidRPr="0042262A">
        <w:rPr>
          <w:lang w:val="en-US"/>
        </w:rPr>
        <w:t xml:space="preserve">intention </w:t>
      </w:r>
      <w:r w:rsidR="00CE5092">
        <w:rPr>
          <w:lang w:val="en-US"/>
        </w:rPr>
        <w:t>can be concluded</w:t>
      </w:r>
      <w:r w:rsidR="00F761A8">
        <w:rPr>
          <w:lang w:val="en-US"/>
        </w:rPr>
        <w:t xml:space="preserve"> </w:t>
      </w:r>
      <w:r w:rsidR="006D45AE" w:rsidRPr="0042262A">
        <w:rPr>
          <w:lang w:val="en-US"/>
        </w:rPr>
        <w:t xml:space="preserve">from </w:t>
      </w:r>
      <w:r w:rsidR="00F761A8">
        <w:rPr>
          <w:lang w:val="en-US"/>
        </w:rPr>
        <w:t xml:space="preserve">the argument </w:t>
      </w:r>
      <w:r w:rsidR="00CD20E9" w:rsidRPr="0042262A">
        <w:rPr>
          <w:lang w:val="en-US"/>
        </w:rPr>
        <w:t xml:space="preserve">when an </w:t>
      </w:r>
      <w:r w:rsidR="0001711C">
        <w:rPr>
          <w:lang w:val="en-US"/>
        </w:rPr>
        <w:t>"</w:t>
      </w:r>
      <w:r w:rsidR="006D45AE" w:rsidRPr="0042262A">
        <w:rPr>
          <w:lang w:val="en-US"/>
        </w:rPr>
        <w:t>X</w:t>
      </w:r>
      <w:r w:rsidR="0001711C">
        <w:rPr>
          <w:lang w:val="en-US"/>
        </w:rPr>
        <w:t>"</w:t>
      </w:r>
      <w:r w:rsidR="006D45AE" w:rsidRPr="0042262A">
        <w:rPr>
          <w:lang w:val="en-US"/>
        </w:rPr>
        <w:t xml:space="preserve"> </w:t>
      </w:r>
      <w:r w:rsidR="00CD20E9" w:rsidRPr="0042262A">
        <w:rPr>
          <w:lang w:val="en-US"/>
        </w:rPr>
        <w:t xml:space="preserve">needs to be added </w:t>
      </w:r>
      <w:r w:rsidR="006D45AE" w:rsidRPr="0042262A">
        <w:rPr>
          <w:lang w:val="en-US"/>
        </w:rPr>
        <w:t xml:space="preserve">to the classification markings </w:t>
      </w:r>
      <w:r w:rsidR="00CD20E9" w:rsidRPr="0042262A">
        <w:rPr>
          <w:lang w:val="en-US"/>
        </w:rPr>
        <w:t>in Annex 1 Appendix 4 of the ATP</w:t>
      </w:r>
      <w:r w:rsidR="001F57C3" w:rsidRPr="0042262A">
        <w:rPr>
          <w:lang w:val="en-US"/>
        </w:rPr>
        <w:t>. E</w:t>
      </w:r>
      <w:r w:rsidR="006D45AE" w:rsidRPr="0042262A">
        <w:rPr>
          <w:lang w:val="en-US"/>
        </w:rPr>
        <w:t xml:space="preserve">quipment </w:t>
      </w:r>
      <w:r w:rsidR="001F57C3" w:rsidRPr="0042262A">
        <w:rPr>
          <w:lang w:val="en-US"/>
        </w:rPr>
        <w:t xml:space="preserve">marked with a </w:t>
      </w:r>
      <w:r w:rsidR="0001711C">
        <w:rPr>
          <w:lang w:val="en-US"/>
        </w:rPr>
        <w:t>"</w:t>
      </w:r>
      <w:r w:rsidR="001F57C3" w:rsidRPr="0042262A">
        <w:rPr>
          <w:lang w:val="en-US"/>
        </w:rPr>
        <w:t>X</w:t>
      </w:r>
      <w:r w:rsidR="0001711C">
        <w:rPr>
          <w:lang w:val="en-US"/>
        </w:rPr>
        <w:t>"</w:t>
      </w:r>
      <w:r w:rsidR="001F57C3" w:rsidRPr="0042262A">
        <w:rPr>
          <w:lang w:val="en-US"/>
        </w:rPr>
        <w:t xml:space="preserve"> </w:t>
      </w:r>
      <w:r w:rsidR="006D45AE" w:rsidRPr="0042262A">
        <w:rPr>
          <w:lang w:val="en-US"/>
        </w:rPr>
        <w:t xml:space="preserve">cannot </w:t>
      </w:r>
      <w:r w:rsidR="007956B5" w:rsidRPr="0042262A">
        <w:rPr>
          <w:lang w:val="en-US"/>
        </w:rPr>
        <w:t xml:space="preserve">generate </w:t>
      </w:r>
      <w:r w:rsidR="00C54A77" w:rsidRPr="0042262A">
        <w:rPr>
          <w:lang w:val="en-US"/>
        </w:rPr>
        <w:t xml:space="preserve">additional </w:t>
      </w:r>
      <w:r w:rsidR="007956B5" w:rsidRPr="0042262A">
        <w:rPr>
          <w:lang w:val="en-US"/>
        </w:rPr>
        <w:t xml:space="preserve">heat </w:t>
      </w:r>
      <w:r w:rsidR="00C54A77" w:rsidRPr="0042262A">
        <w:rPr>
          <w:lang w:val="en-US"/>
        </w:rPr>
        <w:t xml:space="preserve">while being </w:t>
      </w:r>
      <w:r w:rsidR="0042262A" w:rsidRPr="0042262A">
        <w:rPr>
          <w:lang w:val="en-US"/>
        </w:rPr>
        <w:t>stationary</w:t>
      </w:r>
      <w:r w:rsidR="00C54A77" w:rsidRPr="0042262A">
        <w:rPr>
          <w:lang w:val="en-US"/>
        </w:rPr>
        <w:t xml:space="preserve"> or cannot be re-iced/</w:t>
      </w:r>
      <w:r w:rsidR="001F57C3" w:rsidRPr="0042262A">
        <w:rPr>
          <w:lang w:val="en-US"/>
        </w:rPr>
        <w:t>refueled/recharged</w:t>
      </w:r>
      <w:r w:rsidR="00C54A77" w:rsidRPr="0042262A">
        <w:rPr>
          <w:lang w:val="en-US"/>
        </w:rPr>
        <w:t xml:space="preserve"> on the </w:t>
      </w:r>
      <w:r w:rsidR="001F57C3" w:rsidRPr="0042262A">
        <w:rPr>
          <w:lang w:val="en-US"/>
        </w:rPr>
        <w:t>spot</w:t>
      </w:r>
      <w:r w:rsidR="00C54A77" w:rsidRPr="0042262A">
        <w:rPr>
          <w:lang w:val="en-US"/>
        </w:rPr>
        <w:t xml:space="preserve">. </w:t>
      </w:r>
      <w:r w:rsidR="006D45AE" w:rsidRPr="0042262A">
        <w:rPr>
          <w:lang w:val="en-US"/>
        </w:rPr>
        <w:t xml:space="preserve"> </w:t>
      </w:r>
    </w:p>
    <w:p w:rsidR="00CE5092" w:rsidRPr="00CE5092" w:rsidRDefault="00CE5092" w:rsidP="0001711C">
      <w:pPr>
        <w:pStyle w:val="H23G"/>
        <w:ind w:right="0"/>
        <w:rPr>
          <w:lang w:val="en-US"/>
        </w:rPr>
      </w:pPr>
      <w:r w:rsidRPr="00CE5092">
        <w:rPr>
          <w:lang w:val="en-US"/>
        </w:rPr>
        <w:tab/>
        <w:t>(</w:t>
      </w:r>
      <w:r w:rsidR="00036782" w:rsidRPr="00CE5092">
        <w:rPr>
          <w:lang w:val="en-US"/>
        </w:rPr>
        <w:t xml:space="preserve">d) </w:t>
      </w:r>
      <w:r w:rsidRPr="00CE5092">
        <w:rPr>
          <w:lang w:val="en-US"/>
        </w:rPr>
        <w:tab/>
      </w:r>
      <w:r w:rsidR="00034ABF" w:rsidRPr="00CE5092">
        <w:rPr>
          <w:lang w:val="en-US"/>
        </w:rPr>
        <w:t xml:space="preserve">For </w:t>
      </w:r>
      <w:r w:rsidR="00034ABF" w:rsidRPr="00CE5092">
        <w:t>road</w:t>
      </w:r>
      <w:r w:rsidR="00034ABF" w:rsidRPr="00CE5092">
        <w:rPr>
          <w:lang w:val="en-US"/>
        </w:rPr>
        <w:t xml:space="preserve"> side inspections</w:t>
      </w:r>
      <w:r w:rsidR="001F57C3" w:rsidRPr="00CE5092">
        <w:rPr>
          <w:lang w:val="en-US"/>
        </w:rPr>
        <w:t xml:space="preserve"> and custom controls</w:t>
      </w:r>
      <w:r w:rsidR="00034ABF" w:rsidRPr="00CE5092">
        <w:rPr>
          <w:lang w:val="en-US"/>
        </w:rPr>
        <w:t xml:space="preserve">: </w:t>
      </w:r>
    </w:p>
    <w:p w:rsidR="008324C3" w:rsidRDefault="00C507C4" w:rsidP="0001711C">
      <w:pPr>
        <w:pStyle w:val="SingleTxtG"/>
        <w:tabs>
          <w:tab w:val="left" w:pos="1701"/>
        </w:tabs>
        <w:suppressAutoHyphens/>
        <w:ind w:right="0"/>
        <w:rPr>
          <w:lang w:val="en-US"/>
        </w:rPr>
      </w:pPr>
      <w:r>
        <w:rPr>
          <w:lang w:val="en-US"/>
        </w:rPr>
        <w:t>A</w:t>
      </w:r>
      <w:r w:rsidR="00034ABF" w:rsidRPr="0042262A">
        <w:rPr>
          <w:lang w:val="en-US"/>
        </w:rPr>
        <w:t xml:space="preserve"> check </w:t>
      </w:r>
      <w:r>
        <w:rPr>
          <w:lang w:val="en-US"/>
        </w:rPr>
        <w:t xml:space="preserve">if carriage is done in accordance </w:t>
      </w:r>
      <w:r w:rsidR="00CE5092">
        <w:rPr>
          <w:lang w:val="en-US"/>
        </w:rPr>
        <w:t>with the regulation may be done</w:t>
      </w:r>
      <w:r>
        <w:rPr>
          <w:lang w:val="en-US"/>
        </w:rPr>
        <w:t xml:space="preserve"> </w:t>
      </w:r>
      <w:r w:rsidR="00034ABF" w:rsidRPr="0042262A">
        <w:rPr>
          <w:lang w:val="en-US"/>
        </w:rPr>
        <w:t>by the control authority on the road</w:t>
      </w:r>
      <w:r w:rsidR="001F57C3" w:rsidRPr="0042262A">
        <w:rPr>
          <w:lang w:val="en-US"/>
        </w:rPr>
        <w:t xml:space="preserve"> or while crossing a national border</w:t>
      </w:r>
      <w:r w:rsidR="00034ABF" w:rsidRPr="0042262A">
        <w:rPr>
          <w:lang w:val="en-US"/>
        </w:rPr>
        <w:t>.</w:t>
      </w:r>
      <w:r w:rsidR="00FA0784" w:rsidRPr="0042262A">
        <w:rPr>
          <w:lang w:val="en-US"/>
        </w:rPr>
        <w:t xml:space="preserve"> </w:t>
      </w:r>
      <w:r w:rsidRPr="0042262A">
        <w:rPr>
          <w:lang w:val="en-US"/>
        </w:rPr>
        <w:t>It is not recommended to open doors during a road side check</w:t>
      </w:r>
      <w:r>
        <w:rPr>
          <w:lang w:val="en-US"/>
        </w:rPr>
        <w:t xml:space="preserve"> to protect the food stuffs</w:t>
      </w:r>
      <w:r w:rsidRPr="0042262A">
        <w:rPr>
          <w:lang w:val="en-US"/>
        </w:rPr>
        <w:t xml:space="preserve">. </w:t>
      </w:r>
      <w:r w:rsidR="00034ABF" w:rsidRPr="0042262A">
        <w:rPr>
          <w:lang w:val="en-US"/>
        </w:rPr>
        <w:t xml:space="preserve">On the other hand </w:t>
      </w:r>
      <w:r>
        <w:rPr>
          <w:lang w:val="en-US"/>
        </w:rPr>
        <w:t xml:space="preserve">during carriage </w:t>
      </w:r>
      <w:r w:rsidR="00034ABF" w:rsidRPr="0042262A">
        <w:rPr>
          <w:lang w:val="en-US"/>
        </w:rPr>
        <w:t xml:space="preserve">the ATP certificate or a ATP plate </w:t>
      </w:r>
      <w:r w:rsidR="00B85A83" w:rsidRPr="0042262A">
        <w:rPr>
          <w:lang w:val="en-US"/>
        </w:rPr>
        <w:t>i</w:t>
      </w:r>
      <w:r w:rsidR="00034ABF" w:rsidRPr="0042262A">
        <w:rPr>
          <w:lang w:val="en-US"/>
        </w:rPr>
        <w:t xml:space="preserve">s available for information to the control authority. Conclusion is that the marking is not very significant in this </w:t>
      </w:r>
      <w:r w:rsidR="008324C3" w:rsidRPr="0042262A">
        <w:rPr>
          <w:lang w:val="en-US"/>
        </w:rPr>
        <w:t>situation.</w:t>
      </w:r>
    </w:p>
    <w:p w:rsidR="0042262A" w:rsidRPr="0042262A" w:rsidRDefault="0042262A" w:rsidP="0001711C">
      <w:pPr>
        <w:pStyle w:val="SingleTxtG"/>
        <w:tabs>
          <w:tab w:val="left" w:pos="1701"/>
        </w:tabs>
        <w:suppressAutoHyphens/>
        <w:ind w:right="0"/>
        <w:rPr>
          <w:lang w:val="en-US"/>
        </w:rPr>
      </w:pPr>
      <w:r>
        <w:rPr>
          <w:lang w:val="en-US"/>
        </w:rPr>
        <w:t>Conclusion is that markings have additional value while waiting for crossing a border or road side checks</w:t>
      </w:r>
      <w:r w:rsidR="00844132">
        <w:rPr>
          <w:lang w:val="en-US"/>
        </w:rPr>
        <w:t>.</w:t>
      </w:r>
    </w:p>
    <w:p w:rsidR="008324C3" w:rsidRPr="0042262A" w:rsidRDefault="00CE5092" w:rsidP="0001711C">
      <w:pPr>
        <w:pStyle w:val="H1G"/>
        <w:ind w:right="0"/>
      </w:pPr>
      <w:r>
        <w:tab/>
      </w:r>
      <w:r>
        <w:tab/>
      </w:r>
      <w:r w:rsidR="008324C3" w:rsidRPr="0042262A">
        <w:t>Marking of MTMC’s.</w:t>
      </w:r>
    </w:p>
    <w:p w:rsidR="00036782" w:rsidRPr="0042262A" w:rsidRDefault="00844132" w:rsidP="0001711C">
      <w:pPr>
        <w:pStyle w:val="SingleTxtG"/>
        <w:tabs>
          <w:tab w:val="left" w:pos="1701"/>
        </w:tabs>
        <w:suppressAutoHyphens/>
        <w:ind w:right="0"/>
        <w:rPr>
          <w:lang w:val="en-US"/>
        </w:rPr>
      </w:pPr>
      <w:r>
        <w:rPr>
          <w:lang w:val="en-US"/>
        </w:rPr>
        <w:t>Taking the above conclusion</w:t>
      </w:r>
      <w:r w:rsidR="00C507C4">
        <w:rPr>
          <w:lang w:val="en-US"/>
        </w:rPr>
        <w:t>s</w:t>
      </w:r>
      <w:r>
        <w:rPr>
          <w:lang w:val="en-US"/>
        </w:rPr>
        <w:t xml:space="preserve"> in mind for MTMC’s i</w:t>
      </w:r>
      <w:r w:rsidR="007B5B40" w:rsidRPr="0042262A">
        <w:rPr>
          <w:lang w:val="en-US"/>
        </w:rPr>
        <w:t xml:space="preserve">t can be </w:t>
      </w:r>
      <w:r w:rsidR="00B85A83" w:rsidRPr="0042262A">
        <w:rPr>
          <w:lang w:val="en-US"/>
        </w:rPr>
        <w:t>question</w:t>
      </w:r>
      <w:r w:rsidR="007B5B40" w:rsidRPr="0042262A">
        <w:rPr>
          <w:lang w:val="en-US"/>
        </w:rPr>
        <w:t xml:space="preserve">ed </w:t>
      </w:r>
      <w:r>
        <w:rPr>
          <w:lang w:val="en-US"/>
        </w:rPr>
        <w:t xml:space="preserve">which </w:t>
      </w:r>
      <w:r w:rsidR="00B85A83" w:rsidRPr="0042262A">
        <w:rPr>
          <w:lang w:val="en-US"/>
        </w:rPr>
        <w:t xml:space="preserve">additional </w:t>
      </w:r>
      <w:r w:rsidR="00036782" w:rsidRPr="0042262A">
        <w:rPr>
          <w:lang w:val="en-US"/>
        </w:rPr>
        <w:t xml:space="preserve">or </w:t>
      </w:r>
      <w:r>
        <w:rPr>
          <w:lang w:val="en-US"/>
        </w:rPr>
        <w:t xml:space="preserve">alternative </w:t>
      </w:r>
      <w:r w:rsidR="00B85A83" w:rsidRPr="0042262A">
        <w:rPr>
          <w:lang w:val="en-US"/>
        </w:rPr>
        <w:t>marking for MTMC’</w:t>
      </w:r>
      <w:r w:rsidR="007B5B40" w:rsidRPr="0042262A">
        <w:rPr>
          <w:lang w:val="en-US"/>
        </w:rPr>
        <w:t xml:space="preserve">s </w:t>
      </w:r>
      <w:r>
        <w:rPr>
          <w:lang w:val="en-US"/>
        </w:rPr>
        <w:t>is sufficient</w:t>
      </w:r>
      <w:r w:rsidR="00036782" w:rsidRPr="0042262A">
        <w:rPr>
          <w:lang w:val="en-US"/>
        </w:rPr>
        <w:t>:</w:t>
      </w:r>
      <w:r w:rsidR="007B5B40" w:rsidRPr="0042262A">
        <w:rPr>
          <w:lang w:val="en-US"/>
        </w:rPr>
        <w:t xml:space="preserve"> </w:t>
      </w:r>
    </w:p>
    <w:p w:rsidR="00CE5092" w:rsidRDefault="00CE5092" w:rsidP="0001711C">
      <w:pPr>
        <w:pStyle w:val="H23G"/>
        <w:ind w:right="0"/>
        <w:rPr>
          <w:lang w:val="en-US"/>
        </w:rPr>
      </w:pPr>
      <w:r>
        <w:rPr>
          <w:lang w:val="en-US"/>
        </w:rPr>
        <w:tab/>
        <w:t>(</w:t>
      </w:r>
      <w:r w:rsidR="00036782" w:rsidRPr="0042262A">
        <w:rPr>
          <w:lang w:val="en-US"/>
        </w:rPr>
        <w:t xml:space="preserve">a) </w:t>
      </w:r>
      <w:r>
        <w:rPr>
          <w:lang w:val="en-US"/>
        </w:rPr>
        <w:tab/>
      </w:r>
      <w:r w:rsidR="00036782" w:rsidRPr="00CE5092">
        <w:t>Loading</w:t>
      </w:r>
      <w:r w:rsidR="00036782" w:rsidRPr="0042262A">
        <w:rPr>
          <w:lang w:val="en-US"/>
        </w:rPr>
        <w:t xml:space="preserve">: </w:t>
      </w:r>
    </w:p>
    <w:p w:rsidR="00663AA3" w:rsidRPr="0042262A" w:rsidRDefault="00663AA3" w:rsidP="0001711C">
      <w:pPr>
        <w:pStyle w:val="SingleTxtG"/>
        <w:tabs>
          <w:tab w:val="left" w:pos="1701"/>
        </w:tabs>
        <w:suppressAutoHyphens/>
        <w:ind w:right="0"/>
        <w:rPr>
          <w:lang w:val="en-US"/>
        </w:rPr>
      </w:pPr>
      <w:r w:rsidRPr="0042262A">
        <w:rPr>
          <w:lang w:val="en-US"/>
        </w:rPr>
        <w:t xml:space="preserve">The markings </w:t>
      </w:r>
      <w:r w:rsidR="00F4052E" w:rsidRPr="0042262A">
        <w:rPr>
          <w:lang w:val="en-US"/>
        </w:rPr>
        <w:t xml:space="preserve">of each compartment </w:t>
      </w:r>
      <w:r w:rsidRPr="0042262A">
        <w:rPr>
          <w:lang w:val="en-US"/>
        </w:rPr>
        <w:t xml:space="preserve">in itself may be insufficient </w:t>
      </w:r>
      <w:r w:rsidR="00F4052E" w:rsidRPr="0042262A">
        <w:rPr>
          <w:lang w:val="en-US"/>
        </w:rPr>
        <w:t xml:space="preserve">for loading </w:t>
      </w:r>
      <w:r w:rsidRPr="0042262A">
        <w:rPr>
          <w:lang w:val="en-US"/>
        </w:rPr>
        <w:t xml:space="preserve">because the place of the compartment is not </w:t>
      </w:r>
      <w:r w:rsidR="00F4052E" w:rsidRPr="0042262A">
        <w:rPr>
          <w:lang w:val="en-US"/>
        </w:rPr>
        <w:t xml:space="preserve">clear </w:t>
      </w:r>
      <w:r w:rsidRPr="0042262A">
        <w:rPr>
          <w:lang w:val="en-US"/>
        </w:rPr>
        <w:t>and the size</w:t>
      </w:r>
      <w:r w:rsidR="00F4052E" w:rsidRPr="0042262A">
        <w:rPr>
          <w:lang w:val="en-US"/>
        </w:rPr>
        <w:t xml:space="preserve"> of the compartment to fit</w:t>
      </w:r>
      <w:r w:rsidRPr="0042262A">
        <w:rPr>
          <w:lang w:val="en-US"/>
        </w:rPr>
        <w:t xml:space="preserve"> the load </w:t>
      </w:r>
      <w:r w:rsidR="00F4052E" w:rsidRPr="0042262A">
        <w:rPr>
          <w:lang w:val="en-US"/>
        </w:rPr>
        <w:t xml:space="preserve">is not known. Additional information is needed to any marking. </w:t>
      </w:r>
      <w:r w:rsidRPr="0042262A">
        <w:rPr>
          <w:lang w:val="en-US"/>
        </w:rPr>
        <w:t>For selection on a rental lot there may be an advantage to pick-out an MTMC equipment</w:t>
      </w:r>
      <w:r w:rsidR="00F4052E" w:rsidRPr="0042262A">
        <w:rPr>
          <w:lang w:val="en-US"/>
        </w:rPr>
        <w:t xml:space="preserve"> but does this justify the costs?</w:t>
      </w:r>
    </w:p>
    <w:p w:rsidR="00CE5092" w:rsidRDefault="00CE5092" w:rsidP="0001711C">
      <w:pPr>
        <w:pStyle w:val="H23G"/>
        <w:ind w:right="0"/>
        <w:rPr>
          <w:lang w:val="en-US"/>
        </w:rPr>
      </w:pPr>
      <w:r>
        <w:rPr>
          <w:lang w:val="en-US"/>
        </w:rPr>
        <w:lastRenderedPageBreak/>
        <w:tab/>
        <w:t xml:space="preserve">(b) </w:t>
      </w:r>
      <w:r>
        <w:rPr>
          <w:lang w:val="en-US"/>
        </w:rPr>
        <w:tab/>
      </w:r>
      <w:r w:rsidRPr="00CE5092">
        <w:t>Testing</w:t>
      </w:r>
      <w:r>
        <w:rPr>
          <w:lang w:val="en-US"/>
        </w:rPr>
        <w:t>:</w:t>
      </w:r>
    </w:p>
    <w:p w:rsidR="00F4052E" w:rsidRPr="0042262A" w:rsidRDefault="00007F6C" w:rsidP="0001711C">
      <w:pPr>
        <w:pStyle w:val="SingleTxtG"/>
        <w:tabs>
          <w:tab w:val="left" w:pos="1701"/>
        </w:tabs>
        <w:suppressAutoHyphens/>
        <w:ind w:right="0"/>
        <w:rPr>
          <w:lang w:val="en-US"/>
        </w:rPr>
      </w:pPr>
      <w:r w:rsidRPr="0042262A">
        <w:rPr>
          <w:lang w:val="en-US"/>
        </w:rPr>
        <w:t>For testing there seems to be no additional value</w:t>
      </w:r>
      <w:r w:rsidR="00F4052E" w:rsidRPr="0042262A">
        <w:rPr>
          <w:lang w:val="en-US"/>
        </w:rPr>
        <w:t>, the ATP certificate or type-approval documentation or other information will be used</w:t>
      </w:r>
      <w:r w:rsidRPr="0042262A">
        <w:rPr>
          <w:lang w:val="en-US"/>
        </w:rPr>
        <w:t>.</w:t>
      </w:r>
      <w:r w:rsidR="00964661" w:rsidRPr="0042262A">
        <w:rPr>
          <w:lang w:val="en-US"/>
        </w:rPr>
        <w:t xml:space="preserve"> Additional marking seems to offer no benefit. </w:t>
      </w:r>
    </w:p>
    <w:p w:rsidR="00CE5092" w:rsidRDefault="00CE5092" w:rsidP="0001711C">
      <w:pPr>
        <w:pStyle w:val="H23G"/>
        <w:ind w:right="0"/>
        <w:rPr>
          <w:lang w:val="en-US"/>
        </w:rPr>
      </w:pPr>
      <w:r>
        <w:rPr>
          <w:lang w:val="en-US"/>
        </w:rPr>
        <w:tab/>
        <w:t>(</w:t>
      </w:r>
      <w:r w:rsidR="00964661" w:rsidRPr="0042262A">
        <w:rPr>
          <w:lang w:val="en-US"/>
        </w:rPr>
        <w:t xml:space="preserve">c) </w:t>
      </w:r>
      <w:r>
        <w:rPr>
          <w:lang w:val="en-US"/>
        </w:rPr>
        <w:tab/>
      </w:r>
      <w:r w:rsidR="009E1D33" w:rsidRPr="0042262A">
        <w:rPr>
          <w:lang w:val="en-US"/>
        </w:rPr>
        <w:t xml:space="preserve">For </w:t>
      </w:r>
      <w:r w:rsidR="009E1D33" w:rsidRPr="00CE5092">
        <w:t>priority</w:t>
      </w:r>
      <w:r w:rsidR="00964661" w:rsidRPr="0042262A">
        <w:rPr>
          <w:lang w:val="en-US"/>
        </w:rPr>
        <w:t xml:space="preserve">: </w:t>
      </w:r>
    </w:p>
    <w:p w:rsidR="00CE5092" w:rsidRDefault="009E1D33" w:rsidP="0001711C">
      <w:pPr>
        <w:pStyle w:val="SingleTxtG"/>
        <w:tabs>
          <w:tab w:val="left" w:pos="1701"/>
        </w:tabs>
        <w:suppressAutoHyphens/>
        <w:ind w:right="0"/>
        <w:rPr>
          <w:lang w:val="en-US"/>
        </w:rPr>
      </w:pPr>
      <w:r w:rsidRPr="0042262A">
        <w:rPr>
          <w:lang w:val="en-US"/>
        </w:rPr>
        <w:t xml:space="preserve">MTMC will not </w:t>
      </w:r>
      <w:r w:rsidR="00964661" w:rsidRPr="0042262A">
        <w:rPr>
          <w:lang w:val="en-US"/>
        </w:rPr>
        <w:t xml:space="preserve">behave differently for maintaining temperature than </w:t>
      </w:r>
      <w:r w:rsidRPr="0042262A">
        <w:rPr>
          <w:lang w:val="en-US"/>
        </w:rPr>
        <w:t xml:space="preserve">normal </w:t>
      </w:r>
      <w:r w:rsidR="0001711C">
        <w:rPr>
          <w:lang w:val="en-US"/>
        </w:rPr>
        <w:t>"</w:t>
      </w:r>
      <w:r w:rsidRPr="0042262A">
        <w:rPr>
          <w:lang w:val="en-US"/>
        </w:rPr>
        <w:t>mono</w:t>
      </w:r>
      <w:r w:rsidR="0001711C">
        <w:rPr>
          <w:lang w:val="en-US"/>
        </w:rPr>
        <w:t>"</w:t>
      </w:r>
      <w:r w:rsidRPr="0042262A">
        <w:rPr>
          <w:lang w:val="en-US"/>
        </w:rPr>
        <w:t xml:space="preserve"> tempera</w:t>
      </w:r>
      <w:r w:rsidR="00964661" w:rsidRPr="0042262A">
        <w:rPr>
          <w:lang w:val="en-US"/>
        </w:rPr>
        <w:t xml:space="preserve">ture equipment, so no advantage </w:t>
      </w:r>
      <w:r w:rsidR="00F761A8">
        <w:rPr>
          <w:lang w:val="en-US"/>
        </w:rPr>
        <w:t>for</w:t>
      </w:r>
      <w:r w:rsidR="00964661" w:rsidRPr="0042262A">
        <w:rPr>
          <w:lang w:val="en-US"/>
        </w:rPr>
        <w:t xml:space="preserve"> additional marking.</w:t>
      </w:r>
    </w:p>
    <w:p w:rsidR="00CE5092" w:rsidRDefault="00CE5092" w:rsidP="0001711C">
      <w:pPr>
        <w:pStyle w:val="H23G"/>
        <w:ind w:right="0"/>
        <w:rPr>
          <w:lang w:val="en-US"/>
        </w:rPr>
      </w:pPr>
      <w:r>
        <w:rPr>
          <w:lang w:val="en-US"/>
        </w:rPr>
        <w:tab/>
        <w:t>(</w:t>
      </w:r>
      <w:r w:rsidR="00964661" w:rsidRPr="0042262A">
        <w:rPr>
          <w:lang w:val="en-US"/>
        </w:rPr>
        <w:t xml:space="preserve">d) </w:t>
      </w:r>
      <w:r>
        <w:rPr>
          <w:lang w:val="en-US"/>
        </w:rPr>
        <w:tab/>
        <w:t>F</w:t>
      </w:r>
      <w:r w:rsidR="00964661" w:rsidRPr="0042262A">
        <w:rPr>
          <w:lang w:val="en-US"/>
        </w:rPr>
        <w:t xml:space="preserve">or roadside checks: </w:t>
      </w:r>
    </w:p>
    <w:p w:rsidR="004B685C" w:rsidRDefault="00964661" w:rsidP="0001711C">
      <w:pPr>
        <w:pStyle w:val="SingleTxtG"/>
        <w:tabs>
          <w:tab w:val="left" w:pos="1701"/>
        </w:tabs>
        <w:suppressAutoHyphens/>
        <w:ind w:right="0"/>
        <w:rPr>
          <w:lang w:val="en-US"/>
        </w:rPr>
      </w:pPr>
      <w:r w:rsidRPr="0042262A">
        <w:rPr>
          <w:lang w:val="en-US"/>
        </w:rPr>
        <w:t>I</w:t>
      </w:r>
      <w:r w:rsidR="006C5975" w:rsidRPr="0042262A">
        <w:rPr>
          <w:lang w:val="en-US"/>
        </w:rPr>
        <w:t>t is not recommended to open doors during a road side check</w:t>
      </w:r>
      <w:r w:rsidRPr="0042262A">
        <w:rPr>
          <w:lang w:val="en-US"/>
        </w:rPr>
        <w:t xml:space="preserve">. It may be </w:t>
      </w:r>
      <w:r w:rsidR="003F6D38" w:rsidRPr="0042262A">
        <w:rPr>
          <w:lang w:val="en-US"/>
        </w:rPr>
        <w:t>help</w:t>
      </w:r>
      <w:r w:rsidRPr="0042262A">
        <w:rPr>
          <w:lang w:val="en-US"/>
        </w:rPr>
        <w:t xml:space="preserve">ful for the control authority to recognize that </w:t>
      </w:r>
      <w:r w:rsidR="00270003" w:rsidRPr="0042262A">
        <w:rPr>
          <w:lang w:val="en-US"/>
        </w:rPr>
        <w:t xml:space="preserve">foodstuffs requiring different temperature setting can be carried in one insulated body. </w:t>
      </w:r>
      <w:r w:rsidR="003F6D38" w:rsidRPr="0042262A">
        <w:rPr>
          <w:lang w:val="en-US"/>
        </w:rPr>
        <w:t>A</w:t>
      </w:r>
      <w:r w:rsidR="00270003" w:rsidRPr="0042262A">
        <w:rPr>
          <w:lang w:val="en-US"/>
        </w:rPr>
        <w:t xml:space="preserve"> simple </w:t>
      </w:r>
      <w:r w:rsidR="0001711C">
        <w:rPr>
          <w:lang w:val="en-US"/>
        </w:rPr>
        <w:t>"</w:t>
      </w:r>
      <w:r w:rsidR="00270003" w:rsidRPr="0042262A">
        <w:rPr>
          <w:lang w:val="en-US"/>
        </w:rPr>
        <w:t>M</w:t>
      </w:r>
      <w:r w:rsidR="0001711C">
        <w:rPr>
          <w:lang w:val="en-US"/>
        </w:rPr>
        <w:t>"</w:t>
      </w:r>
      <w:r w:rsidR="00270003" w:rsidRPr="0042262A">
        <w:rPr>
          <w:lang w:val="en-US"/>
        </w:rPr>
        <w:t xml:space="preserve"> or stating of compartment classes</w:t>
      </w:r>
      <w:r w:rsidR="003F6D38" w:rsidRPr="0042262A">
        <w:rPr>
          <w:lang w:val="en-US"/>
        </w:rPr>
        <w:t xml:space="preserve"> should be sufficient</w:t>
      </w:r>
      <w:r w:rsidR="00270003" w:rsidRPr="0042262A">
        <w:rPr>
          <w:lang w:val="en-US"/>
        </w:rPr>
        <w:t xml:space="preserve">. More detailed information if partitions are movable or removable seems to be overdone. </w:t>
      </w:r>
    </w:p>
    <w:p w:rsidR="00007F6C" w:rsidRPr="0042262A" w:rsidRDefault="00090B75" w:rsidP="0001711C">
      <w:pPr>
        <w:pStyle w:val="H1G"/>
        <w:ind w:right="0"/>
      </w:pPr>
      <w:r>
        <w:tab/>
      </w:r>
      <w:r>
        <w:tab/>
      </w:r>
      <w:r w:rsidR="00007F6C" w:rsidRPr="0042262A">
        <w:t>Overcomplicating</w:t>
      </w:r>
    </w:p>
    <w:p w:rsidR="00090B75" w:rsidRDefault="00007F6C" w:rsidP="0001711C">
      <w:pPr>
        <w:pStyle w:val="SingleTxtG"/>
        <w:tabs>
          <w:tab w:val="left" w:pos="1701"/>
        </w:tabs>
        <w:suppressAutoHyphens/>
        <w:ind w:right="0"/>
        <w:rPr>
          <w:lang w:val="en-US"/>
        </w:rPr>
      </w:pPr>
      <w:r w:rsidRPr="0042262A">
        <w:rPr>
          <w:lang w:val="en-US"/>
        </w:rPr>
        <w:t xml:space="preserve">In practice MTMC are only trucks and trailers. It is possible to have a demountable body which may be seen as a container but real containers for multi-modal transport </w:t>
      </w:r>
      <w:r w:rsidR="003F6D38" w:rsidRPr="0042262A">
        <w:rPr>
          <w:lang w:val="en-US"/>
        </w:rPr>
        <w:t xml:space="preserve">or railway wagons </w:t>
      </w:r>
      <w:r w:rsidRPr="0042262A">
        <w:rPr>
          <w:lang w:val="en-US"/>
        </w:rPr>
        <w:t xml:space="preserve">are not expected to </w:t>
      </w:r>
      <w:r w:rsidR="00667932" w:rsidRPr="0042262A">
        <w:rPr>
          <w:lang w:val="en-US"/>
        </w:rPr>
        <w:t>be MTMC’s</w:t>
      </w:r>
      <w:r w:rsidRPr="0042262A">
        <w:rPr>
          <w:lang w:val="en-US"/>
        </w:rPr>
        <w:t xml:space="preserve">. </w:t>
      </w:r>
      <w:r w:rsidR="00667932" w:rsidRPr="0042262A">
        <w:rPr>
          <w:lang w:val="en-US"/>
        </w:rPr>
        <w:t>If necessary additional or alternative marking</w:t>
      </w:r>
      <w:r w:rsidR="00CC78D8" w:rsidRPr="0042262A">
        <w:rPr>
          <w:lang w:val="en-US"/>
        </w:rPr>
        <w:t>s</w:t>
      </w:r>
      <w:r w:rsidR="00667932" w:rsidRPr="0042262A">
        <w:rPr>
          <w:lang w:val="en-US"/>
        </w:rPr>
        <w:t xml:space="preserve"> may be limited </w:t>
      </w:r>
      <w:r w:rsidRPr="0042262A">
        <w:rPr>
          <w:lang w:val="en-US"/>
        </w:rPr>
        <w:t>to road veh</w:t>
      </w:r>
      <w:r w:rsidR="007E622A" w:rsidRPr="0042262A">
        <w:rPr>
          <w:lang w:val="en-US"/>
        </w:rPr>
        <w:t>i</w:t>
      </w:r>
      <w:r w:rsidRPr="0042262A">
        <w:rPr>
          <w:lang w:val="en-US"/>
        </w:rPr>
        <w:t>cles</w:t>
      </w:r>
      <w:r w:rsidR="00667932" w:rsidRPr="0042262A">
        <w:rPr>
          <w:lang w:val="en-US"/>
        </w:rPr>
        <w:t xml:space="preserve"> that have a clear front-side simplifying </w:t>
      </w:r>
      <w:r w:rsidR="007E622A" w:rsidRPr="0042262A">
        <w:rPr>
          <w:lang w:val="en-US"/>
        </w:rPr>
        <w:t xml:space="preserve">the </w:t>
      </w:r>
      <w:r w:rsidR="00CC78D8" w:rsidRPr="0042262A">
        <w:rPr>
          <w:lang w:val="en-US"/>
        </w:rPr>
        <w:t xml:space="preserve">possible </w:t>
      </w:r>
      <w:r w:rsidR="007E622A" w:rsidRPr="0042262A">
        <w:rPr>
          <w:lang w:val="en-US"/>
        </w:rPr>
        <w:t>position of the compartments inside the insulated body.</w:t>
      </w:r>
    </w:p>
    <w:p w:rsidR="004E2CA8" w:rsidRPr="0042262A" w:rsidRDefault="007E622A" w:rsidP="0001711C">
      <w:pPr>
        <w:pStyle w:val="SingleTxtG"/>
        <w:tabs>
          <w:tab w:val="left" w:pos="1701"/>
        </w:tabs>
        <w:suppressAutoHyphens/>
        <w:ind w:right="0"/>
        <w:rPr>
          <w:lang w:val="en-US"/>
        </w:rPr>
      </w:pPr>
      <w:r w:rsidRPr="0042262A">
        <w:rPr>
          <w:lang w:val="en-US"/>
        </w:rPr>
        <w:t>Also the number of compartments seems</w:t>
      </w:r>
      <w:r w:rsidR="007F4CF3" w:rsidRPr="0042262A">
        <w:rPr>
          <w:lang w:val="en-US"/>
        </w:rPr>
        <w:t xml:space="preserve"> to be limited in practice to 3</w:t>
      </w:r>
      <w:r w:rsidR="0003071F" w:rsidRPr="0042262A">
        <w:rPr>
          <w:lang w:val="en-US"/>
        </w:rPr>
        <w:t xml:space="preserve"> and not </w:t>
      </w:r>
      <w:r w:rsidR="00667932" w:rsidRPr="0042262A">
        <w:rPr>
          <w:lang w:val="en-US"/>
        </w:rPr>
        <w:t xml:space="preserve">up to </w:t>
      </w:r>
      <w:r w:rsidR="0003071F" w:rsidRPr="0042262A">
        <w:rPr>
          <w:lang w:val="en-US"/>
        </w:rPr>
        <w:t>8</w:t>
      </w:r>
      <w:r w:rsidR="00CC78D8" w:rsidRPr="0042262A">
        <w:rPr>
          <w:lang w:val="en-US"/>
        </w:rPr>
        <w:t xml:space="preserve"> as </w:t>
      </w:r>
      <w:r w:rsidR="003548E7" w:rsidRPr="0042262A">
        <w:rPr>
          <w:lang w:val="en-US"/>
        </w:rPr>
        <w:t>sometimes mentioned in discussions</w:t>
      </w:r>
      <w:r w:rsidRPr="0042262A">
        <w:rPr>
          <w:lang w:val="en-US"/>
        </w:rPr>
        <w:t xml:space="preserve">. </w:t>
      </w:r>
      <w:r w:rsidR="007F4CF3" w:rsidRPr="0042262A">
        <w:rPr>
          <w:lang w:val="en-US"/>
        </w:rPr>
        <w:t xml:space="preserve">This </w:t>
      </w:r>
      <w:r w:rsidR="003548E7" w:rsidRPr="0042262A">
        <w:rPr>
          <w:lang w:val="en-US"/>
        </w:rPr>
        <w:t xml:space="preserve">will restrict the </w:t>
      </w:r>
      <w:r w:rsidR="00CC78D8" w:rsidRPr="0042262A">
        <w:rPr>
          <w:lang w:val="en-US"/>
        </w:rPr>
        <w:t xml:space="preserve">number of alternative </w:t>
      </w:r>
      <w:r w:rsidR="007F4CF3" w:rsidRPr="0042262A">
        <w:rPr>
          <w:lang w:val="en-US"/>
        </w:rPr>
        <w:t>markings</w:t>
      </w:r>
      <w:r w:rsidR="00CC78D8" w:rsidRPr="0042262A">
        <w:rPr>
          <w:lang w:val="en-US"/>
        </w:rPr>
        <w:t xml:space="preserve"> </w:t>
      </w:r>
      <w:r w:rsidR="003548E7" w:rsidRPr="0042262A">
        <w:rPr>
          <w:lang w:val="en-US"/>
        </w:rPr>
        <w:t>to a workable number</w:t>
      </w:r>
      <w:r w:rsidR="009D3104" w:rsidRPr="0042262A">
        <w:rPr>
          <w:lang w:val="en-US"/>
        </w:rPr>
        <w:t xml:space="preserve">. </w:t>
      </w:r>
      <w:r w:rsidR="001B1FA7">
        <w:rPr>
          <w:lang w:val="en-US"/>
        </w:rPr>
        <w:t>R</w:t>
      </w:r>
      <w:r w:rsidR="009D3104" w:rsidRPr="0042262A">
        <w:rPr>
          <w:lang w:val="en-US"/>
        </w:rPr>
        <w:t xml:space="preserve">egulation shall not be design restrictive so a </w:t>
      </w:r>
      <w:r w:rsidR="001B1FA7">
        <w:rPr>
          <w:lang w:val="en-US"/>
        </w:rPr>
        <w:t xml:space="preserve">workable </w:t>
      </w:r>
      <w:r w:rsidR="009D3104" w:rsidRPr="0042262A">
        <w:rPr>
          <w:lang w:val="en-US"/>
        </w:rPr>
        <w:t xml:space="preserve">solution needs to be given in case </w:t>
      </w:r>
      <w:r w:rsidR="00CC78D8" w:rsidRPr="0042262A">
        <w:rPr>
          <w:lang w:val="en-US"/>
        </w:rPr>
        <w:t xml:space="preserve">there are </w:t>
      </w:r>
      <w:r w:rsidR="009D3104" w:rsidRPr="0042262A">
        <w:rPr>
          <w:lang w:val="en-US"/>
        </w:rPr>
        <w:t>more than 3 compartments.</w:t>
      </w:r>
    </w:p>
    <w:p w:rsidR="009D3104" w:rsidRPr="0042262A" w:rsidRDefault="009D3104" w:rsidP="0001711C">
      <w:pPr>
        <w:pStyle w:val="SingleTxtG"/>
        <w:tabs>
          <w:tab w:val="left" w:pos="1701"/>
        </w:tabs>
        <w:suppressAutoHyphens/>
        <w:ind w:right="0"/>
        <w:rPr>
          <w:lang w:val="en-US"/>
        </w:rPr>
      </w:pPr>
      <w:r w:rsidRPr="0042262A">
        <w:rPr>
          <w:lang w:val="en-US"/>
        </w:rPr>
        <w:t xml:space="preserve">It </w:t>
      </w:r>
      <w:r w:rsidR="007B7CE8" w:rsidRPr="0042262A">
        <w:rPr>
          <w:lang w:val="en-US"/>
        </w:rPr>
        <w:t>i</w:t>
      </w:r>
      <w:r w:rsidRPr="0042262A">
        <w:rPr>
          <w:lang w:val="en-US"/>
        </w:rPr>
        <w:t>s</w:t>
      </w:r>
      <w:r w:rsidR="007B7CE8" w:rsidRPr="0042262A">
        <w:rPr>
          <w:lang w:val="en-US"/>
        </w:rPr>
        <w:t xml:space="preserve"> questionable i</w:t>
      </w:r>
      <w:r w:rsidRPr="0042262A">
        <w:rPr>
          <w:lang w:val="en-US"/>
        </w:rPr>
        <w:t xml:space="preserve">f giving </w:t>
      </w:r>
      <w:r w:rsidR="004E2CA8" w:rsidRPr="0042262A">
        <w:rPr>
          <w:lang w:val="en-US"/>
        </w:rPr>
        <w:t xml:space="preserve">alternative markings </w:t>
      </w:r>
      <w:r w:rsidR="007B7CE8" w:rsidRPr="0042262A">
        <w:rPr>
          <w:lang w:val="en-US"/>
        </w:rPr>
        <w:t xml:space="preserve">between parenthesis of square hooks </w:t>
      </w:r>
      <w:r w:rsidR="004E2CA8" w:rsidRPr="0042262A">
        <w:rPr>
          <w:lang w:val="en-US"/>
        </w:rPr>
        <w:t xml:space="preserve">indicating that </w:t>
      </w:r>
      <w:r w:rsidRPr="0042262A">
        <w:rPr>
          <w:lang w:val="en-US"/>
        </w:rPr>
        <w:t>compartments wall</w:t>
      </w:r>
      <w:r w:rsidR="004E2CA8" w:rsidRPr="0042262A">
        <w:rPr>
          <w:lang w:val="en-US"/>
        </w:rPr>
        <w:t>s</w:t>
      </w:r>
      <w:r w:rsidRPr="0042262A">
        <w:rPr>
          <w:lang w:val="en-US"/>
        </w:rPr>
        <w:t xml:space="preserve"> are fixed, movable</w:t>
      </w:r>
      <w:r w:rsidR="003548E7" w:rsidRPr="0042262A">
        <w:rPr>
          <w:lang w:val="en-US"/>
        </w:rPr>
        <w:t>,</w:t>
      </w:r>
      <w:r w:rsidRPr="0042262A">
        <w:rPr>
          <w:lang w:val="en-US"/>
        </w:rPr>
        <w:t xml:space="preserve"> removable </w:t>
      </w:r>
      <w:r w:rsidR="003548E7" w:rsidRPr="0042262A">
        <w:rPr>
          <w:lang w:val="en-US"/>
        </w:rPr>
        <w:t xml:space="preserve">or even deflatable </w:t>
      </w:r>
      <w:r w:rsidRPr="0042262A">
        <w:rPr>
          <w:lang w:val="en-US"/>
        </w:rPr>
        <w:t xml:space="preserve">is </w:t>
      </w:r>
      <w:r w:rsidR="007B7CE8" w:rsidRPr="0042262A">
        <w:rPr>
          <w:lang w:val="en-US"/>
        </w:rPr>
        <w:t xml:space="preserve">useful for </w:t>
      </w:r>
      <w:r w:rsidR="004E2CA8" w:rsidRPr="0042262A">
        <w:rPr>
          <w:lang w:val="en-US"/>
        </w:rPr>
        <w:t>users or control authority or just adding to confusion</w:t>
      </w:r>
      <w:r w:rsidRPr="0042262A">
        <w:rPr>
          <w:lang w:val="en-US"/>
        </w:rPr>
        <w:t>.</w:t>
      </w:r>
      <w:r w:rsidR="004E2CA8" w:rsidRPr="0042262A">
        <w:rPr>
          <w:lang w:val="en-US"/>
        </w:rPr>
        <w:t xml:space="preserve"> </w:t>
      </w:r>
      <w:r w:rsidR="006D1E2A" w:rsidRPr="0042262A">
        <w:rPr>
          <w:lang w:val="en-US"/>
        </w:rPr>
        <w:t>This detailed information should be given elsewhere, k</w:t>
      </w:r>
      <w:r w:rsidR="004E2CA8" w:rsidRPr="0042262A">
        <w:rPr>
          <w:lang w:val="en-US"/>
        </w:rPr>
        <w:t xml:space="preserve">eep </w:t>
      </w:r>
      <w:r w:rsidR="006D1E2A" w:rsidRPr="0042262A">
        <w:rPr>
          <w:lang w:val="en-US"/>
        </w:rPr>
        <w:t>the marking simple</w:t>
      </w:r>
      <w:r w:rsidR="004E1FF8">
        <w:rPr>
          <w:lang w:val="en-US"/>
        </w:rPr>
        <w:t>.</w:t>
      </w:r>
    </w:p>
    <w:p w:rsidR="009D3104" w:rsidRPr="0042262A" w:rsidRDefault="00090B75" w:rsidP="0001711C">
      <w:pPr>
        <w:pStyle w:val="H1G"/>
        <w:ind w:right="0"/>
      </w:pPr>
      <w:r>
        <w:tab/>
      </w:r>
      <w:r>
        <w:tab/>
      </w:r>
      <w:r w:rsidR="009D3104" w:rsidRPr="0042262A">
        <w:t>Which marking.</w:t>
      </w:r>
    </w:p>
    <w:p w:rsidR="008B2D57" w:rsidRPr="0042262A" w:rsidRDefault="002D7ADE" w:rsidP="0001711C">
      <w:pPr>
        <w:pStyle w:val="SingleTxtG"/>
        <w:tabs>
          <w:tab w:val="left" w:pos="1701"/>
        </w:tabs>
        <w:suppressAutoHyphens/>
        <w:ind w:right="0"/>
        <w:rPr>
          <w:lang w:val="en-US"/>
        </w:rPr>
      </w:pPr>
      <w:r w:rsidRPr="0042262A">
        <w:rPr>
          <w:lang w:val="en-US"/>
        </w:rPr>
        <w:t xml:space="preserve">Over the years all options for marking have </w:t>
      </w:r>
      <w:r w:rsidR="006D1E2A" w:rsidRPr="0042262A">
        <w:rPr>
          <w:lang w:val="en-US"/>
        </w:rPr>
        <w:t>passed the review</w:t>
      </w:r>
      <w:r w:rsidR="00F761A8">
        <w:rPr>
          <w:lang w:val="en-US"/>
        </w:rPr>
        <w:t xml:space="preserve"> in WP.11</w:t>
      </w:r>
      <w:r w:rsidRPr="0042262A">
        <w:rPr>
          <w:lang w:val="en-US"/>
        </w:rPr>
        <w:t>, from having no additional markings to marking of up to 6 or 7 compartments</w:t>
      </w:r>
      <w:r w:rsidR="00786AF2" w:rsidRPr="0042262A">
        <w:rPr>
          <w:lang w:val="en-US"/>
        </w:rPr>
        <w:t xml:space="preserve">, some </w:t>
      </w:r>
      <w:r w:rsidRPr="0042262A">
        <w:rPr>
          <w:lang w:val="en-US"/>
        </w:rPr>
        <w:t>in par</w:t>
      </w:r>
      <w:r w:rsidR="006D1E2A" w:rsidRPr="0042262A">
        <w:rPr>
          <w:lang w:val="en-US"/>
        </w:rPr>
        <w:t>en</w:t>
      </w:r>
      <w:r w:rsidRPr="0042262A">
        <w:rPr>
          <w:lang w:val="en-US"/>
        </w:rPr>
        <w:t>t</w:t>
      </w:r>
      <w:r w:rsidR="006D1E2A" w:rsidRPr="0042262A">
        <w:rPr>
          <w:lang w:val="en-US"/>
        </w:rPr>
        <w:t xml:space="preserve">hesis </w:t>
      </w:r>
      <w:r w:rsidR="00786AF2" w:rsidRPr="0042262A">
        <w:rPr>
          <w:lang w:val="en-US"/>
        </w:rPr>
        <w:t xml:space="preserve">or square brackets </w:t>
      </w:r>
      <w:r w:rsidR="003E5DD7" w:rsidRPr="0042262A">
        <w:rPr>
          <w:lang w:val="en-US"/>
        </w:rPr>
        <w:t>i</w:t>
      </w:r>
      <w:r w:rsidRPr="0042262A">
        <w:rPr>
          <w:lang w:val="en-US"/>
        </w:rPr>
        <w:t>f</w:t>
      </w:r>
      <w:r w:rsidR="003E5DD7" w:rsidRPr="0042262A">
        <w:rPr>
          <w:lang w:val="en-US"/>
        </w:rPr>
        <w:t xml:space="preserve"> </w:t>
      </w:r>
      <w:r w:rsidRPr="0042262A">
        <w:rPr>
          <w:lang w:val="en-US"/>
        </w:rPr>
        <w:t xml:space="preserve">walls are movable or removable. </w:t>
      </w:r>
    </w:p>
    <w:p w:rsidR="00090B75" w:rsidRDefault="006D1E2A" w:rsidP="0001711C">
      <w:pPr>
        <w:pStyle w:val="SingleTxtG"/>
        <w:tabs>
          <w:tab w:val="left" w:pos="1701"/>
        </w:tabs>
        <w:suppressAutoHyphens/>
        <w:ind w:right="0"/>
        <w:rPr>
          <w:lang w:val="en-US"/>
        </w:rPr>
      </w:pPr>
      <w:r w:rsidRPr="0042262A">
        <w:rPr>
          <w:lang w:val="en-US"/>
        </w:rPr>
        <w:t xml:space="preserve">In in earlier WP.11 sessions the wish to have </w:t>
      </w:r>
      <w:r w:rsidR="008B2D57" w:rsidRPr="0042262A">
        <w:rPr>
          <w:lang w:val="en-US"/>
        </w:rPr>
        <w:t xml:space="preserve">at least some </w:t>
      </w:r>
      <w:r w:rsidRPr="0042262A">
        <w:rPr>
          <w:lang w:val="en-US"/>
        </w:rPr>
        <w:t xml:space="preserve">indication in the marking </w:t>
      </w:r>
      <w:r w:rsidR="008B2D57" w:rsidRPr="0042262A">
        <w:rPr>
          <w:lang w:val="en-US"/>
        </w:rPr>
        <w:t xml:space="preserve">that equipment is approved as MTMC was expressed. A simple </w:t>
      </w:r>
      <w:r w:rsidR="0001711C">
        <w:rPr>
          <w:lang w:val="en-US"/>
        </w:rPr>
        <w:t>"</w:t>
      </w:r>
      <w:r w:rsidR="008B2D57" w:rsidRPr="0042262A">
        <w:rPr>
          <w:lang w:val="en-US"/>
        </w:rPr>
        <w:t>M</w:t>
      </w:r>
      <w:r w:rsidR="0001711C">
        <w:rPr>
          <w:lang w:val="en-US"/>
        </w:rPr>
        <w:t>"</w:t>
      </w:r>
      <w:r w:rsidR="008B2D57" w:rsidRPr="0042262A">
        <w:rPr>
          <w:lang w:val="en-US"/>
        </w:rPr>
        <w:t xml:space="preserve"> for MTMC or a limited number of classification markings will be equally sufficient.</w:t>
      </w:r>
    </w:p>
    <w:p w:rsidR="00090B75" w:rsidRDefault="008B2D57" w:rsidP="0001711C">
      <w:pPr>
        <w:pStyle w:val="SingleTxtG"/>
        <w:tabs>
          <w:tab w:val="left" w:pos="1701"/>
        </w:tabs>
        <w:suppressAutoHyphens/>
        <w:ind w:right="0"/>
        <w:rPr>
          <w:lang w:val="en-US"/>
        </w:rPr>
      </w:pPr>
      <w:r w:rsidRPr="0042262A">
        <w:rPr>
          <w:lang w:val="en-US"/>
        </w:rPr>
        <w:t xml:space="preserve">However opinions are divided; marking of the classification of each compartment, in practice 3, or adding just the </w:t>
      </w:r>
      <w:r w:rsidR="0001711C">
        <w:rPr>
          <w:lang w:val="en-US"/>
        </w:rPr>
        <w:t>"</w:t>
      </w:r>
      <w:r w:rsidRPr="0042262A">
        <w:rPr>
          <w:lang w:val="en-US"/>
        </w:rPr>
        <w:t>M</w:t>
      </w:r>
      <w:r w:rsidR="0001711C">
        <w:rPr>
          <w:lang w:val="en-US"/>
        </w:rPr>
        <w:t>"</w:t>
      </w:r>
      <w:r w:rsidRPr="0042262A">
        <w:rPr>
          <w:lang w:val="en-US"/>
        </w:rPr>
        <w:t xml:space="preserve"> have strong following. </w:t>
      </w:r>
      <w:r w:rsidR="002D7ADE" w:rsidRPr="0042262A">
        <w:rPr>
          <w:lang w:val="en-US"/>
        </w:rPr>
        <w:t>It should also be noted that at least one contracting party already regulated nationally an</w:t>
      </w:r>
      <w:r w:rsidR="00786AF2" w:rsidRPr="0042262A">
        <w:rPr>
          <w:lang w:val="en-US"/>
        </w:rPr>
        <w:t>d that changing this will be difficult for accepting a</w:t>
      </w:r>
      <w:r w:rsidR="00CB5BFB" w:rsidRPr="0042262A">
        <w:rPr>
          <w:lang w:val="en-US"/>
        </w:rPr>
        <w:t>nother proposal in the WP.11.</w:t>
      </w:r>
    </w:p>
    <w:p w:rsidR="002D7ADE" w:rsidRPr="0042262A" w:rsidRDefault="00CB5BFB" w:rsidP="0001711C">
      <w:pPr>
        <w:pStyle w:val="SingleTxtG"/>
        <w:tabs>
          <w:tab w:val="left" w:pos="1701"/>
        </w:tabs>
        <w:suppressAutoHyphens/>
        <w:ind w:right="0"/>
        <w:rPr>
          <w:lang w:val="en-US"/>
        </w:rPr>
      </w:pPr>
      <w:r w:rsidRPr="0042262A">
        <w:rPr>
          <w:lang w:val="en-US"/>
        </w:rPr>
        <w:t>For these reasons a compromise could be the most suitable for acceptance.</w:t>
      </w:r>
    </w:p>
    <w:p w:rsidR="00327204" w:rsidRPr="0042262A" w:rsidRDefault="00090B75" w:rsidP="0001711C">
      <w:pPr>
        <w:pStyle w:val="H1G"/>
        <w:ind w:right="0"/>
      </w:pPr>
      <w:r>
        <w:lastRenderedPageBreak/>
        <w:tab/>
      </w:r>
      <w:r>
        <w:tab/>
      </w:r>
      <w:r w:rsidR="00327204" w:rsidRPr="0042262A">
        <w:t>Proposal:</w:t>
      </w:r>
    </w:p>
    <w:p w:rsidR="0070614E" w:rsidRPr="0042262A" w:rsidRDefault="0070614E" w:rsidP="0001711C">
      <w:pPr>
        <w:pStyle w:val="SingleTxtG"/>
        <w:tabs>
          <w:tab w:val="left" w:pos="1701"/>
        </w:tabs>
        <w:suppressAutoHyphens/>
        <w:ind w:right="0"/>
        <w:rPr>
          <w:lang w:val="en-US"/>
        </w:rPr>
      </w:pPr>
      <w:r w:rsidRPr="0042262A">
        <w:rPr>
          <w:lang w:val="en-US"/>
        </w:rPr>
        <w:t xml:space="preserve">Introduce </w:t>
      </w:r>
      <w:r w:rsidR="0045696B" w:rsidRPr="0042262A">
        <w:rPr>
          <w:lang w:val="en-US"/>
        </w:rPr>
        <w:t xml:space="preserve">new wording </w:t>
      </w:r>
      <w:r w:rsidRPr="0042262A">
        <w:rPr>
          <w:lang w:val="en-US"/>
        </w:rPr>
        <w:t>after the classification examples in Annex 1 Appendix 4 to read:</w:t>
      </w:r>
    </w:p>
    <w:p w:rsidR="00090B75" w:rsidRDefault="00595EF9" w:rsidP="0001711C">
      <w:pPr>
        <w:pStyle w:val="SingleTxtG"/>
        <w:tabs>
          <w:tab w:val="left" w:pos="1701"/>
        </w:tabs>
        <w:suppressAutoHyphens/>
        <w:ind w:right="0"/>
        <w:rPr>
          <w:i/>
          <w:lang w:val="en-US"/>
        </w:rPr>
      </w:pPr>
      <w:r w:rsidRPr="00090B75">
        <w:rPr>
          <w:i/>
          <w:lang w:val="en-US"/>
        </w:rPr>
        <w:t>For equipment approved as Multi compartment-multi temperature equipment (See Annex 1, Appendix 2, section 8</w:t>
      </w:r>
      <w:r w:rsidR="004F281A" w:rsidRPr="00090B75">
        <w:rPr>
          <w:i/>
          <w:lang w:val="en-US"/>
        </w:rPr>
        <w:t>)</w:t>
      </w:r>
      <w:r w:rsidR="00AF448C" w:rsidRPr="00090B75">
        <w:rPr>
          <w:i/>
          <w:lang w:val="en-US"/>
        </w:rPr>
        <w:t>:</w:t>
      </w:r>
    </w:p>
    <w:p w:rsidR="00090B75" w:rsidRDefault="00AF448C" w:rsidP="0001711C">
      <w:pPr>
        <w:pStyle w:val="SingleTxtG"/>
        <w:tabs>
          <w:tab w:val="left" w:pos="1701"/>
        </w:tabs>
        <w:suppressAutoHyphens/>
        <w:ind w:right="0"/>
        <w:rPr>
          <w:i/>
          <w:lang w:val="en-US"/>
        </w:rPr>
      </w:pPr>
      <w:r w:rsidRPr="00090B75">
        <w:rPr>
          <w:i/>
          <w:lang w:val="en-US"/>
        </w:rPr>
        <w:t>-</w:t>
      </w:r>
      <w:r w:rsidR="00595EF9" w:rsidRPr="00090B75">
        <w:rPr>
          <w:i/>
          <w:lang w:val="en-US"/>
        </w:rPr>
        <w:t xml:space="preserve"> the distinguishing mark shall be supplemented by the letter </w:t>
      </w:r>
      <w:r w:rsidR="0001711C">
        <w:rPr>
          <w:i/>
          <w:lang w:val="en-US"/>
        </w:rPr>
        <w:t>"</w:t>
      </w:r>
      <w:r w:rsidR="00595EF9" w:rsidRPr="00090B75">
        <w:rPr>
          <w:i/>
          <w:lang w:val="en-US"/>
        </w:rPr>
        <w:t>M</w:t>
      </w:r>
      <w:r w:rsidR="0001711C">
        <w:rPr>
          <w:i/>
          <w:lang w:val="en-US"/>
        </w:rPr>
        <w:t>"</w:t>
      </w:r>
      <w:r w:rsidR="0070614E" w:rsidRPr="00090B75">
        <w:rPr>
          <w:i/>
          <w:lang w:val="en-US"/>
        </w:rPr>
        <w:t xml:space="preserve"> or</w:t>
      </w:r>
    </w:p>
    <w:p w:rsidR="00090B75" w:rsidRDefault="00AF448C" w:rsidP="0001711C">
      <w:pPr>
        <w:pStyle w:val="SingleTxtG"/>
        <w:tabs>
          <w:tab w:val="left" w:pos="1701"/>
        </w:tabs>
        <w:suppressAutoHyphens/>
        <w:ind w:right="0"/>
        <w:rPr>
          <w:i/>
          <w:lang w:val="en-US"/>
        </w:rPr>
      </w:pPr>
      <w:r w:rsidRPr="00090B75">
        <w:rPr>
          <w:i/>
          <w:lang w:val="en-US"/>
        </w:rPr>
        <w:t>-</w:t>
      </w:r>
      <w:r w:rsidR="0070614E" w:rsidRPr="00090B75">
        <w:rPr>
          <w:i/>
          <w:lang w:val="en-US"/>
        </w:rPr>
        <w:t xml:space="preserve"> the distinguishing mark for the </w:t>
      </w:r>
      <w:r w:rsidRPr="00090B75">
        <w:rPr>
          <w:i/>
          <w:lang w:val="en-US"/>
        </w:rPr>
        <w:t xml:space="preserve">equipment </w:t>
      </w:r>
      <w:r w:rsidR="0070614E" w:rsidRPr="00090B75">
        <w:rPr>
          <w:i/>
          <w:lang w:val="en-US"/>
        </w:rPr>
        <w:t xml:space="preserve">as a whole </w:t>
      </w:r>
      <w:r w:rsidR="009F49F4" w:rsidRPr="00090B75">
        <w:rPr>
          <w:i/>
          <w:lang w:val="en-US"/>
        </w:rPr>
        <w:t xml:space="preserve">shall </w:t>
      </w:r>
      <w:r w:rsidR="0070614E" w:rsidRPr="00090B75">
        <w:rPr>
          <w:i/>
          <w:lang w:val="en-US"/>
        </w:rPr>
        <w:t xml:space="preserve">be replaced by the </w:t>
      </w:r>
      <w:r w:rsidR="0095738B" w:rsidRPr="00090B75">
        <w:rPr>
          <w:i/>
          <w:lang w:val="en-US"/>
        </w:rPr>
        <w:t xml:space="preserve">distinguishing </w:t>
      </w:r>
      <w:r w:rsidR="0070614E" w:rsidRPr="00090B75">
        <w:rPr>
          <w:i/>
          <w:lang w:val="en-US"/>
        </w:rPr>
        <w:t>marks appropriate for each compartment</w:t>
      </w:r>
      <w:r w:rsidR="00140BDC" w:rsidRPr="00090B75">
        <w:rPr>
          <w:i/>
          <w:lang w:val="en-US"/>
        </w:rPr>
        <w:t xml:space="preserve">, </w:t>
      </w:r>
    </w:p>
    <w:p w:rsidR="00AF448C" w:rsidRPr="00090B75" w:rsidRDefault="00140BDC" w:rsidP="0001711C">
      <w:pPr>
        <w:pStyle w:val="SingleTxtG"/>
        <w:tabs>
          <w:tab w:val="left" w:pos="1701"/>
        </w:tabs>
        <w:suppressAutoHyphens/>
        <w:ind w:right="0"/>
        <w:rPr>
          <w:i/>
          <w:lang w:val="en-US"/>
        </w:rPr>
      </w:pPr>
      <w:r w:rsidRPr="00090B75">
        <w:rPr>
          <w:i/>
          <w:lang w:val="en-US"/>
        </w:rPr>
        <w:t xml:space="preserve">as </w:t>
      </w:r>
      <w:r w:rsidR="00D543D9" w:rsidRPr="00090B75">
        <w:rPr>
          <w:i/>
          <w:lang w:val="en-US"/>
        </w:rPr>
        <w:t xml:space="preserve">required </w:t>
      </w:r>
      <w:r w:rsidRPr="00090B75">
        <w:rPr>
          <w:i/>
          <w:lang w:val="en-US"/>
        </w:rPr>
        <w:t>by the competent authority in which the equipment is registered or recorded.</w:t>
      </w:r>
    </w:p>
    <w:p w:rsidR="00090B75" w:rsidRDefault="0095738B" w:rsidP="0001711C">
      <w:pPr>
        <w:pStyle w:val="SingleTxtG"/>
        <w:tabs>
          <w:tab w:val="left" w:pos="1701"/>
        </w:tabs>
        <w:suppressAutoHyphens/>
        <w:ind w:right="0"/>
        <w:rPr>
          <w:i/>
          <w:lang w:val="en-US"/>
        </w:rPr>
      </w:pPr>
      <w:r w:rsidRPr="00090B75">
        <w:rPr>
          <w:i/>
          <w:lang w:val="en-US"/>
        </w:rPr>
        <w:t xml:space="preserve">Where distinguishing marks appropriate for each compartment are given the sequence of marking shall be from the </w:t>
      </w:r>
      <w:r w:rsidR="00595EF9" w:rsidRPr="00090B75">
        <w:rPr>
          <w:i/>
          <w:lang w:val="en-US"/>
        </w:rPr>
        <w:t>front compartment to the rear, in the case of longitudinal compartments starting at the front left compartment rotating clockwise (from above) and in case of upper and lower deck compartments the upper deck compartment(s) before</w:t>
      </w:r>
      <w:r w:rsidR="00D543D9" w:rsidRPr="00090B75">
        <w:rPr>
          <w:i/>
          <w:lang w:val="en-US"/>
        </w:rPr>
        <w:t xml:space="preserve"> the lower deck compartment(s).</w:t>
      </w:r>
    </w:p>
    <w:p w:rsidR="00595EF9" w:rsidRPr="00090B75" w:rsidRDefault="00F478D5" w:rsidP="0001711C">
      <w:pPr>
        <w:pStyle w:val="SingleTxtG"/>
        <w:tabs>
          <w:tab w:val="left" w:pos="1701"/>
        </w:tabs>
        <w:suppressAutoHyphens/>
        <w:ind w:right="0"/>
        <w:rPr>
          <w:i/>
          <w:lang w:val="en-US"/>
        </w:rPr>
      </w:pPr>
      <w:r w:rsidRPr="00090B75">
        <w:rPr>
          <w:i/>
          <w:lang w:val="en-US"/>
        </w:rPr>
        <w:t>[</w:t>
      </w:r>
      <w:r w:rsidR="006C015B" w:rsidRPr="00090B75">
        <w:rPr>
          <w:i/>
          <w:lang w:val="en-US"/>
        </w:rPr>
        <w:t>No additional markings are required to indicate if partitions are movable or removable.</w:t>
      </w:r>
      <w:r w:rsidRPr="00090B75">
        <w:rPr>
          <w:i/>
          <w:lang w:val="en-US"/>
        </w:rPr>
        <w:t>]</w:t>
      </w:r>
    </w:p>
    <w:p w:rsidR="003C073E" w:rsidRDefault="003C073E" w:rsidP="0001711C">
      <w:pPr>
        <w:rPr>
          <w:lang w:val="en-US"/>
        </w:rPr>
      </w:pPr>
      <w:r>
        <w:rPr>
          <w:lang w:val="en-US"/>
        </w:rPr>
        <w:br w:type="page"/>
      </w:r>
    </w:p>
    <w:p w:rsidR="00CE5092" w:rsidRDefault="003C073E" w:rsidP="0001711C">
      <w:pPr>
        <w:pStyle w:val="HChG"/>
        <w:ind w:right="0"/>
      </w:pPr>
      <w:r w:rsidRPr="00090B75">
        <w:lastRenderedPageBreak/>
        <w:t>Annex</w:t>
      </w:r>
      <w:r w:rsidRPr="0068634F">
        <w:t xml:space="preserve"> 2</w:t>
      </w:r>
    </w:p>
    <w:p w:rsidR="00824975" w:rsidRPr="0068634F" w:rsidRDefault="00CE5092" w:rsidP="0001711C">
      <w:pPr>
        <w:pStyle w:val="HChG"/>
        <w:ind w:right="0"/>
      </w:pPr>
      <w:r>
        <w:tab/>
      </w:r>
      <w:r>
        <w:tab/>
      </w:r>
      <w:r w:rsidR="003C073E" w:rsidRPr="0068634F">
        <w:t xml:space="preserve">Information on </w:t>
      </w:r>
      <w:r w:rsidR="003C073E" w:rsidRPr="00090B75">
        <w:t>MTMC’s</w:t>
      </w:r>
    </w:p>
    <w:p w:rsidR="00BA4062" w:rsidRPr="00844132" w:rsidRDefault="00090B75" w:rsidP="0001711C">
      <w:pPr>
        <w:pStyle w:val="H1G"/>
        <w:ind w:right="0"/>
      </w:pPr>
      <w:r>
        <w:tab/>
      </w:r>
      <w:r>
        <w:tab/>
      </w:r>
      <w:r w:rsidR="00BA4062" w:rsidRPr="00844132">
        <w:t>Information in general</w:t>
      </w:r>
    </w:p>
    <w:p w:rsidR="001B0299" w:rsidRDefault="00D302F0" w:rsidP="0001711C">
      <w:pPr>
        <w:pStyle w:val="SingleTxtG"/>
        <w:tabs>
          <w:tab w:val="left" w:pos="1701"/>
        </w:tabs>
        <w:suppressAutoHyphens/>
        <w:ind w:right="0"/>
        <w:rPr>
          <w:lang w:val="en-US"/>
        </w:rPr>
      </w:pPr>
      <w:r w:rsidRPr="00844132">
        <w:rPr>
          <w:lang w:val="en-US"/>
        </w:rPr>
        <w:t>During carriage m</w:t>
      </w:r>
      <w:r w:rsidR="00243802" w:rsidRPr="00844132">
        <w:rPr>
          <w:lang w:val="en-US"/>
        </w:rPr>
        <w:t xml:space="preserve">ono temp equipment </w:t>
      </w:r>
      <w:r w:rsidRPr="00844132">
        <w:rPr>
          <w:lang w:val="en-US"/>
        </w:rPr>
        <w:t xml:space="preserve">is accompanied by </w:t>
      </w:r>
      <w:r w:rsidR="00243802" w:rsidRPr="00844132">
        <w:rPr>
          <w:lang w:val="en-US"/>
        </w:rPr>
        <w:t>a</w:t>
      </w:r>
      <w:r w:rsidR="007112D5" w:rsidRPr="00844132">
        <w:rPr>
          <w:lang w:val="en-US"/>
        </w:rPr>
        <w:t>n</w:t>
      </w:r>
      <w:r w:rsidR="00243802" w:rsidRPr="00844132">
        <w:rPr>
          <w:lang w:val="en-US"/>
        </w:rPr>
        <w:t xml:space="preserve"> ATP certificate or ATP plate. As </w:t>
      </w:r>
      <w:r w:rsidR="0001330A" w:rsidRPr="00844132">
        <w:rPr>
          <w:lang w:val="en-US"/>
        </w:rPr>
        <w:t xml:space="preserve">it is not regulated in the ATP that the </w:t>
      </w:r>
      <w:r w:rsidR="00AA3887" w:rsidRPr="00844132">
        <w:rPr>
          <w:lang w:val="en-US"/>
        </w:rPr>
        <w:t xml:space="preserve">loaders or </w:t>
      </w:r>
      <w:r w:rsidR="0001330A" w:rsidRPr="00844132">
        <w:rPr>
          <w:lang w:val="en-US"/>
        </w:rPr>
        <w:t>control authorities have the right to demand the ATP certificate</w:t>
      </w:r>
      <w:r w:rsidR="00761278">
        <w:rPr>
          <w:lang w:val="en-US"/>
        </w:rPr>
        <w:t xml:space="preserve"> to be </w:t>
      </w:r>
      <w:r w:rsidR="0001330A" w:rsidRPr="00844132">
        <w:rPr>
          <w:lang w:val="en-US"/>
        </w:rPr>
        <w:t xml:space="preserve">produced during a roadside check or border crossing, the information on the ATP </w:t>
      </w:r>
      <w:r w:rsidR="00AA3887" w:rsidRPr="00844132">
        <w:rPr>
          <w:lang w:val="en-US"/>
        </w:rPr>
        <w:t>plate can be seen as sufficient.</w:t>
      </w:r>
    </w:p>
    <w:p w:rsidR="0001330A" w:rsidRPr="00844132" w:rsidRDefault="00AA3887" w:rsidP="0001711C">
      <w:pPr>
        <w:pStyle w:val="SingleTxtG"/>
        <w:tabs>
          <w:tab w:val="left" w:pos="1701"/>
        </w:tabs>
        <w:suppressAutoHyphens/>
        <w:ind w:right="0"/>
        <w:rPr>
          <w:lang w:val="en-US"/>
        </w:rPr>
      </w:pPr>
      <w:r w:rsidRPr="00844132">
        <w:rPr>
          <w:lang w:val="en-US"/>
        </w:rPr>
        <w:t xml:space="preserve">The additional information of the ATP certificate over the ATP plate </w:t>
      </w:r>
      <w:r w:rsidR="00F478D5" w:rsidRPr="00844132">
        <w:rPr>
          <w:lang w:val="en-US"/>
        </w:rPr>
        <w:t>can be seen as</w:t>
      </w:r>
      <w:r w:rsidR="0068634F" w:rsidRPr="00844132">
        <w:rPr>
          <w:lang w:val="en-US"/>
        </w:rPr>
        <w:t xml:space="preserve"> </w:t>
      </w:r>
      <w:r w:rsidRPr="00844132">
        <w:rPr>
          <w:lang w:val="en-US"/>
        </w:rPr>
        <w:t xml:space="preserve">necessary information for retesting and exchange of </w:t>
      </w:r>
      <w:r w:rsidR="00F478D5" w:rsidRPr="00844132">
        <w:rPr>
          <w:lang w:val="en-US"/>
        </w:rPr>
        <w:t xml:space="preserve">the </w:t>
      </w:r>
      <w:r w:rsidR="00296828" w:rsidRPr="00844132">
        <w:rPr>
          <w:lang w:val="en-US"/>
        </w:rPr>
        <w:t>thermal</w:t>
      </w:r>
      <w:r w:rsidRPr="00844132">
        <w:rPr>
          <w:lang w:val="en-US"/>
        </w:rPr>
        <w:t xml:space="preserve"> appliance. </w:t>
      </w:r>
    </w:p>
    <w:p w:rsidR="00BA4062" w:rsidRPr="00844132" w:rsidRDefault="00090B75" w:rsidP="0001711C">
      <w:pPr>
        <w:pStyle w:val="H1G"/>
        <w:ind w:right="0"/>
      </w:pPr>
      <w:r>
        <w:tab/>
      </w:r>
      <w:r>
        <w:tab/>
      </w:r>
      <w:r w:rsidR="00BA4062" w:rsidRPr="00844132">
        <w:t>Information requirements for MTMC’s</w:t>
      </w:r>
    </w:p>
    <w:p w:rsidR="001B0299" w:rsidRDefault="00296828" w:rsidP="0001711C">
      <w:pPr>
        <w:pStyle w:val="SingleTxtG"/>
        <w:tabs>
          <w:tab w:val="left" w:pos="1701"/>
        </w:tabs>
        <w:suppressAutoHyphens/>
        <w:ind w:right="0"/>
        <w:rPr>
          <w:lang w:val="en-US"/>
        </w:rPr>
      </w:pPr>
      <w:r w:rsidRPr="00844132">
        <w:rPr>
          <w:lang w:val="en-US"/>
        </w:rPr>
        <w:t>For MTMC equipment additional inf</w:t>
      </w:r>
      <w:r w:rsidR="004D4A4A" w:rsidRPr="00844132">
        <w:rPr>
          <w:lang w:val="en-US"/>
        </w:rPr>
        <w:t xml:space="preserve">ormation maybe necessary, the volume of the loading space and temperature settings </w:t>
      </w:r>
      <w:r w:rsidR="00FE7F8E" w:rsidRPr="00844132">
        <w:rPr>
          <w:lang w:val="en-US"/>
        </w:rPr>
        <w:t>of t</w:t>
      </w:r>
      <w:r w:rsidR="00761278">
        <w:rPr>
          <w:lang w:val="en-US"/>
        </w:rPr>
        <w:t>h</w:t>
      </w:r>
      <w:r w:rsidR="00FE7F8E" w:rsidRPr="00844132">
        <w:rPr>
          <w:lang w:val="en-US"/>
        </w:rPr>
        <w:t>e various compartments need to be known for loading.</w:t>
      </w:r>
    </w:p>
    <w:p w:rsidR="00296828" w:rsidRPr="00844132" w:rsidRDefault="004D4A4A" w:rsidP="0001711C">
      <w:pPr>
        <w:pStyle w:val="SingleTxtG"/>
        <w:tabs>
          <w:tab w:val="left" w:pos="1701"/>
        </w:tabs>
        <w:suppressAutoHyphens/>
        <w:ind w:right="0"/>
        <w:rPr>
          <w:lang w:val="en-US"/>
        </w:rPr>
      </w:pPr>
      <w:r w:rsidRPr="00844132">
        <w:rPr>
          <w:lang w:val="en-US"/>
        </w:rPr>
        <w:t>Also for MTMC’s the need for information can be split in two like for mono-temps above.</w:t>
      </w:r>
    </w:p>
    <w:p w:rsidR="004D4A4A" w:rsidRPr="00844132" w:rsidRDefault="004D4A4A" w:rsidP="0001711C">
      <w:pPr>
        <w:pStyle w:val="SingleTxtG"/>
        <w:tabs>
          <w:tab w:val="left" w:pos="1701"/>
        </w:tabs>
        <w:suppressAutoHyphens/>
        <w:ind w:right="0"/>
        <w:rPr>
          <w:lang w:val="en-US"/>
        </w:rPr>
      </w:pPr>
      <w:r w:rsidRPr="00844132">
        <w:rPr>
          <w:lang w:val="en-US"/>
        </w:rPr>
        <w:t xml:space="preserve">For use with the ATP plate only </w:t>
      </w:r>
      <w:r w:rsidR="00FE7F8E" w:rsidRPr="00844132">
        <w:rPr>
          <w:lang w:val="en-US"/>
        </w:rPr>
        <w:t>it maybe sufficient to give t</w:t>
      </w:r>
      <w:r w:rsidRPr="00844132">
        <w:rPr>
          <w:lang w:val="en-US"/>
        </w:rPr>
        <w:t xml:space="preserve">he (possible) floor space and temperature setting </w:t>
      </w:r>
      <w:r w:rsidR="00FE7F8E" w:rsidRPr="00844132">
        <w:rPr>
          <w:lang w:val="en-US"/>
        </w:rPr>
        <w:t>of the compartments while f</w:t>
      </w:r>
      <w:r w:rsidRPr="00844132">
        <w:rPr>
          <w:lang w:val="en-US"/>
        </w:rPr>
        <w:t xml:space="preserve">or the ATP certificate to facilitate the retest of exchange of thermal appliance, </w:t>
      </w:r>
      <w:r w:rsidR="00FE7F8E" w:rsidRPr="00844132">
        <w:rPr>
          <w:lang w:val="en-US"/>
        </w:rPr>
        <w:t xml:space="preserve">even </w:t>
      </w:r>
      <w:r w:rsidRPr="00844132">
        <w:rPr>
          <w:lang w:val="en-US"/>
        </w:rPr>
        <w:t xml:space="preserve">more additional information is needed in the form of specific heat requirements for each compartment in the various dimensions of movable walls and temperature settings of the </w:t>
      </w:r>
      <w:r w:rsidR="00FE7F8E" w:rsidRPr="00844132">
        <w:rPr>
          <w:lang w:val="en-US"/>
        </w:rPr>
        <w:t xml:space="preserve">compartment in relation to the temperature settings of the </w:t>
      </w:r>
      <w:r w:rsidRPr="00844132">
        <w:rPr>
          <w:lang w:val="en-US"/>
        </w:rPr>
        <w:t xml:space="preserve">other compartments. For the thermal appliance also the performance of each evaporator in co-operation with evaporators in other compartments need to be known. </w:t>
      </w:r>
    </w:p>
    <w:p w:rsidR="004D4A4A" w:rsidRPr="00844132" w:rsidRDefault="00F734B6" w:rsidP="0001711C">
      <w:pPr>
        <w:pStyle w:val="SingleTxtG"/>
        <w:tabs>
          <w:tab w:val="left" w:pos="1701"/>
        </w:tabs>
        <w:suppressAutoHyphens/>
        <w:ind w:right="0"/>
        <w:rPr>
          <w:lang w:val="en-US"/>
        </w:rPr>
      </w:pPr>
      <w:r w:rsidRPr="00844132">
        <w:rPr>
          <w:lang w:val="en-US"/>
        </w:rPr>
        <w:t>To accompany the ATP plate</w:t>
      </w:r>
      <w:r w:rsidR="00761278">
        <w:rPr>
          <w:lang w:val="en-US"/>
        </w:rPr>
        <w:t xml:space="preserve">, when fitted, </w:t>
      </w:r>
      <w:r w:rsidRPr="00844132">
        <w:rPr>
          <w:lang w:val="en-US"/>
        </w:rPr>
        <w:t xml:space="preserve">an additional plate with an overhead view of the load space and classification mark for each compartment may be </w:t>
      </w:r>
      <w:r w:rsidR="00761278">
        <w:rPr>
          <w:lang w:val="en-US"/>
        </w:rPr>
        <w:t>suitable</w:t>
      </w:r>
      <w:r w:rsidRPr="00844132">
        <w:rPr>
          <w:lang w:val="en-US"/>
        </w:rPr>
        <w:t>.</w:t>
      </w:r>
    </w:p>
    <w:p w:rsidR="00FE7F8E" w:rsidRPr="00844132" w:rsidRDefault="00CB3897" w:rsidP="0001711C">
      <w:pPr>
        <w:pStyle w:val="SingleTxtG"/>
        <w:tabs>
          <w:tab w:val="left" w:pos="1701"/>
        </w:tabs>
        <w:suppressAutoHyphens/>
        <w:ind w:right="0"/>
        <w:rPr>
          <w:lang w:val="en-US"/>
        </w:rPr>
      </w:pPr>
      <w:r w:rsidRPr="00844132">
        <w:rPr>
          <w:lang w:val="en-US"/>
        </w:rPr>
        <w:t xml:space="preserve">The ATP certificate for mono-temps is full of information as it is, it will not be easy to add the necessary information for </w:t>
      </w:r>
      <w:r w:rsidR="00FE7F8E" w:rsidRPr="00844132">
        <w:rPr>
          <w:lang w:val="en-US"/>
        </w:rPr>
        <w:t>MTMC’s</w:t>
      </w:r>
      <w:r w:rsidRPr="00844132">
        <w:rPr>
          <w:lang w:val="en-US"/>
        </w:rPr>
        <w:t xml:space="preserve">. An annex to the ATP certificate maybe </w:t>
      </w:r>
      <w:r w:rsidR="00FE7F8E" w:rsidRPr="00844132">
        <w:rPr>
          <w:lang w:val="en-US"/>
        </w:rPr>
        <w:t>the best option.</w:t>
      </w:r>
      <w:r w:rsidR="00F761A8">
        <w:rPr>
          <w:lang w:val="en-US"/>
        </w:rPr>
        <w:t xml:space="preserve"> </w:t>
      </w:r>
      <w:r w:rsidR="00BA4062" w:rsidRPr="00844132">
        <w:rPr>
          <w:lang w:val="en-US"/>
        </w:rPr>
        <w:t xml:space="preserve">This annex should have a relation to the </w:t>
      </w:r>
      <w:r w:rsidR="00761278">
        <w:rPr>
          <w:lang w:val="en-US"/>
        </w:rPr>
        <w:t xml:space="preserve">ATP </w:t>
      </w:r>
      <w:r w:rsidR="00966A05">
        <w:rPr>
          <w:lang w:val="en-US"/>
        </w:rPr>
        <w:t>certificate</w:t>
      </w:r>
      <w:r w:rsidR="00BA4062" w:rsidRPr="00844132">
        <w:rPr>
          <w:lang w:val="en-US"/>
        </w:rPr>
        <w:t xml:space="preserve"> and should also give the identical information o</w:t>
      </w:r>
      <w:r w:rsidR="00966A05">
        <w:rPr>
          <w:lang w:val="en-US"/>
        </w:rPr>
        <w:t>f the additional MTMC ATP plate and possibly additional information on heat demands in case of exchange of the thermal appliance.</w:t>
      </w:r>
    </w:p>
    <w:p w:rsidR="00FE7F8E" w:rsidRPr="00844132" w:rsidRDefault="00090B75" w:rsidP="0001711C">
      <w:pPr>
        <w:pStyle w:val="H1G"/>
        <w:ind w:right="0"/>
      </w:pPr>
      <w:r>
        <w:tab/>
      </w:r>
      <w:r>
        <w:tab/>
      </w:r>
      <w:r w:rsidR="00EE0699">
        <w:t xml:space="preserve">Suggestion </w:t>
      </w:r>
      <w:r w:rsidR="00FF1DF7" w:rsidRPr="00844132">
        <w:t>1</w:t>
      </w:r>
    </w:p>
    <w:p w:rsidR="008815B7" w:rsidRPr="00844132" w:rsidRDefault="008815B7" w:rsidP="0001711C">
      <w:pPr>
        <w:pStyle w:val="SingleTxtG"/>
        <w:tabs>
          <w:tab w:val="left" w:pos="1701"/>
        </w:tabs>
        <w:suppressAutoHyphens/>
        <w:ind w:right="0"/>
        <w:rPr>
          <w:lang w:val="en-US"/>
        </w:rPr>
      </w:pPr>
      <w:r w:rsidRPr="00844132">
        <w:rPr>
          <w:lang w:val="en-US"/>
        </w:rPr>
        <w:t>Add a new paragraph after the heading of Annex 1, Appendix 3 A. and before the transitional measure to read:</w:t>
      </w:r>
    </w:p>
    <w:p w:rsidR="008815B7" w:rsidRPr="00090B75" w:rsidRDefault="00175B24" w:rsidP="0001711C">
      <w:pPr>
        <w:pStyle w:val="SingleTxtG"/>
        <w:tabs>
          <w:tab w:val="left" w:pos="1701"/>
        </w:tabs>
        <w:suppressAutoHyphens/>
        <w:ind w:right="0"/>
        <w:rPr>
          <w:i/>
          <w:lang w:val="en-US"/>
        </w:rPr>
      </w:pPr>
      <w:r w:rsidRPr="00090B75">
        <w:rPr>
          <w:i/>
          <w:lang w:val="en-US"/>
        </w:rPr>
        <w:t xml:space="preserve">The certificate of compliance for multi temperature multi compartment equipment shall be supplemented by an annex containing the information of the Model </w:t>
      </w:r>
      <w:r w:rsidR="00F761A8" w:rsidRPr="00090B75">
        <w:rPr>
          <w:i/>
          <w:lang w:val="en-US"/>
        </w:rPr>
        <w:t>xy</w:t>
      </w:r>
      <w:r w:rsidRPr="00090B75">
        <w:rPr>
          <w:i/>
          <w:lang w:val="en-US"/>
        </w:rPr>
        <w:t xml:space="preserve"> given in Annex 1, Appendix 2.</w:t>
      </w:r>
    </w:p>
    <w:p w:rsidR="008815B7" w:rsidRPr="00844132" w:rsidRDefault="00090B75" w:rsidP="0001711C">
      <w:pPr>
        <w:pStyle w:val="H1G"/>
        <w:ind w:right="0"/>
      </w:pPr>
      <w:r>
        <w:tab/>
      </w:r>
      <w:r>
        <w:tab/>
      </w:r>
      <w:r w:rsidR="00EE0699">
        <w:t xml:space="preserve">Suggestion </w:t>
      </w:r>
      <w:r w:rsidR="008815B7" w:rsidRPr="00844132">
        <w:t>2</w:t>
      </w:r>
    </w:p>
    <w:p w:rsidR="00FF1DF7" w:rsidRPr="00844132" w:rsidRDefault="00FF1DF7" w:rsidP="0001711C">
      <w:pPr>
        <w:pStyle w:val="SingleTxtG"/>
        <w:tabs>
          <w:tab w:val="left" w:pos="1701"/>
        </w:tabs>
        <w:suppressAutoHyphens/>
        <w:ind w:right="0"/>
        <w:rPr>
          <w:lang w:val="en-US"/>
        </w:rPr>
      </w:pPr>
      <w:r w:rsidRPr="00844132">
        <w:rPr>
          <w:lang w:val="en-US"/>
        </w:rPr>
        <w:t xml:space="preserve">Add a new paragraph 3 to the end of Annex 1, Appendix </w:t>
      </w:r>
      <w:r w:rsidR="00D86E39" w:rsidRPr="00844132">
        <w:rPr>
          <w:lang w:val="en-US"/>
        </w:rPr>
        <w:t>3</w:t>
      </w:r>
      <w:r w:rsidRPr="00844132">
        <w:rPr>
          <w:lang w:val="en-US"/>
        </w:rPr>
        <w:t xml:space="preserve"> B. to read</w:t>
      </w:r>
      <w:r w:rsidR="008815B7" w:rsidRPr="00844132">
        <w:rPr>
          <w:lang w:val="en-US"/>
        </w:rPr>
        <w:t>:</w:t>
      </w:r>
    </w:p>
    <w:p w:rsidR="00FF1DF7" w:rsidRPr="00090B75" w:rsidRDefault="00FF1DF7" w:rsidP="0001711C">
      <w:pPr>
        <w:pStyle w:val="SingleTxtG"/>
        <w:tabs>
          <w:tab w:val="left" w:pos="1701"/>
        </w:tabs>
        <w:suppressAutoHyphens/>
        <w:ind w:right="0"/>
        <w:rPr>
          <w:i/>
          <w:lang w:val="en-US"/>
        </w:rPr>
      </w:pPr>
      <w:r w:rsidRPr="00090B75">
        <w:rPr>
          <w:i/>
          <w:lang w:val="en-US"/>
        </w:rPr>
        <w:t>3.</w:t>
      </w:r>
      <w:r w:rsidRPr="00090B75">
        <w:rPr>
          <w:i/>
          <w:lang w:val="en-US"/>
        </w:rPr>
        <w:tab/>
        <w:t>For equipment certified as Multi-temperature-Multi –compartment</w:t>
      </w:r>
      <w:r w:rsidR="00AC1A9D" w:rsidRPr="00090B75">
        <w:rPr>
          <w:i/>
          <w:lang w:val="en-US"/>
        </w:rPr>
        <w:t>, when a ATP certification plate is fitted,</w:t>
      </w:r>
      <w:r w:rsidRPr="00090B75">
        <w:rPr>
          <w:i/>
          <w:lang w:val="en-US"/>
        </w:rPr>
        <w:t xml:space="preserve"> an additional plate shall be a</w:t>
      </w:r>
      <w:r w:rsidR="008D6202" w:rsidRPr="00090B75">
        <w:rPr>
          <w:i/>
          <w:lang w:val="en-US"/>
        </w:rPr>
        <w:t xml:space="preserve">ffixed to the equipment in a </w:t>
      </w:r>
      <w:r w:rsidR="008D6202" w:rsidRPr="00090B75">
        <w:rPr>
          <w:i/>
          <w:lang w:val="en-US"/>
        </w:rPr>
        <w:lastRenderedPageBreak/>
        <w:t>permanent</w:t>
      </w:r>
      <w:r w:rsidR="00F761A8" w:rsidRPr="00090B75">
        <w:rPr>
          <w:i/>
          <w:lang w:val="en-US"/>
        </w:rPr>
        <w:t xml:space="preserve"> way</w:t>
      </w:r>
      <w:r w:rsidR="008D6202" w:rsidRPr="00090B75">
        <w:rPr>
          <w:i/>
          <w:lang w:val="en-US"/>
        </w:rPr>
        <w:t xml:space="preserve"> and in a </w:t>
      </w:r>
      <w:r w:rsidR="001B0299">
        <w:rPr>
          <w:i/>
          <w:lang w:val="en-US"/>
        </w:rPr>
        <w:t xml:space="preserve">clearly visible </w:t>
      </w:r>
      <w:r w:rsidR="008D6202" w:rsidRPr="00090B75">
        <w:rPr>
          <w:i/>
          <w:lang w:val="en-US"/>
        </w:rPr>
        <w:t xml:space="preserve">place adjacent to the ATP certification plate. The additional plate </w:t>
      </w:r>
      <w:r w:rsidR="00A2617A" w:rsidRPr="00090B75">
        <w:rPr>
          <w:i/>
          <w:lang w:val="en-US"/>
        </w:rPr>
        <w:t xml:space="preserve">shall have the same properties for material and dimensions as the certification plate of paragraph 1. The following particulars shall </w:t>
      </w:r>
      <w:r w:rsidR="004E1FF8">
        <w:rPr>
          <w:i/>
          <w:lang w:val="en-US"/>
        </w:rPr>
        <w:t xml:space="preserve">be </w:t>
      </w:r>
      <w:r w:rsidR="00FF69AB" w:rsidRPr="00090B75">
        <w:rPr>
          <w:i/>
          <w:lang w:val="en-US"/>
        </w:rPr>
        <w:t>indicated on this plate:</w:t>
      </w:r>
    </w:p>
    <w:p w:rsidR="00FF69AB" w:rsidRPr="00090B75" w:rsidRDefault="00FF69AB" w:rsidP="0001711C">
      <w:pPr>
        <w:pStyle w:val="SingleTxtG"/>
        <w:tabs>
          <w:tab w:val="left" w:pos="1701"/>
        </w:tabs>
        <w:suppressAutoHyphens/>
        <w:ind w:right="0"/>
        <w:rPr>
          <w:i/>
          <w:lang w:val="en-US"/>
        </w:rPr>
      </w:pPr>
      <w:r w:rsidRPr="00090B75">
        <w:rPr>
          <w:i/>
          <w:lang w:val="en-US"/>
        </w:rPr>
        <w:t xml:space="preserve">(f) The Latin letters </w:t>
      </w:r>
      <w:r w:rsidR="0001711C">
        <w:rPr>
          <w:i/>
          <w:lang w:val="en-US"/>
        </w:rPr>
        <w:t>"</w:t>
      </w:r>
      <w:r w:rsidRPr="00090B75">
        <w:rPr>
          <w:i/>
          <w:lang w:val="en-US"/>
        </w:rPr>
        <w:t>ATP</w:t>
      </w:r>
      <w:r w:rsidR="0001711C">
        <w:rPr>
          <w:i/>
          <w:lang w:val="en-US"/>
        </w:rPr>
        <w:t>"</w:t>
      </w:r>
      <w:r w:rsidRPr="00090B75">
        <w:rPr>
          <w:i/>
          <w:lang w:val="en-US"/>
        </w:rPr>
        <w:t xml:space="preserve"> followed by the words </w:t>
      </w:r>
      <w:r w:rsidR="0001711C">
        <w:rPr>
          <w:i/>
          <w:lang w:val="en-US"/>
        </w:rPr>
        <w:t>"</w:t>
      </w:r>
      <w:r w:rsidRPr="00090B75">
        <w:rPr>
          <w:i/>
          <w:lang w:val="en-US"/>
        </w:rPr>
        <w:t>Multi temperature-multi compartment equipment</w:t>
      </w:r>
      <w:r w:rsidR="0001711C">
        <w:rPr>
          <w:i/>
          <w:lang w:val="en-US"/>
        </w:rPr>
        <w:t>"</w:t>
      </w:r>
      <w:r w:rsidR="00AC35A0" w:rsidRPr="00090B75">
        <w:rPr>
          <w:i/>
          <w:lang w:val="en-US"/>
        </w:rPr>
        <w:t>;</w:t>
      </w:r>
    </w:p>
    <w:p w:rsidR="00FF69AB" w:rsidRPr="00090B75" w:rsidRDefault="00FF69AB" w:rsidP="0001711C">
      <w:pPr>
        <w:pStyle w:val="SingleTxtG"/>
        <w:tabs>
          <w:tab w:val="left" w:pos="1701"/>
        </w:tabs>
        <w:suppressAutoHyphens/>
        <w:ind w:right="0"/>
        <w:rPr>
          <w:i/>
          <w:lang w:val="en-US"/>
        </w:rPr>
      </w:pPr>
      <w:r w:rsidRPr="00090B75">
        <w:rPr>
          <w:i/>
          <w:lang w:val="en-US"/>
        </w:rPr>
        <w:t xml:space="preserve">(g) </w:t>
      </w:r>
      <w:r w:rsidR="0001711C">
        <w:rPr>
          <w:i/>
          <w:lang w:val="en-US"/>
        </w:rPr>
        <w:t>"</w:t>
      </w:r>
      <w:r w:rsidR="00AC35A0" w:rsidRPr="00090B75">
        <w:rPr>
          <w:i/>
          <w:lang w:val="en-US"/>
        </w:rPr>
        <w:t>EQUIPMENT NUMBER</w:t>
      </w:r>
      <w:r w:rsidR="0001711C">
        <w:rPr>
          <w:i/>
          <w:lang w:val="en-US"/>
        </w:rPr>
        <w:t>"</w:t>
      </w:r>
      <w:r w:rsidR="00AC35A0" w:rsidRPr="00090B75">
        <w:rPr>
          <w:i/>
          <w:lang w:val="en-US"/>
        </w:rPr>
        <w:t xml:space="preserve"> followed by the individual number assigned to identify the particular item of equipment (which may be the manufacturers number);</w:t>
      </w:r>
    </w:p>
    <w:p w:rsidR="00AC35A0" w:rsidRPr="00090B75" w:rsidRDefault="00AC35A0" w:rsidP="0001711C">
      <w:pPr>
        <w:pStyle w:val="SingleTxtG"/>
        <w:tabs>
          <w:tab w:val="left" w:pos="1701"/>
        </w:tabs>
        <w:suppressAutoHyphens/>
        <w:ind w:right="0"/>
        <w:rPr>
          <w:i/>
          <w:lang w:val="en-US"/>
        </w:rPr>
      </w:pPr>
      <w:r w:rsidRPr="00090B75">
        <w:rPr>
          <w:i/>
          <w:lang w:val="en-US"/>
        </w:rPr>
        <w:t xml:space="preserve">(h) </w:t>
      </w:r>
      <w:r w:rsidR="00E80185" w:rsidRPr="00090B75">
        <w:rPr>
          <w:i/>
          <w:lang w:val="en-US"/>
        </w:rPr>
        <w:t>Overh</w:t>
      </w:r>
      <w:r w:rsidR="00090B75">
        <w:rPr>
          <w:i/>
          <w:lang w:val="en-US"/>
        </w:rPr>
        <w:t xml:space="preserve">ead plan view of the load area </w:t>
      </w:r>
      <w:r w:rsidR="00E80185" w:rsidRPr="00090B75">
        <w:rPr>
          <w:i/>
          <w:lang w:val="en-US"/>
        </w:rPr>
        <w:t xml:space="preserve">of the equipment </w:t>
      </w:r>
      <w:r w:rsidR="00DC79DD" w:rsidRPr="00090B75">
        <w:rPr>
          <w:i/>
          <w:lang w:val="en-US"/>
        </w:rPr>
        <w:t xml:space="preserve">as required in Annex 1, Appendix 2 model No. 11, </w:t>
      </w:r>
      <w:r w:rsidR="00E80185" w:rsidRPr="00090B75">
        <w:rPr>
          <w:i/>
          <w:lang w:val="en-US"/>
        </w:rPr>
        <w:t xml:space="preserve">including </w:t>
      </w:r>
      <w:r w:rsidR="00A60BE2" w:rsidRPr="00090B75">
        <w:rPr>
          <w:i/>
          <w:lang w:val="en-US"/>
        </w:rPr>
        <w:t xml:space="preserve">position of </w:t>
      </w:r>
      <w:r w:rsidR="00E80185" w:rsidRPr="00090B75">
        <w:rPr>
          <w:i/>
          <w:lang w:val="en-US"/>
        </w:rPr>
        <w:t>the compartments</w:t>
      </w:r>
      <w:r w:rsidR="00C509DF" w:rsidRPr="00090B75">
        <w:rPr>
          <w:i/>
          <w:lang w:val="en-US"/>
        </w:rPr>
        <w:t>, minimum and maximum floor surface</w:t>
      </w:r>
      <w:r w:rsidR="00E80185" w:rsidRPr="00090B75">
        <w:rPr>
          <w:i/>
          <w:lang w:val="en-US"/>
        </w:rPr>
        <w:t xml:space="preserve"> and distinguishing marks applicable for each compartment.</w:t>
      </w:r>
      <w:r w:rsidR="00A60BE2" w:rsidRPr="00090B75">
        <w:rPr>
          <w:i/>
          <w:lang w:val="en-US"/>
        </w:rPr>
        <w:t xml:space="preserve"> Fixed walls shall be identified by a closed line, movable by a dotted line in the most extreme positions and a removable wall shall de identified by a waved line. The position of the thermal appliance and doors shall also be given.</w:t>
      </w:r>
    </w:p>
    <w:p w:rsidR="00A60BE2" w:rsidRPr="00090B75" w:rsidRDefault="00DC79DD" w:rsidP="0001711C">
      <w:pPr>
        <w:pStyle w:val="SingleTxtG"/>
        <w:tabs>
          <w:tab w:val="left" w:pos="1701"/>
        </w:tabs>
        <w:suppressAutoHyphens/>
        <w:ind w:right="0"/>
        <w:rPr>
          <w:i/>
          <w:lang w:val="en-US"/>
        </w:rPr>
      </w:pPr>
      <w:r w:rsidRPr="00090B75">
        <w:rPr>
          <w:i/>
          <w:lang w:val="en-US"/>
        </w:rPr>
        <w:t>Example of the plate</w:t>
      </w:r>
    </w:p>
    <w:p w:rsidR="00DC79DD" w:rsidRDefault="00A70860" w:rsidP="0001711C">
      <w:pPr>
        <w:ind w:left="1134"/>
        <w:rPr>
          <w:i/>
          <w:lang w:val="en-US"/>
        </w:rPr>
      </w:pPr>
      <w:r>
        <w:rPr>
          <w:i/>
          <w:noProof/>
          <w:lang w:val="en-US" w:eastAsia="en-US"/>
        </w:rPr>
        <w:drawing>
          <wp:inline distT="0" distB="0" distL="0" distR="0">
            <wp:extent cx="4043445" cy="2574062"/>
            <wp:effectExtent l="0" t="0" r="0" b="0"/>
            <wp:docPr id="2" name="Afbeelding 2" descr="U:\Data\Koelvervoer\Vergadering\WP11\MTMC 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ta\Koelvervoer\Vergadering\WP11\MTMC pla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251" cy="2575848"/>
                    </a:xfrm>
                    <a:prstGeom prst="rect">
                      <a:avLst/>
                    </a:prstGeom>
                    <a:noFill/>
                    <a:ln>
                      <a:noFill/>
                    </a:ln>
                  </pic:spPr>
                </pic:pic>
              </a:graphicData>
            </a:graphic>
          </wp:inline>
        </w:drawing>
      </w:r>
    </w:p>
    <w:p w:rsidR="00DC79DD" w:rsidRPr="00EE0699" w:rsidRDefault="00090B75" w:rsidP="0001711C">
      <w:pPr>
        <w:pStyle w:val="H1G"/>
        <w:ind w:right="0"/>
      </w:pPr>
      <w:r>
        <w:tab/>
      </w:r>
      <w:r>
        <w:tab/>
      </w:r>
      <w:r w:rsidR="00844132" w:rsidRPr="00EE0699">
        <w:t xml:space="preserve">Suggestion </w:t>
      </w:r>
      <w:r w:rsidR="00EE0699">
        <w:t>3</w:t>
      </w:r>
    </w:p>
    <w:p w:rsidR="00A60BE2" w:rsidRPr="00844132" w:rsidRDefault="005965A4" w:rsidP="0001711C">
      <w:pPr>
        <w:pStyle w:val="SingleTxtG"/>
        <w:tabs>
          <w:tab w:val="left" w:pos="1701"/>
        </w:tabs>
        <w:suppressAutoHyphens/>
        <w:ind w:right="0"/>
        <w:rPr>
          <w:i/>
          <w:lang w:val="en-US"/>
        </w:rPr>
      </w:pPr>
      <w:r w:rsidRPr="00844132">
        <w:rPr>
          <w:i/>
          <w:lang w:val="en-US"/>
        </w:rPr>
        <w:t xml:space="preserve">Introduce a new Model No. </w:t>
      </w:r>
      <w:r w:rsidR="00F761A8">
        <w:rPr>
          <w:i/>
          <w:lang w:val="en-US"/>
        </w:rPr>
        <w:t>xy</w:t>
      </w:r>
      <w:r w:rsidRPr="00844132">
        <w:rPr>
          <w:i/>
          <w:lang w:val="en-US"/>
        </w:rPr>
        <w:t xml:space="preserve"> at the end of Annex 1 Appendix2 to read:</w:t>
      </w:r>
    </w:p>
    <w:p w:rsidR="0094559C" w:rsidRPr="00844132" w:rsidRDefault="0094559C" w:rsidP="0001711C">
      <w:pPr>
        <w:rPr>
          <w:rFonts w:ascii="Times New Roman" w:hAnsi="Times New Roman" w:cs="Times New Roman"/>
          <w:i/>
          <w:sz w:val="20"/>
          <w:szCs w:val="20"/>
          <w:lang w:val="en-US"/>
        </w:rPr>
      </w:pPr>
      <w:r w:rsidRPr="00844132">
        <w:rPr>
          <w:rFonts w:ascii="Times New Roman" w:hAnsi="Times New Roman" w:cs="Times New Roman"/>
          <w:i/>
          <w:sz w:val="20"/>
          <w:szCs w:val="20"/>
          <w:lang w:val="en-US"/>
        </w:rPr>
        <w:br w:type="page"/>
      </w:r>
    </w:p>
    <w:p w:rsidR="0094559C" w:rsidRPr="0094559C" w:rsidRDefault="0094559C" w:rsidP="0001711C">
      <w:pPr>
        <w:pStyle w:val="H1G"/>
      </w:pPr>
      <w:r w:rsidRPr="0094559C">
        <w:lastRenderedPageBreak/>
        <w:t xml:space="preserve">Model No. </w:t>
      </w:r>
      <w:r w:rsidR="00F761A8">
        <w:t>xy</w:t>
      </w:r>
    </w:p>
    <w:p w:rsidR="0094559C" w:rsidRPr="00EE0699" w:rsidRDefault="0094559C" w:rsidP="0001711C">
      <w:pPr>
        <w:ind w:left="567"/>
        <w:jc w:val="center"/>
        <w:rPr>
          <w:rFonts w:ascii="Times New Roman" w:hAnsi="Times New Roman" w:cs="Times New Roman"/>
          <w:sz w:val="20"/>
          <w:szCs w:val="20"/>
          <w:lang w:val="en-US"/>
        </w:rPr>
      </w:pPr>
      <w:r w:rsidRPr="00EE0699">
        <w:rPr>
          <w:rFonts w:ascii="Times New Roman" w:hAnsi="Times New Roman" w:cs="Times New Roman"/>
          <w:sz w:val="20"/>
          <w:szCs w:val="20"/>
          <w:lang w:val="en-US"/>
        </w:rPr>
        <w:t>Section 2 [or 4]</w:t>
      </w:r>
    </w:p>
    <w:p w:rsidR="0094559C" w:rsidRPr="00EE0699" w:rsidRDefault="0094559C" w:rsidP="0001711C">
      <w:pPr>
        <w:pBdr>
          <w:bottom w:val="single" w:sz="6" w:space="1" w:color="auto"/>
        </w:pBdr>
        <w:ind w:left="567"/>
        <w:rPr>
          <w:rFonts w:ascii="Times New Roman" w:hAnsi="Times New Roman" w:cs="Times New Roman"/>
          <w:sz w:val="20"/>
          <w:szCs w:val="20"/>
          <w:lang w:val="en-US"/>
        </w:rPr>
      </w:pPr>
      <w:r w:rsidRPr="00EE0699">
        <w:rPr>
          <w:rFonts w:ascii="Times New Roman" w:hAnsi="Times New Roman" w:cs="Times New Roman"/>
          <w:sz w:val="20"/>
          <w:szCs w:val="20"/>
          <w:lang w:val="en-US"/>
        </w:rPr>
        <w:t>Information on the internal configuration of Multi Compartment - Multi Temperature equipment, heat demand of compartments and refrigerating capacity of individual evaporators.</w:t>
      </w:r>
    </w:p>
    <w:p w:rsidR="0094559C" w:rsidRPr="00636F68" w:rsidRDefault="0094559C" w:rsidP="0001711C">
      <w:pPr>
        <w:pBdr>
          <w:bottom w:val="single" w:sz="6" w:space="1" w:color="auto"/>
        </w:pBdr>
        <w:ind w:left="567"/>
        <w:rPr>
          <w:rFonts w:ascii="Times New Roman" w:hAnsi="Times New Roman" w:cs="Times New Roman"/>
          <w:lang w:val="en-US"/>
        </w:rPr>
      </w:pPr>
    </w:p>
    <w:p w:rsidR="0094559C" w:rsidRPr="00EE0699" w:rsidRDefault="0094559C" w:rsidP="0001711C">
      <w:pPr>
        <w:ind w:left="567"/>
        <w:rPr>
          <w:rFonts w:ascii="Times New Roman" w:hAnsi="Times New Roman" w:cs="Times New Roman"/>
          <w:sz w:val="20"/>
          <w:szCs w:val="20"/>
          <w:u w:val="single"/>
          <w:lang w:val="en-US"/>
        </w:rPr>
      </w:pPr>
      <w:r w:rsidRPr="00EE0699">
        <w:rPr>
          <w:rFonts w:ascii="Times New Roman" w:hAnsi="Times New Roman" w:cs="Times New Roman"/>
          <w:sz w:val="20"/>
          <w:szCs w:val="20"/>
          <w:u w:val="single"/>
          <w:lang w:val="en-US"/>
        </w:rPr>
        <w:t>Plan (overhead view) of the equipment</w:t>
      </w:r>
    </w:p>
    <w:p w:rsidR="00934646" w:rsidRDefault="00934646" w:rsidP="0001711C">
      <w:pPr>
        <w:tabs>
          <w:tab w:val="left" w:pos="7655"/>
        </w:tabs>
        <w:ind w:left="567"/>
        <w:rPr>
          <w:sz w:val="18"/>
          <w:szCs w:val="18"/>
          <w:lang w:val="en-US"/>
        </w:rPr>
      </w:pPr>
      <w:r>
        <w:rPr>
          <w:noProof/>
          <w:sz w:val="18"/>
          <w:szCs w:val="18"/>
          <w:lang w:val="en-US" w:eastAsia="en-US"/>
        </w:rPr>
        <w:drawing>
          <wp:inline distT="0" distB="0" distL="0" distR="0" wp14:anchorId="17E61BA5" wp14:editId="71BF4961">
            <wp:extent cx="4651284" cy="2160918"/>
            <wp:effectExtent l="0" t="0" r="0" b="0"/>
            <wp:docPr id="1" name="Afbeelding 1" descr="U:\Data\Koelvervoer\Vergadering\WP11\overhead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ta\Koelvervoer\Vergadering\WP11\overhead vi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051" cy="2162668"/>
                    </a:xfrm>
                    <a:prstGeom prst="rect">
                      <a:avLst/>
                    </a:prstGeom>
                    <a:noFill/>
                    <a:ln>
                      <a:noFill/>
                    </a:ln>
                  </pic:spPr>
                </pic:pic>
              </a:graphicData>
            </a:graphic>
          </wp:inline>
        </w:drawing>
      </w:r>
    </w:p>
    <w:p w:rsidR="00F1577C" w:rsidRPr="00EE0699" w:rsidRDefault="00F1577C" w:rsidP="0001711C">
      <w:pPr>
        <w:pStyle w:val="SingleTxtG"/>
        <w:ind w:left="567" w:right="0"/>
        <w:rPr>
          <w:lang w:val="en-US"/>
        </w:rPr>
      </w:pPr>
      <w:r w:rsidRPr="00EE0699">
        <w:rPr>
          <w:lang w:val="en-US"/>
        </w:rPr>
        <w:t>(example)</w:t>
      </w:r>
    </w:p>
    <w:p w:rsidR="0094559C" w:rsidRPr="00EE0699" w:rsidRDefault="00934646" w:rsidP="0001711C">
      <w:pPr>
        <w:pStyle w:val="SingleTxtG"/>
        <w:ind w:left="567" w:right="0"/>
        <w:rPr>
          <w:lang w:val="en-US"/>
        </w:rPr>
      </w:pPr>
      <w:r w:rsidRPr="00EE0699">
        <w:rPr>
          <w:lang w:val="en-US"/>
        </w:rPr>
        <w:t>Legenda:</w:t>
      </w:r>
      <w:r w:rsidRPr="00EE0699">
        <w:rPr>
          <w:lang w:val="en-US"/>
        </w:rPr>
        <w:br/>
        <w:t>F</w:t>
      </w:r>
      <w:r w:rsidR="0094559C" w:rsidRPr="00EE0699">
        <w:rPr>
          <w:lang w:val="en-US"/>
        </w:rPr>
        <w:t xml:space="preserve">ixed internal wall / rigid door </w:t>
      </w:r>
      <w:r w:rsidR="0094559C" w:rsidRPr="00EE0699">
        <w:rPr>
          <w:lang w:val="en-US"/>
        </w:rPr>
        <w:tab/>
        <w:t xml:space="preserve"> _____</w:t>
      </w:r>
      <w:r w:rsidR="0094559C" w:rsidRPr="00EE0699">
        <w:rPr>
          <w:lang w:val="en-US"/>
        </w:rPr>
        <w:br/>
        <w:t xml:space="preserve">Most extreme position of movable </w:t>
      </w:r>
      <w:r w:rsidR="0094559C" w:rsidRPr="00EE0699">
        <w:rPr>
          <w:lang w:val="en-US"/>
        </w:rPr>
        <w:tab/>
        <w:t>……..</w:t>
      </w:r>
      <w:r w:rsidR="0094559C" w:rsidRPr="00EE0699">
        <w:rPr>
          <w:lang w:val="en-US"/>
        </w:rPr>
        <w:br/>
        <w:t xml:space="preserve">Removable wall </w:t>
      </w:r>
      <w:r w:rsidR="0094559C" w:rsidRPr="00EE0699">
        <w:rPr>
          <w:lang w:val="en-US"/>
        </w:rPr>
        <w:tab/>
        <w:t>_._._._.</w:t>
      </w:r>
      <w:r w:rsidR="0094559C" w:rsidRPr="00EE0699">
        <w:rPr>
          <w:lang w:val="en-US"/>
        </w:rPr>
        <w:br/>
        <w:t xml:space="preserve">Flexible wall </w:t>
      </w:r>
      <w:r w:rsidR="0094559C" w:rsidRPr="00EE0699">
        <w:rPr>
          <w:lang w:val="en-US"/>
        </w:rPr>
        <w:tab/>
        <w:t>++++++</w:t>
      </w:r>
    </w:p>
    <w:p w:rsidR="0094559C" w:rsidRPr="00EE0699" w:rsidRDefault="00EE0699" w:rsidP="0001711C">
      <w:pPr>
        <w:pStyle w:val="SingleTxtG"/>
        <w:ind w:left="567" w:right="0"/>
        <w:rPr>
          <w:lang w:val="en-US"/>
        </w:rPr>
      </w:pPr>
      <w:r>
        <w:rPr>
          <w:lang w:val="en-US"/>
        </w:rPr>
        <w:t>*</w:t>
      </w:r>
      <w:r w:rsidR="0094559C" w:rsidRPr="00EE0699">
        <w:rPr>
          <w:lang w:val="en-US"/>
        </w:rPr>
        <w:t xml:space="preserve">Number the compartments starting at the left front compartment of the equipment and proceed numbering clockwise. </w:t>
      </w:r>
    </w:p>
    <w:p w:rsidR="0094559C" w:rsidRPr="00EE0699" w:rsidRDefault="00EE0699" w:rsidP="0001711C">
      <w:pPr>
        <w:pStyle w:val="SingleTxtG"/>
        <w:ind w:left="567" w:right="0"/>
        <w:rPr>
          <w:lang w:val="en-US"/>
        </w:rPr>
      </w:pPr>
      <w:r>
        <w:rPr>
          <w:lang w:val="en-US"/>
        </w:rPr>
        <w:t>*</w:t>
      </w:r>
      <w:r w:rsidR="0094559C" w:rsidRPr="00EE0699">
        <w:rPr>
          <w:lang w:val="en-US"/>
        </w:rPr>
        <w:t>Mark the classification mark of each compartment in the appropriate compartment.</w:t>
      </w:r>
    </w:p>
    <w:p w:rsidR="0094559C" w:rsidRPr="00EE0699" w:rsidRDefault="0094559C" w:rsidP="0001711C">
      <w:pPr>
        <w:pStyle w:val="SingleTxtG"/>
        <w:ind w:left="567" w:right="0"/>
        <w:rPr>
          <w:lang w:val="en-US"/>
        </w:rPr>
      </w:pPr>
      <w:r w:rsidRPr="00EE0699">
        <w:rPr>
          <w:lang w:val="en-US"/>
        </w:rPr>
        <w:t>(In case of equipment with an upper and lower deck reproduce a</w:t>
      </w:r>
      <w:r w:rsidR="0001711C">
        <w:rPr>
          <w:lang w:val="en-US"/>
        </w:rPr>
        <w:t>n</w:t>
      </w:r>
      <w:r w:rsidRPr="00EE0699">
        <w:rPr>
          <w:lang w:val="en-US"/>
        </w:rPr>
        <w:t xml:space="preserve"> overhead plan view of the lower deck below)</w:t>
      </w:r>
    </w:p>
    <w:p w:rsidR="0094559C" w:rsidRPr="00EE0699" w:rsidRDefault="0094559C" w:rsidP="0001711C">
      <w:pPr>
        <w:pStyle w:val="SingleTxtG"/>
        <w:ind w:left="567" w:right="0"/>
        <w:rPr>
          <w:lang w:val="en-US"/>
        </w:rPr>
      </w:pPr>
      <w:r w:rsidRPr="00EE0699">
        <w:rPr>
          <w:u w:val="single"/>
          <w:lang w:val="en-US"/>
        </w:rPr>
        <w:t>General description of the lay-out of the internal configuration</w:t>
      </w:r>
      <w:r w:rsidRPr="00EE0699">
        <w:rPr>
          <w:lang w:val="en-US"/>
        </w:rPr>
        <w:t xml:space="preserve">: </w:t>
      </w:r>
    </w:p>
    <w:p w:rsidR="0094559C" w:rsidRPr="00EE0699" w:rsidRDefault="0094559C" w:rsidP="0001711C">
      <w:pPr>
        <w:pStyle w:val="SingleTxtG"/>
        <w:ind w:left="567" w:right="0"/>
        <w:rPr>
          <w:lang w:val="en-US"/>
        </w:rPr>
      </w:pPr>
      <w:r w:rsidRPr="00EE0699">
        <w:rPr>
          <w:lang w:val="en-US"/>
        </w:rPr>
        <w:t>(Give an short description of the configuration, i.e. longitudinal compartments, transfers compartments, movable of removable internal dividing walls, no and place of evaporators per compartment, heaters etc.)</w:t>
      </w:r>
    </w:p>
    <w:p w:rsidR="00E555AA" w:rsidRPr="00EE0699" w:rsidRDefault="00E555AA" w:rsidP="0001711C">
      <w:pPr>
        <w:pStyle w:val="SingleTxtG"/>
        <w:ind w:left="567" w:right="0"/>
        <w:rPr>
          <w:lang w:val="en-US"/>
        </w:rPr>
      </w:pPr>
      <w:r w:rsidRPr="00EE0699">
        <w:rPr>
          <w:lang w:val="en-US"/>
        </w:rPr>
        <w:t>………………….</w:t>
      </w:r>
    </w:p>
    <w:p w:rsidR="0094559C" w:rsidRPr="00EE0699" w:rsidRDefault="0094559C" w:rsidP="0001711C">
      <w:pPr>
        <w:pStyle w:val="SingleTxtG"/>
        <w:ind w:left="567" w:right="0"/>
        <w:rPr>
          <w:u w:val="single"/>
          <w:lang w:val="en-US"/>
        </w:rPr>
      </w:pPr>
      <w:r w:rsidRPr="00EE0699">
        <w:rPr>
          <w:u w:val="single"/>
          <w:lang w:val="en-US"/>
        </w:rPr>
        <w:t>Specifications of the internal dividing walls:</w:t>
      </w:r>
    </w:p>
    <w:p w:rsidR="00004CB1" w:rsidRDefault="0094559C" w:rsidP="0001711C">
      <w:pPr>
        <w:pStyle w:val="SingleTxtG"/>
        <w:ind w:left="567" w:right="0"/>
        <w:rPr>
          <w:lang w:val="en-US"/>
        </w:rPr>
      </w:pPr>
      <w:r w:rsidRPr="00EE0699">
        <w:rPr>
          <w:lang w:val="en-US"/>
        </w:rPr>
        <w:t>Description of internal dividing wall (i.e. longitudinal wall between compartment 1 and 2)</w:t>
      </w:r>
      <w:r w:rsidRPr="00EE0699">
        <w:rPr>
          <w:lang w:val="en-US"/>
        </w:rPr>
        <w:br/>
        <w:t>- Composition of the wall:</w:t>
      </w:r>
    </w:p>
    <w:p w:rsidR="00004CB1" w:rsidRDefault="0094559C" w:rsidP="0001711C">
      <w:pPr>
        <w:pStyle w:val="SingleTxtG"/>
        <w:ind w:left="567" w:right="0"/>
        <w:rPr>
          <w:lang w:val="en-US"/>
        </w:rPr>
      </w:pPr>
      <w:r w:rsidRPr="00EE0699">
        <w:rPr>
          <w:lang w:val="en-US"/>
        </w:rPr>
        <w:t>- Material types used in the wall:</w:t>
      </w:r>
    </w:p>
    <w:p w:rsidR="00004CB1" w:rsidRDefault="0094559C" w:rsidP="0001711C">
      <w:pPr>
        <w:pStyle w:val="SingleTxtG"/>
        <w:ind w:left="567" w:right="0"/>
        <w:rPr>
          <w:lang w:val="en-US"/>
        </w:rPr>
      </w:pPr>
      <w:r w:rsidRPr="00EE0699">
        <w:rPr>
          <w:lang w:val="en-US"/>
        </w:rPr>
        <w:t>- K value of the wall according to 8.3.7</w:t>
      </w:r>
    </w:p>
    <w:p w:rsidR="0094559C" w:rsidRPr="00EE0699" w:rsidRDefault="0094559C" w:rsidP="0001711C">
      <w:pPr>
        <w:pStyle w:val="SingleTxtG"/>
        <w:ind w:left="567" w:right="0"/>
        <w:rPr>
          <w:lang w:val="en-US"/>
        </w:rPr>
      </w:pPr>
      <w:r w:rsidRPr="00EE0699">
        <w:rPr>
          <w:lang w:val="en-US"/>
        </w:rPr>
        <w:lastRenderedPageBreak/>
        <w:t>- length and height of the wall in mm.</w:t>
      </w:r>
    </w:p>
    <w:p w:rsidR="0094559C" w:rsidRPr="00EE0699" w:rsidRDefault="0094559C" w:rsidP="0001711C">
      <w:pPr>
        <w:ind w:left="567"/>
        <w:rPr>
          <w:rFonts w:ascii="Times New Roman" w:hAnsi="Times New Roman" w:cs="Times New Roman"/>
          <w:sz w:val="20"/>
          <w:szCs w:val="20"/>
          <w:lang w:val="en-US"/>
        </w:rPr>
      </w:pPr>
      <w:r w:rsidRPr="00EE0699">
        <w:rPr>
          <w:rFonts w:ascii="Times New Roman" w:hAnsi="Times New Roman" w:cs="Times New Roman"/>
          <w:sz w:val="20"/>
          <w:szCs w:val="20"/>
          <w:lang w:val="en-US"/>
        </w:rPr>
        <w:t xml:space="preserve">Description of internal dividing wall </w:t>
      </w:r>
      <w:r w:rsidRPr="00EE0699">
        <w:rPr>
          <w:rFonts w:ascii="Times New Roman" w:hAnsi="Times New Roman" w:cs="Times New Roman"/>
          <w:sz w:val="20"/>
          <w:szCs w:val="20"/>
          <w:lang w:val="en-US"/>
        </w:rPr>
        <w:br/>
        <w:t>- Composition of the wall:</w:t>
      </w:r>
      <w:r w:rsidRPr="00EE0699">
        <w:rPr>
          <w:rFonts w:ascii="Times New Roman" w:hAnsi="Times New Roman" w:cs="Times New Roman"/>
          <w:sz w:val="20"/>
          <w:szCs w:val="20"/>
          <w:lang w:val="en-US"/>
        </w:rPr>
        <w:br/>
        <w:t>- Material types used in the wall:</w:t>
      </w:r>
      <w:r w:rsidRPr="00EE0699">
        <w:rPr>
          <w:rFonts w:ascii="Times New Roman" w:hAnsi="Times New Roman" w:cs="Times New Roman"/>
          <w:sz w:val="20"/>
          <w:szCs w:val="20"/>
          <w:lang w:val="en-US"/>
        </w:rPr>
        <w:br/>
        <w:t>- K value of the wall according to 8.3.7</w:t>
      </w:r>
      <w:r w:rsidRPr="00EE0699">
        <w:rPr>
          <w:rFonts w:ascii="Times New Roman" w:hAnsi="Times New Roman" w:cs="Times New Roman"/>
          <w:sz w:val="20"/>
          <w:szCs w:val="20"/>
          <w:lang w:val="en-US"/>
        </w:rPr>
        <w:br/>
        <w:t>- length and height of the wall in mm.</w:t>
      </w:r>
    </w:p>
    <w:p w:rsidR="0094559C" w:rsidRPr="0001711C" w:rsidRDefault="0094559C" w:rsidP="0001711C">
      <w:pPr>
        <w:ind w:left="567"/>
        <w:rPr>
          <w:rFonts w:ascii="Times New Roman" w:hAnsi="Times New Roman" w:cs="Times New Roman"/>
          <w:i/>
          <w:sz w:val="18"/>
          <w:szCs w:val="18"/>
          <w:lang w:val="en-US"/>
        </w:rPr>
      </w:pPr>
      <w:r w:rsidRPr="0001711C">
        <w:rPr>
          <w:rFonts w:ascii="Times New Roman" w:hAnsi="Times New Roman" w:cs="Times New Roman"/>
          <w:i/>
          <w:sz w:val="18"/>
          <w:szCs w:val="18"/>
          <w:lang w:val="en-US"/>
        </w:rPr>
        <w:t>(Repeat description for other internal dividing walls or floor of upper/lower deck equipment as applicable.)</w:t>
      </w:r>
    </w:p>
    <w:p w:rsidR="0094559C" w:rsidRPr="00EE0699" w:rsidRDefault="0094559C" w:rsidP="0001711C">
      <w:pPr>
        <w:ind w:left="567"/>
        <w:rPr>
          <w:rFonts w:ascii="Times New Roman" w:hAnsi="Times New Roman" w:cs="Times New Roman"/>
          <w:sz w:val="20"/>
          <w:szCs w:val="20"/>
          <w:u w:val="single"/>
          <w:lang w:val="en-US"/>
        </w:rPr>
      </w:pPr>
      <w:r w:rsidRPr="00EE0699">
        <w:rPr>
          <w:rFonts w:ascii="Times New Roman" w:hAnsi="Times New Roman" w:cs="Times New Roman"/>
          <w:sz w:val="20"/>
          <w:szCs w:val="20"/>
          <w:u w:val="single"/>
          <w:lang w:val="en-US"/>
        </w:rPr>
        <w:t>Compartment inform</w:t>
      </w:r>
      <w:bookmarkStart w:id="0" w:name="_GoBack"/>
      <w:bookmarkEnd w:id="0"/>
      <w:r w:rsidRPr="00EE0699">
        <w:rPr>
          <w:rFonts w:ascii="Times New Roman" w:hAnsi="Times New Roman" w:cs="Times New Roman"/>
          <w:sz w:val="20"/>
          <w:szCs w:val="20"/>
          <w:u w:val="single"/>
          <w:lang w:val="en-US"/>
        </w:rPr>
        <w:t>ation:</w:t>
      </w:r>
    </w:p>
    <w:tbl>
      <w:tblPr>
        <w:tblStyle w:val="TableGrid"/>
        <w:tblW w:w="8721" w:type="dxa"/>
        <w:tblInd w:w="675" w:type="dxa"/>
        <w:tblLook w:val="04A0" w:firstRow="1" w:lastRow="0" w:firstColumn="1" w:lastColumn="0" w:noHBand="0" w:noVBand="1"/>
      </w:tblPr>
      <w:tblGrid>
        <w:gridCol w:w="2082"/>
        <w:gridCol w:w="2213"/>
        <w:gridCol w:w="2213"/>
        <w:gridCol w:w="2213"/>
      </w:tblGrid>
      <w:tr w:rsidR="0094559C" w:rsidRPr="00EE0699" w:rsidTr="00EF056B">
        <w:tc>
          <w:tcPr>
            <w:tcW w:w="2082" w:type="dxa"/>
          </w:tcPr>
          <w:p w:rsidR="0094559C" w:rsidRPr="00EE0699" w:rsidRDefault="0094559C" w:rsidP="0001711C">
            <w:pPr>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r w:rsidRPr="00EE0699">
              <w:rPr>
                <w:rFonts w:ascii="Times New Roman" w:hAnsi="Times New Roman" w:cs="Times New Roman"/>
                <w:sz w:val="20"/>
                <w:szCs w:val="20"/>
                <w:lang w:val="en-US"/>
              </w:rPr>
              <w:t>Compartment 1</w:t>
            </w:r>
            <w:r w:rsidR="0001711C">
              <w:rPr>
                <w:rFonts w:ascii="Times New Roman" w:hAnsi="Times New Roman" w:cs="Times New Roman"/>
                <w:sz w:val="20"/>
                <w:szCs w:val="20"/>
                <w:vertAlign w:val="superscript"/>
                <w:lang w:val="en-US"/>
              </w:rPr>
              <w:t>**</w:t>
            </w:r>
          </w:p>
        </w:tc>
        <w:tc>
          <w:tcPr>
            <w:tcW w:w="2213" w:type="dxa"/>
          </w:tcPr>
          <w:p w:rsidR="0094559C" w:rsidRPr="00EE0699" w:rsidRDefault="0094559C" w:rsidP="0001711C">
            <w:pPr>
              <w:ind w:left="567"/>
              <w:rPr>
                <w:rFonts w:ascii="Times New Roman" w:hAnsi="Times New Roman" w:cs="Times New Roman"/>
                <w:sz w:val="20"/>
                <w:szCs w:val="20"/>
                <w:lang w:val="en-US"/>
              </w:rPr>
            </w:pPr>
            <w:r w:rsidRPr="00EE0699">
              <w:rPr>
                <w:rFonts w:ascii="Times New Roman" w:hAnsi="Times New Roman" w:cs="Times New Roman"/>
                <w:sz w:val="20"/>
                <w:szCs w:val="20"/>
                <w:lang w:val="en-US"/>
              </w:rPr>
              <w:t>Compartment 2</w:t>
            </w:r>
            <w:r w:rsidR="0001711C">
              <w:rPr>
                <w:rFonts w:ascii="Times New Roman" w:hAnsi="Times New Roman" w:cs="Times New Roman"/>
                <w:sz w:val="20"/>
                <w:szCs w:val="20"/>
                <w:vertAlign w:val="superscript"/>
                <w:lang w:val="en-US"/>
              </w:rPr>
              <w:t>**</w:t>
            </w:r>
          </w:p>
        </w:tc>
        <w:tc>
          <w:tcPr>
            <w:tcW w:w="2213" w:type="dxa"/>
          </w:tcPr>
          <w:p w:rsidR="0094559C" w:rsidRPr="00EE0699" w:rsidRDefault="0094559C" w:rsidP="0001711C">
            <w:pPr>
              <w:ind w:left="567"/>
              <w:rPr>
                <w:rFonts w:ascii="Times New Roman" w:hAnsi="Times New Roman" w:cs="Times New Roman"/>
                <w:sz w:val="20"/>
                <w:szCs w:val="20"/>
                <w:lang w:val="en-US"/>
              </w:rPr>
            </w:pPr>
            <w:r w:rsidRPr="00EE0699">
              <w:rPr>
                <w:rFonts w:ascii="Times New Roman" w:hAnsi="Times New Roman" w:cs="Times New Roman"/>
                <w:sz w:val="20"/>
                <w:szCs w:val="20"/>
                <w:lang w:val="en-US"/>
              </w:rPr>
              <w:t>Compartment 3</w:t>
            </w:r>
            <w:r w:rsidR="0001711C">
              <w:rPr>
                <w:rFonts w:ascii="Times New Roman" w:hAnsi="Times New Roman" w:cs="Times New Roman"/>
                <w:sz w:val="20"/>
                <w:szCs w:val="20"/>
                <w:vertAlign w:val="superscript"/>
                <w:lang w:val="en-US"/>
              </w:rPr>
              <w:t>**</w:t>
            </w:r>
          </w:p>
        </w:tc>
      </w:tr>
      <w:tr w:rsidR="0094559C" w:rsidRPr="00EE0699" w:rsidTr="00EF056B">
        <w:tc>
          <w:tcPr>
            <w:tcW w:w="2082" w:type="dxa"/>
          </w:tcPr>
          <w:p w:rsidR="0094559C" w:rsidRPr="00EE0699" w:rsidRDefault="0094559C" w:rsidP="0001711C">
            <w:pPr>
              <w:rPr>
                <w:rFonts w:ascii="Times New Roman" w:hAnsi="Times New Roman" w:cs="Times New Roman"/>
                <w:sz w:val="20"/>
                <w:szCs w:val="20"/>
                <w:lang w:val="en-US"/>
              </w:rPr>
            </w:pPr>
            <w:r w:rsidRPr="00EE0699">
              <w:rPr>
                <w:rFonts w:ascii="Times New Roman" w:hAnsi="Times New Roman" w:cs="Times New Roman"/>
                <w:sz w:val="20"/>
                <w:szCs w:val="20"/>
                <w:lang w:val="en-US"/>
              </w:rPr>
              <w:t>Floor surface</w:t>
            </w:r>
            <w:r w:rsidR="0001711C" w:rsidRPr="0001711C">
              <w:rPr>
                <w:rFonts w:ascii="Times New Roman" w:hAnsi="Times New Roman" w:cs="Times New Roman"/>
                <w:sz w:val="20"/>
                <w:szCs w:val="20"/>
                <w:vertAlign w:val="superscript"/>
                <w:lang w:val="en-US"/>
              </w:rPr>
              <w:t>*</w:t>
            </w: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r>
      <w:tr w:rsidR="0094559C" w:rsidRPr="00EE0699" w:rsidTr="00EF056B">
        <w:tc>
          <w:tcPr>
            <w:tcW w:w="2082" w:type="dxa"/>
          </w:tcPr>
          <w:p w:rsidR="0094559C" w:rsidRPr="00EE0699" w:rsidRDefault="0094559C" w:rsidP="0001711C">
            <w:pPr>
              <w:rPr>
                <w:rFonts w:ascii="Times New Roman" w:hAnsi="Times New Roman" w:cs="Times New Roman"/>
                <w:sz w:val="20"/>
                <w:szCs w:val="20"/>
                <w:lang w:val="en-US"/>
              </w:rPr>
            </w:pPr>
            <w:r w:rsidRPr="00EE0699">
              <w:rPr>
                <w:rFonts w:ascii="Times New Roman" w:hAnsi="Times New Roman" w:cs="Times New Roman"/>
                <w:sz w:val="20"/>
                <w:szCs w:val="20"/>
                <w:lang w:val="en-US"/>
              </w:rPr>
              <w:t>Overall surface</w:t>
            </w:r>
            <w:r w:rsidRPr="0001711C">
              <w:rPr>
                <w:rFonts w:ascii="Times New Roman" w:hAnsi="Times New Roman" w:cs="Times New Roman"/>
                <w:sz w:val="20"/>
                <w:szCs w:val="20"/>
                <w:vertAlign w:val="superscript"/>
                <w:lang w:val="en-US"/>
              </w:rPr>
              <w:t>*</w:t>
            </w: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r>
      <w:tr w:rsidR="0094559C" w:rsidRPr="000715A7" w:rsidTr="00EF056B">
        <w:tc>
          <w:tcPr>
            <w:tcW w:w="2082" w:type="dxa"/>
          </w:tcPr>
          <w:p w:rsidR="0094559C" w:rsidRPr="00EE0699" w:rsidRDefault="0094559C" w:rsidP="0001711C">
            <w:pPr>
              <w:rPr>
                <w:rFonts w:ascii="Times New Roman" w:hAnsi="Times New Roman" w:cs="Times New Roman"/>
                <w:sz w:val="20"/>
                <w:szCs w:val="20"/>
                <w:lang w:val="en-US"/>
              </w:rPr>
            </w:pPr>
            <w:r w:rsidRPr="00EE0699">
              <w:rPr>
                <w:rFonts w:ascii="Times New Roman" w:hAnsi="Times New Roman" w:cs="Times New Roman"/>
                <w:sz w:val="20"/>
                <w:szCs w:val="20"/>
                <w:lang w:val="en-US"/>
              </w:rPr>
              <w:t>Surface internal dividing wall(s)</w:t>
            </w:r>
            <w:r w:rsidRPr="0001711C">
              <w:rPr>
                <w:rFonts w:ascii="Times New Roman" w:hAnsi="Times New Roman" w:cs="Times New Roman"/>
                <w:sz w:val="20"/>
                <w:szCs w:val="20"/>
                <w:vertAlign w:val="superscript"/>
                <w:lang w:val="en-US"/>
              </w:rPr>
              <w:t>*</w:t>
            </w: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r>
      <w:tr w:rsidR="0094559C" w:rsidRPr="00EE0699" w:rsidTr="00EF056B">
        <w:tc>
          <w:tcPr>
            <w:tcW w:w="2082" w:type="dxa"/>
          </w:tcPr>
          <w:p w:rsidR="0094559C" w:rsidRPr="00EE0699" w:rsidRDefault="0094559C" w:rsidP="0001711C">
            <w:pPr>
              <w:rPr>
                <w:rFonts w:ascii="Times New Roman" w:hAnsi="Times New Roman" w:cs="Times New Roman"/>
                <w:sz w:val="20"/>
                <w:szCs w:val="20"/>
                <w:lang w:val="en-US"/>
              </w:rPr>
            </w:pPr>
            <w:r w:rsidRPr="00EE0699">
              <w:rPr>
                <w:rFonts w:ascii="Times New Roman" w:hAnsi="Times New Roman" w:cs="Times New Roman"/>
                <w:sz w:val="20"/>
                <w:szCs w:val="20"/>
                <w:lang w:val="en-US"/>
              </w:rPr>
              <w:t>Calculated Heat requirement</w:t>
            </w:r>
            <w:r w:rsidRPr="0001711C">
              <w:rPr>
                <w:rFonts w:ascii="Times New Roman" w:hAnsi="Times New Roman" w:cs="Times New Roman"/>
                <w:sz w:val="20"/>
                <w:szCs w:val="20"/>
                <w:vertAlign w:val="superscript"/>
                <w:lang w:val="en-US"/>
              </w:rPr>
              <w:t>*</w:t>
            </w:r>
            <w:r w:rsidRPr="00EE0699">
              <w:rPr>
                <w:rFonts w:ascii="Times New Roman" w:hAnsi="Times New Roman" w:cs="Times New Roman"/>
                <w:sz w:val="20"/>
                <w:szCs w:val="20"/>
                <w:lang w:val="en-US"/>
              </w:rPr>
              <w:t xml:space="preserve"> </w:t>
            </w: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r>
      <w:tr w:rsidR="0094559C" w:rsidRPr="00EE0699" w:rsidTr="00EF056B">
        <w:tc>
          <w:tcPr>
            <w:tcW w:w="2082" w:type="dxa"/>
          </w:tcPr>
          <w:p w:rsidR="0094559C" w:rsidRPr="00EE0699" w:rsidRDefault="0094559C" w:rsidP="0001711C">
            <w:pPr>
              <w:rPr>
                <w:rFonts w:ascii="Times New Roman" w:hAnsi="Times New Roman" w:cs="Times New Roman"/>
                <w:sz w:val="20"/>
                <w:szCs w:val="20"/>
                <w:lang w:val="en-US"/>
              </w:rPr>
            </w:pPr>
            <w:r w:rsidRPr="00EE0699">
              <w:rPr>
                <w:rFonts w:ascii="Times New Roman" w:hAnsi="Times New Roman" w:cs="Times New Roman"/>
                <w:sz w:val="20"/>
                <w:szCs w:val="20"/>
                <w:lang w:val="en-US"/>
              </w:rPr>
              <w:t>Evaporator capacity</w:t>
            </w: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r>
      <w:tr w:rsidR="0094559C" w:rsidRPr="000715A7" w:rsidTr="00EF056B">
        <w:tc>
          <w:tcPr>
            <w:tcW w:w="2082" w:type="dxa"/>
          </w:tcPr>
          <w:p w:rsidR="0094559C" w:rsidRPr="00EE0699" w:rsidRDefault="00AC1A9D" w:rsidP="0001711C">
            <w:pPr>
              <w:rPr>
                <w:rFonts w:ascii="Times New Roman" w:hAnsi="Times New Roman" w:cs="Times New Roman"/>
                <w:sz w:val="20"/>
                <w:szCs w:val="20"/>
                <w:lang w:val="en-US"/>
              </w:rPr>
            </w:pPr>
            <w:r w:rsidRPr="00EE0699">
              <w:rPr>
                <w:rFonts w:ascii="Times New Roman" w:hAnsi="Times New Roman" w:cs="Times New Roman"/>
                <w:sz w:val="20"/>
                <w:szCs w:val="20"/>
                <w:lang w:val="en-US"/>
              </w:rPr>
              <w:t>[</w:t>
            </w:r>
            <w:r w:rsidR="00F1577C" w:rsidRPr="00EE0699">
              <w:rPr>
                <w:rFonts w:ascii="Times New Roman" w:hAnsi="Times New Roman" w:cs="Times New Roman"/>
                <w:sz w:val="20"/>
                <w:szCs w:val="20"/>
                <w:lang w:val="en-US"/>
              </w:rPr>
              <w:t>Average surface in relation to the evaporator capacity</w:t>
            </w:r>
            <w:r w:rsidRPr="00EE0699">
              <w:rPr>
                <w:rFonts w:ascii="Times New Roman" w:hAnsi="Times New Roman" w:cs="Times New Roman"/>
                <w:sz w:val="20"/>
                <w:szCs w:val="20"/>
                <w:lang w:val="en-US"/>
              </w:rPr>
              <w:t>]</w:t>
            </w: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c>
          <w:tcPr>
            <w:tcW w:w="2213" w:type="dxa"/>
          </w:tcPr>
          <w:p w:rsidR="0094559C" w:rsidRPr="00EE0699" w:rsidRDefault="0094559C" w:rsidP="0001711C">
            <w:pPr>
              <w:ind w:left="567"/>
              <w:rPr>
                <w:rFonts w:ascii="Times New Roman" w:hAnsi="Times New Roman" w:cs="Times New Roman"/>
                <w:sz w:val="20"/>
                <w:szCs w:val="20"/>
                <w:lang w:val="en-US"/>
              </w:rPr>
            </w:pPr>
          </w:p>
        </w:tc>
      </w:tr>
    </w:tbl>
    <w:p w:rsidR="00E555AA" w:rsidRPr="00EE0699" w:rsidRDefault="00E555AA" w:rsidP="0001711C">
      <w:pPr>
        <w:ind w:left="567"/>
        <w:rPr>
          <w:rFonts w:ascii="Times New Roman" w:hAnsi="Times New Roman" w:cs="Times New Roman"/>
          <w:sz w:val="20"/>
          <w:szCs w:val="20"/>
          <w:lang w:val="en-US"/>
        </w:rPr>
      </w:pPr>
    </w:p>
    <w:p w:rsidR="0094559C" w:rsidRPr="00EE0699" w:rsidRDefault="0094559C" w:rsidP="0001711C">
      <w:pPr>
        <w:ind w:left="567"/>
        <w:rPr>
          <w:rFonts w:ascii="Times New Roman" w:hAnsi="Times New Roman" w:cs="Times New Roman"/>
          <w:sz w:val="20"/>
          <w:szCs w:val="20"/>
          <w:lang w:val="en-US"/>
        </w:rPr>
      </w:pPr>
      <w:r w:rsidRPr="0001711C">
        <w:rPr>
          <w:rFonts w:ascii="Times New Roman" w:hAnsi="Times New Roman" w:cs="Times New Roman"/>
          <w:sz w:val="20"/>
          <w:szCs w:val="20"/>
          <w:vertAlign w:val="superscript"/>
          <w:lang w:val="en-US"/>
        </w:rPr>
        <w:t>*</w:t>
      </w:r>
      <w:r w:rsidRPr="00EE0699">
        <w:rPr>
          <w:rFonts w:ascii="Times New Roman" w:hAnsi="Times New Roman" w:cs="Times New Roman"/>
          <w:sz w:val="20"/>
          <w:szCs w:val="20"/>
          <w:lang w:val="en-US"/>
        </w:rPr>
        <w:t>(when compartment(s) have movable internal dividing walls state the data for the largest and smallest configuration).</w:t>
      </w:r>
      <w:r w:rsidRPr="00EE0699">
        <w:rPr>
          <w:rFonts w:ascii="Times New Roman" w:hAnsi="Times New Roman" w:cs="Times New Roman"/>
          <w:sz w:val="20"/>
          <w:szCs w:val="20"/>
          <w:lang w:val="en-US"/>
        </w:rPr>
        <w:br/>
      </w:r>
      <w:r w:rsidR="0001711C">
        <w:rPr>
          <w:rFonts w:ascii="Times New Roman" w:hAnsi="Times New Roman" w:cs="Times New Roman"/>
          <w:sz w:val="20"/>
          <w:szCs w:val="20"/>
          <w:vertAlign w:val="superscript"/>
          <w:lang w:val="en-US"/>
        </w:rPr>
        <w:t>**</w:t>
      </w:r>
      <w:r w:rsidRPr="00EE0699">
        <w:rPr>
          <w:rFonts w:ascii="Times New Roman" w:hAnsi="Times New Roman" w:cs="Times New Roman"/>
          <w:sz w:val="20"/>
          <w:szCs w:val="20"/>
          <w:vertAlign w:val="superscript"/>
          <w:lang w:val="en-US"/>
        </w:rPr>
        <w:t xml:space="preserve"> </w:t>
      </w:r>
      <w:r w:rsidRPr="00EE0699">
        <w:rPr>
          <w:rFonts w:ascii="Times New Roman" w:hAnsi="Times New Roman" w:cs="Times New Roman"/>
          <w:sz w:val="20"/>
          <w:szCs w:val="20"/>
          <w:lang w:val="en-US"/>
        </w:rPr>
        <w:t>When two compartments are united</w:t>
      </w:r>
      <w:r w:rsidRPr="00EE0699">
        <w:rPr>
          <w:rFonts w:ascii="Times New Roman" w:hAnsi="Times New Roman" w:cs="Times New Roman"/>
          <w:sz w:val="20"/>
          <w:szCs w:val="20"/>
          <w:vertAlign w:val="superscript"/>
          <w:lang w:val="en-US"/>
        </w:rPr>
        <w:t xml:space="preserve"> </w:t>
      </w:r>
      <w:r w:rsidRPr="00EE0699">
        <w:rPr>
          <w:rFonts w:ascii="Times New Roman" w:hAnsi="Times New Roman" w:cs="Times New Roman"/>
          <w:sz w:val="20"/>
          <w:szCs w:val="20"/>
          <w:lang w:val="en-US"/>
        </w:rPr>
        <w:t>by a retractable or removable inte</w:t>
      </w:r>
      <w:r w:rsidR="004E1FF8">
        <w:rPr>
          <w:rFonts w:ascii="Times New Roman" w:hAnsi="Times New Roman" w:cs="Times New Roman"/>
          <w:sz w:val="20"/>
          <w:szCs w:val="20"/>
          <w:lang w:val="en-US"/>
        </w:rPr>
        <w:t xml:space="preserve">rnal dividing wall this united </w:t>
      </w:r>
      <w:r w:rsidRPr="00EE0699">
        <w:rPr>
          <w:rFonts w:ascii="Times New Roman" w:hAnsi="Times New Roman" w:cs="Times New Roman"/>
          <w:sz w:val="20"/>
          <w:szCs w:val="20"/>
          <w:lang w:val="en-US"/>
        </w:rPr>
        <w:t xml:space="preserve">compartment </w:t>
      </w:r>
      <w:r w:rsidR="00000774">
        <w:rPr>
          <w:rFonts w:ascii="Times New Roman" w:hAnsi="Times New Roman" w:cs="Times New Roman"/>
          <w:sz w:val="20"/>
          <w:szCs w:val="20"/>
          <w:lang w:val="en-US"/>
        </w:rPr>
        <w:t>shall</w:t>
      </w:r>
      <w:r w:rsidRPr="00EE0699">
        <w:rPr>
          <w:rFonts w:ascii="Times New Roman" w:hAnsi="Times New Roman" w:cs="Times New Roman"/>
          <w:sz w:val="20"/>
          <w:szCs w:val="20"/>
          <w:lang w:val="en-US"/>
        </w:rPr>
        <w:t xml:space="preserve"> not be considered separately. </w:t>
      </w:r>
    </w:p>
    <w:p w:rsidR="005965A4" w:rsidRPr="00C10F43" w:rsidRDefault="005965A4" w:rsidP="0001711C">
      <w:pPr>
        <w:ind w:left="567"/>
        <w:rPr>
          <w:i/>
          <w:lang w:val="en-US"/>
        </w:rPr>
      </w:pPr>
    </w:p>
    <w:p w:rsidR="00296828" w:rsidRDefault="00296828" w:rsidP="0001711C">
      <w:pPr>
        <w:ind w:left="567"/>
        <w:rPr>
          <w:lang w:val="en-US"/>
        </w:rPr>
      </w:pPr>
    </w:p>
    <w:p w:rsidR="002F384D" w:rsidRDefault="002F384D" w:rsidP="0001711C">
      <w:pPr>
        <w:rPr>
          <w:lang w:val="en-US"/>
        </w:rPr>
      </w:pPr>
      <w:r>
        <w:rPr>
          <w:lang w:val="en-US"/>
        </w:rPr>
        <w:br w:type="page"/>
      </w:r>
    </w:p>
    <w:p w:rsidR="00090B75" w:rsidRDefault="002F384D" w:rsidP="0001711C">
      <w:pPr>
        <w:pStyle w:val="HChG"/>
        <w:ind w:right="0"/>
      </w:pPr>
      <w:r w:rsidRPr="00966A05">
        <w:lastRenderedPageBreak/>
        <w:t>Annex 3</w:t>
      </w:r>
    </w:p>
    <w:p w:rsidR="0090449D" w:rsidRPr="00966A05" w:rsidRDefault="00090B75" w:rsidP="0001711C">
      <w:pPr>
        <w:pStyle w:val="HChG"/>
        <w:ind w:right="0"/>
      </w:pPr>
      <w:r>
        <w:tab/>
      </w:r>
      <w:r>
        <w:tab/>
        <w:t>E</w:t>
      </w:r>
      <w:r w:rsidR="002F384D" w:rsidRPr="00090B75">
        <w:t>fficiency</w:t>
      </w:r>
      <w:r w:rsidR="002F384D" w:rsidRPr="00966A05">
        <w:t xml:space="preserve"> test of a </w:t>
      </w:r>
      <w:r w:rsidR="00CC3378" w:rsidRPr="00966A05">
        <w:t xml:space="preserve">MTMC </w:t>
      </w:r>
      <w:r w:rsidR="002F384D" w:rsidRPr="00966A05">
        <w:t>mechanical refrigerating unit</w:t>
      </w:r>
    </w:p>
    <w:p w:rsidR="002F384D" w:rsidRPr="00F761A8" w:rsidRDefault="00090B75" w:rsidP="0001711C">
      <w:pPr>
        <w:pStyle w:val="H1G"/>
        <w:ind w:right="0"/>
      </w:pPr>
      <w:r>
        <w:tab/>
      </w:r>
      <w:r>
        <w:tab/>
      </w:r>
      <w:r w:rsidR="00861FF6" w:rsidRPr="00F761A8">
        <w:t>Efficiency test in general</w:t>
      </w:r>
    </w:p>
    <w:p w:rsidR="00861FF6" w:rsidRPr="00F761A8" w:rsidRDefault="00861FF6" w:rsidP="0001711C">
      <w:pPr>
        <w:pStyle w:val="SingleTxtG"/>
        <w:tabs>
          <w:tab w:val="left" w:pos="1701"/>
        </w:tabs>
        <w:suppressAutoHyphens/>
        <w:ind w:right="0"/>
        <w:rPr>
          <w:lang w:val="en-US"/>
        </w:rPr>
      </w:pPr>
      <w:r w:rsidRPr="00F761A8">
        <w:rPr>
          <w:lang w:val="en-US"/>
        </w:rPr>
        <w:t>An efficiency test of a thermal appliance is no</w:t>
      </w:r>
      <w:r w:rsidR="00F91E43" w:rsidRPr="00F761A8">
        <w:rPr>
          <w:lang w:val="en-US"/>
        </w:rPr>
        <w:t xml:space="preserve">t a </w:t>
      </w:r>
      <w:r w:rsidRPr="00F761A8">
        <w:rPr>
          <w:lang w:val="en-US"/>
        </w:rPr>
        <w:t>capacity test</w:t>
      </w:r>
      <w:r w:rsidR="00F91E43" w:rsidRPr="00F761A8">
        <w:rPr>
          <w:lang w:val="en-US"/>
        </w:rPr>
        <w:t xml:space="preserve"> but a functioning test</w:t>
      </w:r>
      <w:r w:rsidRPr="00F761A8">
        <w:rPr>
          <w:lang w:val="en-US"/>
        </w:rPr>
        <w:t xml:space="preserve">. It is just to prove that the appliance is still functioning </w:t>
      </w:r>
      <w:r w:rsidR="00F91E43" w:rsidRPr="00F761A8">
        <w:rPr>
          <w:lang w:val="en-US"/>
        </w:rPr>
        <w:t xml:space="preserve">as intended </w:t>
      </w:r>
      <w:r w:rsidRPr="00F761A8">
        <w:rPr>
          <w:lang w:val="en-US"/>
        </w:rPr>
        <w:t xml:space="preserve">and </w:t>
      </w:r>
      <w:r w:rsidR="00F91E43" w:rsidRPr="00F761A8">
        <w:rPr>
          <w:lang w:val="en-US"/>
        </w:rPr>
        <w:t xml:space="preserve">is </w:t>
      </w:r>
      <w:r w:rsidRPr="00F761A8">
        <w:rPr>
          <w:lang w:val="en-US"/>
        </w:rPr>
        <w:t>able to reach class temperature.</w:t>
      </w:r>
      <w:r w:rsidR="00DD44A5" w:rsidRPr="00F761A8">
        <w:rPr>
          <w:lang w:val="en-US"/>
        </w:rPr>
        <w:t xml:space="preserve"> The </w:t>
      </w:r>
      <w:r w:rsidR="00000774" w:rsidRPr="00F761A8">
        <w:rPr>
          <w:lang w:val="en-US"/>
        </w:rPr>
        <w:t>circumstances this test is run under i</w:t>
      </w:r>
      <w:r w:rsidR="00DD44A5" w:rsidRPr="00F761A8">
        <w:rPr>
          <w:lang w:val="en-US"/>
        </w:rPr>
        <w:t>s not a normal situation where a pre-cooled load is in the insulated body.</w:t>
      </w:r>
    </w:p>
    <w:p w:rsidR="00D76A6E" w:rsidRPr="00F761A8" w:rsidRDefault="00D76A6E" w:rsidP="0001711C">
      <w:pPr>
        <w:pStyle w:val="SingleTxtG"/>
        <w:tabs>
          <w:tab w:val="left" w:pos="1701"/>
        </w:tabs>
        <w:suppressAutoHyphens/>
        <w:ind w:right="0"/>
        <w:rPr>
          <w:lang w:val="en-US"/>
        </w:rPr>
      </w:pPr>
      <w:r w:rsidRPr="00F761A8">
        <w:rPr>
          <w:lang w:val="en-US"/>
        </w:rPr>
        <w:t xml:space="preserve">For this test the insulated body is empty and internal two temperature sensors are used, when de highest </w:t>
      </w:r>
      <w:r w:rsidR="00F91E43" w:rsidRPr="00F761A8">
        <w:rPr>
          <w:lang w:val="en-US"/>
        </w:rPr>
        <w:t xml:space="preserve">temperature </w:t>
      </w:r>
      <w:r w:rsidR="00000774" w:rsidRPr="00F761A8">
        <w:rPr>
          <w:lang w:val="en-US"/>
        </w:rPr>
        <w:t xml:space="preserve">sensor </w:t>
      </w:r>
      <w:r w:rsidRPr="00F761A8">
        <w:rPr>
          <w:lang w:val="en-US"/>
        </w:rPr>
        <w:t>has reached class temperature it passes the tests.</w:t>
      </w:r>
      <w:r w:rsidR="00CC3378" w:rsidRPr="00F761A8">
        <w:rPr>
          <w:lang w:val="en-US"/>
        </w:rPr>
        <w:t xml:space="preserve"> </w:t>
      </w:r>
    </w:p>
    <w:p w:rsidR="00F91E43" w:rsidRPr="00F761A8" w:rsidRDefault="00090B75" w:rsidP="0001711C">
      <w:pPr>
        <w:pStyle w:val="H1G"/>
        <w:ind w:right="0"/>
      </w:pPr>
      <w:r>
        <w:tab/>
      </w:r>
      <w:r>
        <w:tab/>
      </w:r>
      <w:r w:rsidR="00CC3378" w:rsidRPr="00F761A8">
        <w:t>Efficiency test for MTMC mechanical refrigeration units</w:t>
      </w:r>
    </w:p>
    <w:p w:rsidR="00CC3378" w:rsidRPr="00F761A8" w:rsidRDefault="001D3F6C" w:rsidP="0001711C">
      <w:pPr>
        <w:pStyle w:val="SingleTxtG"/>
        <w:tabs>
          <w:tab w:val="left" w:pos="1701"/>
        </w:tabs>
        <w:suppressAutoHyphens/>
        <w:ind w:right="0"/>
        <w:rPr>
          <w:lang w:val="en-US"/>
        </w:rPr>
      </w:pPr>
      <w:r w:rsidRPr="00F761A8">
        <w:rPr>
          <w:lang w:val="en-US"/>
        </w:rPr>
        <w:t xml:space="preserve">The unit shall be able to </w:t>
      </w:r>
      <w:r w:rsidR="00114BFA" w:rsidRPr="00F761A8">
        <w:rPr>
          <w:lang w:val="en-US"/>
        </w:rPr>
        <w:t>fulfill</w:t>
      </w:r>
      <w:r w:rsidRPr="00F761A8">
        <w:rPr>
          <w:lang w:val="en-US"/>
        </w:rPr>
        <w:t xml:space="preserve"> the efficiency test as for mono temp application. It shall be able to reach class temperature. It can be argued if additional testing is required to prove that the different temperature in compartments can be reached. As the reg</w:t>
      </w:r>
      <w:r w:rsidR="00114BFA" w:rsidRPr="00F761A8">
        <w:rPr>
          <w:lang w:val="en-US"/>
        </w:rPr>
        <w:t xml:space="preserve">ulating mechanism of </w:t>
      </w:r>
      <w:r w:rsidRPr="00F761A8">
        <w:rPr>
          <w:lang w:val="en-US"/>
        </w:rPr>
        <w:t xml:space="preserve">mechanical MTMC units </w:t>
      </w:r>
      <w:r w:rsidR="00114BFA" w:rsidRPr="00F761A8">
        <w:rPr>
          <w:lang w:val="en-US"/>
        </w:rPr>
        <w:t>is sophisticated there is merit in an additional check. The complete test should be limited in time and costs, the test will also give additional pol</w:t>
      </w:r>
      <w:r w:rsidR="00AF67C6" w:rsidRPr="00F761A8">
        <w:rPr>
          <w:lang w:val="en-US"/>
        </w:rPr>
        <w:t>l</w:t>
      </w:r>
      <w:r w:rsidR="00114BFA" w:rsidRPr="00F761A8">
        <w:rPr>
          <w:lang w:val="en-US"/>
        </w:rPr>
        <w:t>ution.</w:t>
      </w:r>
    </w:p>
    <w:p w:rsidR="00114BFA" w:rsidRPr="00F761A8" w:rsidRDefault="00AF67C6" w:rsidP="0001711C">
      <w:pPr>
        <w:pStyle w:val="SingleTxtG"/>
        <w:tabs>
          <w:tab w:val="left" w:pos="1701"/>
        </w:tabs>
        <w:suppressAutoHyphens/>
        <w:ind w:right="0"/>
        <w:rPr>
          <w:lang w:val="en-US"/>
        </w:rPr>
      </w:pPr>
      <w:r w:rsidRPr="00F761A8">
        <w:rPr>
          <w:lang w:val="en-US"/>
        </w:rPr>
        <w:t>In France a retest for mechanical MTMC units is in use</w:t>
      </w:r>
      <w:r w:rsidR="00DD44A5" w:rsidRPr="00F761A8">
        <w:rPr>
          <w:lang w:val="en-US"/>
        </w:rPr>
        <w:t xml:space="preserve"> for some time</w:t>
      </w:r>
      <w:r w:rsidRPr="00F761A8">
        <w:rPr>
          <w:lang w:val="en-US"/>
        </w:rPr>
        <w:t xml:space="preserve">. The retest starts with a normal efficiency test as applicable for mono temp use. </w:t>
      </w:r>
      <w:r w:rsidR="004A1668" w:rsidRPr="00F761A8">
        <w:rPr>
          <w:lang w:val="en-US"/>
        </w:rPr>
        <w:t>The interior shall b</w:t>
      </w:r>
      <w:r w:rsidR="00A944A6" w:rsidRPr="00F761A8">
        <w:rPr>
          <w:lang w:val="en-US"/>
        </w:rPr>
        <w:t>e</w:t>
      </w:r>
      <w:r w:rsidR="004A1668" w:rsidRPr="00F761A8">
        <w:rPr>
          <w:lang w:val="en-US"/>
        </w:rPr>
        <w:t xml:space="preserve"> brought to the class temperature</w:t>
      </w:r>
      <w:r w:rsidR="00DD44A5" w:rsidRPr="00F761A8">
        <w:rPr>
          <w:lang w:val="en-US"/>
        </w:rPr>
        <w:t xml:space="preserve"> which is -20</w:t>
      </w:r>
      <w:r w:rsidR="00316661" w:rsidRPr="00F761A8">
        <w:rPr>
          <w:vertAlign w:val="superscript"/>
          <w:lang w:val="en-US"/>
        </w:rPr>
        <w:t>0</w:t>
      </w:r>
      <w:r w:rsidR="00DD44A5" w:rsidRPr="00F761A8">
        <w:rPr>
          <w:lang w:val="en-US"/>
        </w:rPr>
        <w:t>C</w:t>
      </w:r>
      <w:r w:rsidR="004A1668" w:rsidRPr="00F761A8">
        <w:rPr>
          <w:lang w:val="en-US"/>
        </w:rPr>
        <w:t xml:space="preserve">. In each compartment 2 temperature sensors are applied. </w:t>
      </w:r>
    </w:p>
    <w:p w:rsidR="004A1668" w:rsidRPr="00F761A8" w:rsidRDefault="004A1668" w:rsidP="0001711C">
      <w:pPr>
        <w:pStyle w:val="SingleTxtG"/>
        <w:tabs>
          <w:tab w:val="left" w:pos="1701"/>
        </w:tabs>
        <w:suppressAutoHyphens/>
        <w:ind w:right="0"/>
        <w:rPr>
          <w:lang w:val="en-US"/>
        </w:rPr>
      </w:pPr>
      <w:r w:rsidRPr="00F761A8">
        <w:rPr>
          <w:lang w:val="en-US"/>
        </w:rPr>
        <w:t>When the class temperature is reached in the equipment as whole and a stabil</w:t>
      </w:r>
      <w:r w:rsidR="009412B2" w:rsidRPr="00F761A8">
        <w:rPr>
          <w:lang w:val="en-US"/>
        </w:rPr>
        <w:t>iz</w:t>
      </w:r>
      <w:r w:rsidRPr="00F761A8">
        <w:rPr>
          <w:lang w:val="en-US"/>
        </w:rPr>
        <w:t xml:space="preserve">ation period </w:t>
      </w:r>
      <w:r w:rsidR="00292F94" w:rsidRPr="00F761A8">
        <w:rPr>
          <w:lang w:val="en-US"/>
        </w:rPr>
        <w:t xml:space="preserve">of 10 minutes </w:t>
      </w:r>
      <w:r w:rsidRPr="00F761A8">
        <w:rPr>
          <w:lang w:val="en-US"/>
        </w:rPr>
        <w:t xml:space="preserve">has passed the temperature of </w:t>
      </w:r>
      <w:r w:rsidR="009412B2" w:rsidRPr="00F761A8">
        <w:rPr>
          <w:lang w:val="en-US"/>
        </w:rPr>
        <w:t>a compartment is raised to 0</w:t>
      </w:r>
      <w:r w:rsidR="00316661" w:rsidRPr="00F761A8">
        <w:rPr>
          <w:lang w:val="en-US"/>
        </w:rPr>
        <w:t xml:space="preserve"> </w:t>
      </w:r>
      <w:r w:rsidR="00316661" w:rsidRPr="00F761A8">
        <w:rPr>
          <w:vertAlign w:val="superscript"/>
          <w:lang w:val="en-US"/>
        </w:rPr>
        <w:t>0</w:t>
      </w:r>
      <w:r w:rsidR="00316661" w:rsidRPr="00F761A8">
        <w:rPr>
          <w:lang w:val="en-US"/>
        </w:rPr>
        <w:t>C</w:t>
      </w:r>
      <w:r w:rsidR="009412B2" w:rsidRPr="00F761A8">
        <w:rPr>
          <w:lang w:val="en-US"/>
        </w:rPr>
        <w:t xml:space="preserve"> while the others are kept at class temperature. Once 0 </w:t>
      </w:r>
      <w:r w:rsidR="00316661" w:rsidRPr="00F761A8">
        <w:rPr>
          <w:vertAlign w:val="superscript"/>
          <w:lang w:val="en-US"/>
        </w:rPr>
        <w:t>0</w:t>
      </w:r>
      <w:r w:rsidR="00316661" w:rsidRPr="00F761A8">
        <w:rPr>
          <w:lang w:val="en-US"/>
        </w:rPr>
        <w:t>C</w:t>
      </w:r>
      <w:r w:rsidR="009412B2" w:rsidRPr="00F761A8">
        <w:rPr>
          <w:lang w:val="en-US"/>
        </w:rPr>
        <w:t xml:space="preserve"> is reached </w:t>
      </w:r>
      <w:r w:rsidR="00292F94" w:rsidRPr="00F761A8">
        <w:rPr>
          <w:lang w:val="en-US"/>
        </w:rPr>
        <w:t xml:space="preserve">in this compartment </w:t>
      </w:r>
      <w:r w:rsidR="009412B2" w:rsidRPr="00F761A8">
        <w:rPr>
          <w:lang w:val="en-US"/>
        </w:rPr>
        <w:t>by the hottest temperature sensor this will be reversed for other compartments after another stabilization period. The compartments are tested in pairs</w:t>
      </w:r>
      <w:r w:rsidR="001B0299">
        <w:rPr>
          <w:lang w:val="en-US"/>
        </w:rPr>
        <w:t xml:space="preserve">, i.e. 1 and 3 </w:t>
      </w:r>
      <w:r w:rsidR="00385157" w:rsidRPr="00F761A8">
        <w:rPr>
          <w:lang w:val="en-US"/>
        </w:rPr>
        <w:t xml:space="preserve">and 2 and 4 (if available). In practice this will result in 3 tests, the normal efficiency test which should be easily reached for well maintained </w:t>
      </w:r>
      <w:r w:rsidR="00292F94" w:rsidRPr="00F761A8">
        <w:rPr>
          <w:lang w:val="en-US"/>
        </w:rPr>
        <w:t xml:space="preserve">MTMC </w:t>
      </w:r>
      <w:r w:rsidR="00385157" w:rsidRPr="00F761A8">
        <w:rPr>
          <w:lang w:val="en-US"/>
        </w:rPr>
        <w:t xml:space="preserve">equipment and 2 times a heat up/cool down test for the compartments. </w:t>
      </w:r>
      <w:r w:rsidR="00605A0F" w:rsidRPr="00F761A8">
        <w:rPr>
          <w:lang w:val="en-US"/>
        </w:rPr>
        <w:t>Although there is no time limit for t</w:t>
      </w:r>
      <w:r w:rsidR="00292F94" w:rsidRPr="00F761A8">
        <w:rPr>
          <w:lang w:val="en-US"/>
        </w:rPr>
        <w:t>h</w:t>
      </w:r>
      <w:r w:rsidR="00605A0F" w:rsidRPr="00F761A8">
        <w:rPr>
          <w:lang w:val="en-US"/>
        </w:rPr>
        <w:t>e compartment tests t</w:t>
      </w:r>
      <w:r w:rsidR="00385157" w:rsidRPr="00F761A8">
        <w:rPr>
          <w:lang w:val="en-US"/>
        </w:rPr>
        <w:t xml:space="preserve">he </w:t>
      </w:r>
      <w:r w:rsidR="00292F94" w:rsidRPr="00F761A8">
        <w:rPr>
          <w:lang w:val="en-US"/>
        </w:rPr>
        <w:t xml:space="preserve">experience </w:t>
      </w:r>
      <w:r w:rsidR="00385157" w:rsidRPr="00F761A8">
        <w:rPr>
          <w:lang w:val="en-US"/>
        </w:rPr>
        <w:t xml:space="preserve">in France is that this can be done </w:t>
      </w:r>
      <w:r w:rsidR="00605A0F" w:rsidRPr="00F761A8">
        <w:rPr>
          <w:lang w:val="en-US"/>
        </w:rPr>
        <w:t xml:space="preserve">for the </w:t>
      </w:r>
      <w:r w:rsidR="0001711C">
        <w:rPr>
          <w:lang w:val="en-US"/>
        </w:rPr>
        <w:t>"</w:t>
      </w:r>
      <w:r w:rsidR="00605A0F" w:rsidRPr="00F761A8">
        <w:rPr>
          <w:lang w:val="en-US"/>
        </w:rPr>
        <w:t>standard</w:t>
      </w:r>
      <w:r w:rsidR="0001711C">
        <w:rPr>
          <w:lang w:val="en-US"/>
        </w:rPr>
        <w:t>"</w:t>
      </w:r>
      <w:r w:rsidR="00605A0F" w:rsidRPr="00F761A8">
        <w:rPr>
          <w:lang w:val="en-US"/>
        </w:rPr>
        <w:t xml:space="preserve"> 3 compartment units </w:t>
      </w:r>
      <w:r w:rsidR="004E1FF8">
        <w:rPr>
          <w:lang w:val="en-US"/>
        </w:rPr>
        <w:t>within one working day.</w:t>
      </w:r>
    </w:p>
    <w:p w:rsidR="001D3F6C" w:rsidRPr="00F761A8" w:rsidRDefault="00A944A6" w:rsidP="0001711C">
      <w:pPr>
        <w:pStyle w:val="SingleTxtG"/>
        <w:tabs>
          <w:tab w:val="left" w:pos="1701"/>
        </w:tabs>
        <w:suppressAutoHyphens/>
        <w:ind w:right="0"/>
        <w:rPr>
          <w:lang w:val="en-US"/>
        </w:rPr>
      </w:pPr>
      <w:r w:rsidRPr="00F761A8">
        <w:rPr>
          <w:lang w:val="en-US"/>
        </w:rPr>
        <w:t>Moveable partitions are placed in relation to the surface of the resulting compartment to the capacity of the evaporator</w:t>
      </w:r>
      <w:r w:rsidR="00CE6994" w:rsidRPr="00F761A8">
        <w:rPr>
          <w:lang w:val="en-US"/>
        </w:rPr>
        <w:t>s</w:t>
      </w:r>
      <w:r w:rsidRPr="00F761A8">
        <w:rPr>
          <w:lang w:val="en-US"/>
        </w:rPr>
        <w:t>.</w:t>
      </w:r>
      <w:r w:rsidR="00605A0F" w:rsidRPr="00F761A8">
        <w:rPr>
          <w:lang w:val="en-US"/>
        </w:rPr>
        <w:t xml:space="preserve"> </w:t>
      </w:r>
      <w:r w:rsidR="00292F94" w:rsidRPr="00F761A8">
        <w:rPr>
          <w:lang w:val="en-US"/>
        </w:rPr>
        <w:t>Fo</w:t>
      </w:r>
      <w:r w:rsidR="00175B24" w:rsidRPr="00F761A8">
        <w:rPr>
          <w:lang w:val="en-US"/>
        </w:rPr>
        <w:t>r</w:t>
      </w:r>
      <w:r w:rsidR="00292F94" w:rsidRPr="00F761A8">
        <w:rPr>
          <w:lang w:val="en-US"/>
        </w:rPr>
        <w:t xml:space="preserve"> this a calculation tool is used but the average surface area can also be predetermined and included in an information document. </w:t>
      </w:r>
    </w:p>
    <w:p w:rsidR="00A944A6" w:rsidRPr="00F761A8" w:rsidRDefault="00A944A6" w:rsidP="0001711C">
      <w:pPr>
        <w:pStyle w:val="SingleTxtG"/>
        <w:tabs>
          <w:tab w:val="left" w:pos="1701"/>
        </w:tabs>
        <w:suppressAutoHyphens/>
        <w:ind w:right="0"/>
        <w:rPr>
          <w:lang w:val="en-US"/>
        </w:rPr>
      </w:pPr>
      <w:r w:rsidRPr="00F761A8">
        <w:rPr>
          <w:lang w:val="en-US"/>
        </w:rPr>
        <w:t xml:space="preserve">The test report </w:t>
      </w:r>
      <w:r w:rsidR="00E77731" w:rsidRPr="00F761A8">
        <w:rPr>
          <w:lang w:val="en-US"/>
        </w:rPr>
        <w:t xml:space="preserve">of the additional test </w:t>
      </w:r>
      <w:r w:rsidR="00605A0F" w:rsidRPr="00F761A8">
        <w:rPr>
          <w:lang w:val="en-US"/>
        </w:rPr>
        <w:t xml:space="preserve">could be kept </w:t>
      </w:r>
      <w:r w:rsidRPr="00F761A8">
        <w:rPr>
          <w:lang w:val="en-US"/>
        </w:rPr>
        <w:t>fairy simple when the information document to the ATP certificate is available. (see annex 2 of this document Model No. 11).</w:t>
      </w:r>
    </w:p>
    <w:p w:rsidR="00DD44A5" w:rsidRPr="00F761A8" w:rsidRDefault="00A944A6" w:rsidP="0001711C">
      <w:pPr>
        <w:pStyle w:val="SingleTxtG"/>
        <w:tabs>
          <w:tab w:val="left" w:pos="1701"/>
        </w:tabs>
        <w:suppressAutoHyphens/>
        <w:ind w:right="0"/>
        <w:rPr>
          <w:u w:val="single"/>
          <w:lang w:val="en-US"/>
        </w:rPr>
      </w:pPr>
      <w:r w:rsidRPr="00F761A8">
        <w:rPr>
          <w:lang w:val="en-US"/>
        </w:rPr>
        <w:t>However Annex 1, Appendix 2 section 8 does not provide for requirements for heating</w:t>
      </w:r>
      <w:r w:rsidR="00605A0F" w:rsidRPr="00F761A8">
        <w:rPr>
          <w:lang w:val="en-US"/>
        </w:rPr>
        <w:t xml:space="preserve">. </w:t>
      </w:r>
      <w:r w:rsidR="00E66235" w:rsidRPr="00F761A8">
        <w:rPr>
          <w:lang w:val="en-US"/>
        </w:rPr>
        <w:t>How to deal with t</w:t>
      </w:r>
      <w:r w:rsidR="00E77731" w:rsidRPr="00F761A8">
        <w:rPr>
          <w:lang w:val="en-US"/>
        </w:rPr>
        <w:t>his test if there is no heating?</w:t>
      </w:r>
      <w:r w:rsidR="00E66235" w:rsidRPr="00F761A8">
        <w:rPr>
          <w:lang w:val="en-US"/>
        </w:rPr>
        <w:t xml:space="preserve"> In practice all mechanical MTMC refrigeration units can supply heat. Maybe just opening the doors and start anew. The internal body will be cooled down already but the test is to see if the unit can function and not the capacity.</w:t>
      </w:r>
      <w:r w:rsidR="004E1FF8">
        <w:rPr>
          <w:lang w:val="en-US"/>
        </w:rPr>
        <w:t xml:space="preserve"> </w:t>
      </w:r>
      <w:r w:rsidR="00E66235" w:rsidRPr="00F761A8">
        <w:rPr>
          <w:lang w:val="en-US"/>
        </w:rPr>
        <w:t>It can be questioned if heating should be part of MTMC equipment and if an additional test is really needed for units working on liquefied gas.</w:t>
      </w:r>
      <w:r w:rsidR="00DD44A5" w:rsidRPr="00F761A8">
        <w:rPr>
          <w:u w:val="single"/>
          <w:lang w:val="en-US"/>
        </w:rPr>
        <w:br w:type="page"/>
      </w:r>
    </w:p>
    <w:p w:rsidR="00AE5896" w:rsidRPr="00F761A8" w:rsidRDefault="00090B75" w:rsidP="0001711C">
      <w:pPr>
        <w:pStyle w:val="H1G"/>
        <w:ind w:right="0"/>
      </w:pPr>
      <w:r>
        <w:lastRenderedPageBreak/>
        <w:tab/>
      </w:r>
      <w:r>
        <w:tab/>
      </w:r>
      <w:r w:rsidR="009B4369" w:rsidRPr="00F761A8">
        <w:t>Suggestion 4</w:t>
      </w:r>
    </w:p>
    <w:p w:rsidR="00AE5896" w:rsidRPr="00F761A8" w:rsidRDefault="007D2663" w:rsidP="0001711C">
      <w:pPr>
        <w:pStyle w:val="SingleTxtG"/>
        <w:tabs>
          <w:tab w:val="left" w:pos="1701"/>
        </w:tabs>
        <w:suppressAutoHyphens/>
        <w:ind w:right="0"/>
        <w:rPr>
          <w:lang w:val="en-US"/>
        </w:rPr>
      </w:pPr>
      <w:r w:rsidRPr="00F761A8">
        <w:rPr>
          <w:lang w:val="en-US"/>
        </w:rPr>
        <w:t>Introduce a new (i</w:t>
      </w:r>
      <w:r w:rsidR="00FF3B53" w:rsidRPr="00F761A8">
        <w:rPr>
          <w:lang w:val="en-US"/>
        </w:rPr>
        <w:t>ii</w:t>
      </w:r>
      <w:r w:rsidRPr="00F761A8">
        <w:rPr>
          <w:lang w:val="en-US"/>
        </w:rPr>
        <w:t>) to paragraph 6.2 of Annex 1 Appendix 2 to read:</w:t>
      </w:r>
      <w:r w:rsidR="00E77731" w:rsidRPr="00F761A8">
        <w:rPr>
          <w:lang w:val="en-US"/>
        </w:rPr>
        <w:t xml:space="preserve"> (this is only for mechanically refrigerated!!)</w:t>
      </w:r>
    </w:p>
    <w:p w:rsidR="007D2663" w:rsidRPr="00AE66A0" w:rsidRDefault="00FF3B53" w:rsidP="0001711C">
      <w:pPr>
        <w:pStyle w:val="SingleTxtG"/>
        <w:tabs>
          <w:tab w:val="left" w:pos="1701"/>
        </w:tabs>
        <w:suppressAutoHyphens/>
        <w:ind w:right="0"/>
        <w:rPr>
          <w:lang w:val="en-US"/>
        </w:rPr>
      </w:pPr>
      <w:r w:rsidRPr="00AE66A0">
        <w:rPr>
          <w:lang w:val="en-US"/>
        </w:rPr>
        <w:t>(iii)</w:t>
      </w:r>
      <w:r w:rsidRPr="00AE66A0">
        <w:rPr>
          <w:lang w:val="en-US"/>
        </w:rPr>
        <w:tab/>
      </w:r>
      <w:r w:rsidR="007D2663" w:rsidRPr="00AE66A0">
        <w:rPr>
          <w:lang w:val="en-US"/>
        </w:rPr>
        <w:t>Multi temperature</w:t>
      </w:r>
      <w:r w:rsidRPr="00AE66A0">
        <w:rPr>
          <w:lang w:val="en-US"/>
        </w:rPr>
        <w:t>- multi compartment equipment.</w:t>
      </w:r>
    </w:p>
    <w:p w:rsidR="00FF3B53" w:rsidRPr="00090B75" w:rsidRDefault="00FF3B53" w:rsidP="0001711C">
      <w:pPr>
        <w:pStyle w:val="SingleTxtG"/>
        <w:tabs>
          <w:tab w:val="left" w:pos="1701"/>
        </w:tabs>
        <w:suppressAutoHyphens/>
        <w:ind w:right="0"/>
        <w:rPr>
          <w:i/>
          <w:lang w:val="en-US"/>
        </w:rPr>
      </w:pPr>
      <w:r w:rsidRPr="00090B75">
        <w:rPr>
          <w:i/>
          <w:lang w:val="en-US"/>
        </w:rPr>
        <w:t xml:space="preserve">It shall be verified that </w:t>
      </w:r>
      <w:r w:rsidR="005B315B" w:rsidRPr="00090B75">
        <w:rPr>
          <w:i/>
          <w:lang w:val="en-US"/>
        </w:rPr>
        <w:t xml:space="preserve">the unit for the insulated body as a whole </w:t>
      </w:r>
      <w:r w:rsidR="00CD52FC" w:rsidRPr="00090B75">
        <w:rPr>
          <w:i/>
          <w:lang w:val="en-US"/>
        </w:rPr>
        <w:t>compl</w:t>
      </w:r>
      <w:r w:rsidR="005B315B" w:rsidRPr="00090B75">
        <w:rPr>
          <w:i/>
          <w:lang w:val="en-US"/>
        </w:rPr>
        <w:t xml:space="preserve">ies </w:t>
      </w:r>
      <w:r w:rsidR="00CD52FC" w:rsidRPr="00090B75">
        <w:rPr>
          <w:i/>
          <w:lang w:val="en-US"/>
        </w:rPr>
        <w:t>with 6.2 (i).</w:t>
      </w:r>
    </w:p>
    <w:p w:rsidR="00FC7093" w:rsidRPr="00090B75" w:rsidRDefault="00FC7093" w:rsidP="0001711C">
      <w:pPr>
        <w:pStyle w:val="SingleTxtG"/>
        <w:tabs>
          <w:tab w:val="left" w:pos="1701"/>
        </w:tabs>
        <w:suppressAutoHyphens/>
        <w:ind w:right="0"/>
        <w:rPr>
          <w:i/>
          <w:lang w:val="en-US"/>
        </w:rPr>
      </w:pPr>
      <w:r w:rsidRPr="00090B75">
        <w:rPr>
          <w:i/>
          <w:lang w:val="en-US"/>
        </w:rPr>
        <w:t>The compartments shall be divided into two groups in such a way that</w:t>
      </w:r>
      <w:r w:rsidR="00686D60" w:rsidRPr="00090B75">
        <w:rPr>
          <w:i/>
          <w:lang w:val="en-US"/>
        </w:rPr>
        <w:t>,</w:t>
      </w:r>
      <w:r w:rsidRPr="00090B75">
        <w:rPr>
          <w:i/>
          <w:lang w:val="en-US"/>
        </w:rPr>
        <w:t xml:space="preserve"> </w:t>
      </w:r>
      <w:r w:rsidR="002F643F" w:rsidRPr="00090B75">
        <w:rPr>
          <w:i/>
          <w:lang w:val="en-US"/>
        </w:rPr>
        <w:t>for as far as possible</w:t>
      </w:r>
      <w:r w:rsidR="00686D60" w:rsidRPr="00090B75">
        <w:rPr>
          <w:i/>
          <w:lang w:val="en-US"/>
        </w:rPr>
        <w:t>,</w:t>
      </w:r>
      <w:r w:rsidR="002F643F" w:rsidRPr="00090B75">
        <w:rPr>
          <w:i/>
          <w:lang w:val="en-US"/>
        </w:rPr>
        <w:t xml:space="preserve"> </w:t>
      </w:r>
      <w:r w:rsidRPr="00090B75">
        <w:rPr>
          <w:i/>
          <w:lang w:val="en-US"/>
        </w:rPr>
        <w:t xml:space="preserve">adjacent compartments have a </w:t>
      </w:r>
      <w:r w:rsidR="002F643F" w:rsidRPr="00090B75">
        <w:rPr>
          <w:i/>
          <w:lang w:val="en-US"/>
        </w:rPr>
        <w:t xml:space="preserve">different </w:t>
      </w:r>
      <w:r w:rsidRPr="00090B75">
        <w:rPr>
          <w:i/>
          <w:lang w:val="en-US"/>
        </w:rPr>
        <w:t xml:space="preserve">temperature </w:t>
      </w:r>
      <w:r w:rsidR="002F643F" w:rsidRPr="00090B75">
        <w:rPr>
          <w:i/>
          <w:lang w:val="en-US"/>
        </w:rPr>
        <w:t xml:space="preserve">setting during the test. One group is brought to the class temperature (-20 </w:t>
      </w:r>
      <w:r w:rsidR="00316661" w:rsidRPr="00090B75">
        <w:rPr>
          <w:i/>
          <w:lang w:val="en-US"/>
        </w:rPr>
        <w:t>0</w:t>
      </w:r>
      <w:r w:rsidR="00090B75">
        <w:rPr>
          <w:i/>
          <w:lang w:val="en-US"/>
        </w:rPr>
        <w:t>C</w:t>
      </w:r>
      <w:r w:rsidR="002F643F" w:rsidRPr="00090B75">
        <w:rPr>
          <w:i/>
          <w:lang w:val="en-US"/>
        </w:rPr>
        <w:t xml:space="preserve">) while the other group </w:t>
      </w:r>
      <w:r w:rsidR="007619FA" w:rsidRPr="00090B75">
        <w:rPr>
          <w:i/>
          <w:lang w:val="en-US"/>
        </w:rPr>
        <w:t xml:space="preserve">is </w:t>
      </w:r>
      <w:r w:rsidR="001B0299">
        <w:rPr>
          <w:i/>
          <w:lang w:val="en-US"/>
        </w:rPr>
        <w:t>chilled (</w:t>
      </w:r>
      <w:r w:rsidR="002F643F" w:rsidRPr="00090B75">
        <w:rPr>
          <w:i/>
          <w:lang w:val="en-US"/>
        </w:rPr>
        <w:t xml:space="preserve">0 </w:t>
      </w:r>
      <w:r w:rsidR="00316661" w:rsidRPr="00090B75">
        <w:rPr>
          <w:i/>
          <w:lang w:val="en-US"/>
        </w:rPr>
        <w:t>0C</w:t>
      </w:r>
      <w:r w:rsidR="002F643F" w:rsidRPr="00090B75">
        <w:rPr>
          <w:i/>
          <w:lang w:val="en-US"/>
        </w:rPr>
        <w:t>).</w:t>
      </w:r>
      <w:r w:rsidR="007619FA" w:rsidRPr="00090B75">
        <w:rPr>
          <w:i/>
          <w:lang w:val="en-US"/>
        </w:rPr>
        <w:t xml:space="preserve"> After reaching the temperature limit this </w:t>
      </w:r>
      <w:r w:rsidR="000228B1" w:rsidRPr="00090B75">
        <w:rPr>
          <w:i/>
          <w:lang w:val="en-US"/>
        </w:rPr>
        <w:t xml:space="preserve">temperature setting </w:t>
      </w:r>
      <w:r w:rsidR="007619FA" w:rsidRPr="00090B75">
        <w:rPr>
          <w:i/>
          <w:lang w:val="en-US"/>
        </w:rPr>
        <w:t>shall be reversed for the groups of compartments.</w:t>
      </w:r>
    </w:p>
    <w:p w:rsidR="007619FA" w:rsidRPr="00090B75" w:rsidRDefault="00031297" w:rsidP="0001711C">
      <w:pPr>
        <w:pStyle w:val="SingleTxtG"/>
        <w:tabs>
          <w:tab w:val="left" w:pos="1701"/>
        </w:tabs>
        <w:suppressAutoHyphens/>
        <w:ind w:right="0"/>
        <w:rPr>
          <w:i/>
          <w:lang w:val="en-US"/>
        </w:rPr>
      </w:pPr>
      <w:r w:rsidRPr="00090B75">
        <w:rPr>
          <w:i/>
          <w:lang w:val="en-US"/>
        </w:rPr>
        <w:t>For units with a heating function the check shall be started after the efficiency</w:t>
      </w:r>
      <w:r w:rsidR="001171A7" w:rsidRPr="00090B75">
        <w:rPr>
          <w:i/>
          <w:lang w:val="en-US"/>
        </w:rPr>
        <w:t xml:space="preserve"> test while the temperature is</w:t>
      </w:r>
      <w:r w:rsidRPr="00090B75">
        <w:rPr>
          <w:i/>
          <w:lang w:val="en-US"/>
        </w:rPr>
        <w:t xml:space="preserve"> -20 </w:t>
      </w:r>
      <w:r w:rsidR="00316661" w:rsidRPr="00090B75">
        <w:rPr>
          <w:i/>
          <w:lang w:val="en-US"/>
        </w:rPr>
        <w:t>0C</w:t>
      </w:r>
      <w:r w:rsidRPr="00090B75">
        <w:rPr>
          <w:i/>
          <w:lang w:val="en-US"/>
        </w:rPr>
        <w:t xml:space="preserve">. One group of compartments is heated up while the other group remains at the class temperature. When the temperature is reached this shall be reversed were the chilled compartments are </w:t>
      </w:r>
      <w:r w:rsidR="004B7BF2" w:rsidRPr="00090B75">
        <w:rPr>
          <w:i/>
          <w:lang w:val="en-US"/>
        </w:rPr>
        <w:t xml:space="preserve">reduced in temperature to -20 </w:t>
      </w:r>
      <w:r w:rsidR="00316661" w:rsidRPr="00090B75">
        <w:rPr>
          <w:i/>
          <w:lang w:val="en-US"/>
        </w:rPr>
        <w:t>0C</w:t>
      </w:r>
      <w:r w:rsidR="004B7BF2" w:rsidRPr="00090B75">
        <w:rPr>
          <w:i/>
          <w:lang w:val="en-US"/>
        </w:rPr>
        <w:t xml:space="preserve"> and the previously frozen </w:t>
      </w:r>
      <w:r w:rsidR="00C56C44" w:rsidRPr="00090B75">
        <w:rPr>
          <w:i/>
          <w:lang w:val="en-US"/>
        </w:rPr>
        <w:t>compartments are</w:t>
      </w:r>
      <w:r w:rsidR="004B7BF2" w:rsidRPr="00090B75">
        <w:rPr>
          <w:i/>
          <w:lang w:val="en-US"/>
        </w:rPr>
        <w:t xml:space="preserve"> heated up to be chilled. There is not time limit for these tests.</w:t>
      </w:r>
      <w:r w:rsidRPr="00090B75">
        <w:rPr>
          <w:i/>
          <w:lang w:val="en-US"/>
        </w:rPr>
        <w:t xml:space="preserve"> </w:t>
      </w:r>
    </w:p>
    <w:p w:rsidR="002F643F" w:rsidRPr="00090B75" w:rsidRDefault="005C0F10" w:rsidP="0001711C">
      <w:pPr>
        <w:pStyle w:val="SingleTxtG"/>
        <w:tabs>
          <w:tab w:val="left" w:pos="1701"/>
        </w:tabs>
        <w:suppressAutoHyphens/>
        <w:ind w:right="0"/>
        <w:rPr>
          <w:i/>
          <w:lang w:val="en-US"/>
        </w:rPr>
      </w:pPr>
      <w:r w:rsidRPr="00090B75">
        <w:rPr>
          <w:i/>
          <w:lang w:val="en-US"/>
        </w:rPr>
        <w:t xml:space="preserve">For units without a heating function the doors shall be opened and the air temperature of the interior shall be increased to above 5 </w:t>
      </w:r>
      <w:r w:rsidR="00316661" w:rsidRPr="00090B75">
        <w:rPr>
          <w:i/>
          <w:lang w:val="en-US"/>
        </w:rPr>
        <w:t>0C</w:t>
      </w:r>
      <w:r w:rsidRPr="00090B75">
        <w:rPr>
          <w:i/>
          <w:lang w:val="en-US"/>
        </w:rPr>
        <w:t>. The doors and openings in the partitions shall be closed and one group shall be brought to -20</w:t>
      </w:r>
      <w:r w:rsidR="00316661" w:rsidRPr="00090B75">
        <w:rPr>
          <w:i/>
          <w:lang w:val="en-US"/>
        </w:rPr>
        <w:t xml:space="preserve"> 0C</w:t>
      </w:r>
      <w:r w:rsidRPr="00090B75">
        <w:rPr>
          <w:i/>
          <w:lang w:val="en-US"/>
        </w:rPr>
        <w:t xml:space="preserve"> and the other to 0 </w:t>
      </w:r>
      <w:r w:rsidR="00316661" w:rsidRPr="00090B75">
        <w:rPr>
          <w:i/>
          <w:lang w:val="en-US"/>
        </w:rPr>
        <w:t>0C</w:t>
      </w:r>
      <w:r w:rsidRPr="00090B75">
        <w:rPr>
          <w:i/>
          <w:lang w:val="en-US"/>
        </w:rPr>
        <w:t>. When these temperatures are reached this shall be reversed</w:t>
      </w:r>
      <w:r w:rsidR="00C56C44" w:rsidRPr="00090B75">
        <w:rPr>
          <w:i/>
          <w:lang w:val="en-US"/>
        </w:rPr>
        <w:t>.</w:t>
      </w:r>
    </w:p>
    <w:p w:rsidR="005B315B" w:rsidRPr="00090B75" w:rsidRDefault="00AD5421" w:rsidP="0001711C">
      <w:pPr>
        <w:pStyle w:val="SingleTxtG"/>
        <w:tabs>
          <w:tab w:val="left" w:pos="1701"/>
        </w:tabs>
        <w:suppressAutoHyphens/>
        <w:ind w:right="0"/>
        <w:rPr>
          <w:i/>
          <w:lang w:val="en-US"/>
        </w:rPr>
      </w:pPr>
      <w:r w:rsidRPr="00090B75">
        <w:rPr>
          <w:i/>
          <w:lang w:val="en-US"/>
        </w:rPr>
        <w:t xml:space="preserve">Between each check there shall be a stabilization period </w:t>
      </w:r>
      <w:r w:rsidR="0082455A" w:rsidRPr="00090B75">
        <w:rPr>
          <w:i/>
          <w:lang w:val="en-US"/>
        </w:rPr>
        <w:t xml:space="preserve">of 10 minutes </w:t>
      </w:r>
      <w:r w:rsidRPr="00090B75">
        <w:rPr>
          <w:i/>
          <w:lang w:val="en-US"/>
        </w:rPr>
        <w:t>in which the compartments shall maintain the temperature. Moveable walls shall be set at the position that the overall internal surface area is in relation to that of the evaporators.</w:t>
      </w:r>
      <w:r w:rsidR="005B315B" w:rsidRPr="00090B75">
        <w:rPr>
          <w:i/>
          <w:lang w:val="en-US"/>
        </w:rPr>
        <w:t xml:space="preserve"> </w:t>
      </w:r>
      <w:r w:rsidR="0082455A" w:rsidRPr="00090B75">
        <w:rPr>
          <w:i/>
          <w:lang w:val="en-US"/>
        </w:rPr>
        <w:t xml:space="preserve">Removable walls shall be included in the test. </w:t>
      </w:r>
      <w:r w:rsidR="005B315B" w:rsidRPr="00090B75">
        <w:rPr>
          <w:i/>
          <w:lang w:val="en-US"/>
        </w:rPr>
        <w:t>In each compartment temperature sensors shall be placed in compliance with 6.4 of this appendix and the hottest sensors of each compartment shall reach class temperature.</w:t>
      </w:r>
    </w:p>
    <w:p w:rsidR="00AD5421" w:rsidRPr="00090B75" w:rsidRDefault="00AD5421" w:rsidP="0001711C">
      <w:pPr>
        <w:pStyle w:val="SingleTxtG"/>
        <w:tabs>
          <w:tab w:val="left" w:pos="1701"/>
        </w:tabs>
        <w:suppressAutoHyphens/>
        <w:ind w:right="0"/>
        <w:rPr>
          <w:i/>
          <w:lang w:val="en-US"/>
        </w:rPr>
      </w:pPr>
      <w:r w:rsidRPr="00090B75">
        <w:rPr>
          <w:i/>
          <w:lang w:val="en-US"/>
        </w:rPr>
        <w:t>If the results are acceptable, the equipment may be kept in service as mechanically</w:t>
      </w:r>
      <w:r w:rsidR="005B315B" w:rsidRPr="00090B75">
        <w:rPr>
          <w:i/>
          <w:lang w:val="en-US"/>
        </w:rPr>
        <w:t xml:space="preserve"> refrigerated MTMC eq</w:t>
      </w:r>
      <w:r w:rsidR="00090B75">
        <w:rPr>
          <w:i/>
          <w:lang w:val="en-US"/>
        </w:rPr>
        <w:t>uipment for a further period of</w:t>
      </w:r>
      <w:r w:rsidRPr="00090B75">
        <w:rPr>
          <w:i/>
          <w:lang w:val="en-US"/>
        </w:rPr>
        <w:t xml:space="preserve"> </w:t>
      </w:r>
      <w:r w:rsidR="005B315B" w:rsidRPr="00090B75">
        <w:rPr>
          <w:i/>
          <w:lang w:val="en-US"/>
        </w:rPr>
        <w:t>not more than 3 years.</w:t>
      </w:r>
    </w:p>
    <w:p w:rsidR="00861FF6" w:rsidRPr="00966A05" w:rsidRDefault="00861FF6" w:rsidP="0001711C">
      <w:pPr>
        <w:rPr>
          <w:rFonts w:ascii="Times New Roman" w:hAnsi="Times New Roman" w:cs="Times New Roman"/>
          <w:lang w:val="en-US"/>
        </w:rPr>
      </w:pPr>
      <w:r w:rsidRPr="00966A05">
        <w:rPr>
          <w:rFonts w:ascii="Times New Roman" w:hAnsi="Times New Roman" w:cs="Times New Roman"/>
          <w:lang w:val="en-US"/>
        </w:rPr>
        <w:br w:type="page"/>
      </w:r>
    </w:p>
    <w:p w:rsidR="00090B75" w:rsidRDefault="00E555AA" w:rsidP="0001711C">
      <w:pPr>
        <w:pStyle w:val="HChG"/>
        <w:ind w:right="0"/>
      </w:pPr>
      <w:r w:rsidRPr="00966A05">
        <w:lastRenderedPageBreak/>
        <w:t xml:space="preserve">Annex 4 </w:t>
      </w:r>
    </w:p>
    <w:p w:rsidR="0090449D" w:rsidRPr="00966A05" w:rsidRDefault="00090B75" w:rsidP="0001711C">
      <w:pPr>
        <w:pStyle w:val="HChG"/>
        <w:ind w:right="0"/>
      </w:pPr>
      <w:r>
        <w:tab/>
      </w:r>
      <w:r>
        <w:tab/>
      </w:r>
      <w:r w:rsidR="00E555AA" w:rsidRPr="00966A05">
        <w:t xml:space="preserve">Miscellaneous </w:t>
      </w:r>
    </w:p>
    <w:p w:rsidR="00B122EA" w:rsidRPr="00966A05" w:rsidRDefault="007D6F5D" w:rsidP="0001711C">
      <w:pPr>
        <w:pStyle w:val="SingleTxtG"/>
        <w:tabs>
          <w:tab w:val="left" w:pos="1701"/>
        </w:tabs>
        <w:suppressAutoHyphens/>
        <w:ind w:right="0"/>
        <w:rPr>
          <w:lang w:val="en-US"/>
        </w:rPr>
      </w:pPr>
      <w:r w:rsidRPr="00966A05">
        <w:rPr>
          <w:lang w:val="en-US"/>
        </w:rPr>
        <w:t>Suggestion</w:t>
      </w:r>
      <w:r w:rsidR="00B122EA" w:rsidRPr="00966A05">
        <w:rPr>
          <w:lang w:val="en-US"/>
        </w:rPr>
        <w:t xml:space="preserve"> </w:t>
      </w:r>
      <w:r w:rsidR="009B4369">
        <w:rPr>
          <w:lang w:val="en-US"/>
        </w:rPr>
        <w:t>5</w:t>
      </w:r>
    </w:p>
    <w:p w:rsidR="00E555AA" w:rsidRPr="00966A05" w:rsidRDefault="00E555AA" w:rsidP="0001711C">
      <w:pPr>
        <w:pStyle w:val="SingleTxtG"/>
        <w:tabs>
          <w:tab w:val="left" w:pos="1701"/>
        </w:tabs>
        <w:suppressAutoHyphens/>
        <w:ind w:right="0"/>
        <w:rPr>
          <w:lang w:val="en-US"/>
        </w:rPr>
      </w:pPr>
      <w:r w:rsidRPr="00966A05">
        <w:rPr>
          <w:lang w:val="en-US"/>
        </w:rPr>
        <w:t>If appropriate remove foot note 4 in Annex 1, Appendix 3 A.</w:t>
      </w:r>
    </w:p>
    <w:p w:rsidR="00B122EA" w:rsidRPr="00966A05" w:rsidRDefault="007D6F5D" w:rsidP="0001711C">
      <w:pPr>
        <w:pStyle w:val="SingleTxtG"/>
        <w:tabs>
          <w:tab w:val="left" w:pos="1701"/>
        </w:tabs>
        <w:suppressAutoHyphens/>
        <w:ind w:right="0"/>
        <w:rPr>
          <w:lang w:val="en-US"/>
        </w:rPr>
      </w:pPr>
      <w:r w:rsidRPr="00966A05">
        <w:rPr>
          <w:lang w:val="en-US"/>
        </w:rPr>
        <w:t xml:space="preserve">Suggestion </w:t>
      </w:r>
      <w:r w:rsidR="009B4369">
        <w:rPr>
          <w:lang w:val="en-US"/>
        </w:rPr>
        <w:t>6</w:t>
      </w:r>
    </w:p>
    <w:p w:rsidR="00E555AA" w:rsidRPr="00966A05" w:rsidRDefault="00E555AA" w:rsidP="0001711C">
      <w:pPr>
        <w:pStyle w:val="SingleTxtG"/>
        <w:tabs>
          <w:tab w:val="left" w:pos="1701"/>
        </w:tabs>
        <w:suppressAutoHyphens/>
        <w:ind w:right="0"/>
        <w:rPr>
          <w:lang w:val="en-US"/>
        </w:rPr>
      </w:pPr>
      <w:r w:rsidRPr="00966A05">
        <w:rPr>
          <w:lang w:val="en-US"/>
        </w:rPr>
        <w:t>Include transitional measures in the new Annex 1 paragraph 3 to read:</w:t>
      </w:r>
    </w:p>
    <w:p w:rsidR="00E555AA" w:rsidRPr="00966A05" w:rsidRDefault="00B122EA" w:rsidP="0001711C">
      <w:pPr>
        <w:pStyle w:val="SingleTxtG"/>
        <w:tabs>
          <w:tab w:val="left" w:pos="1701"/>
        </w:tabs>
        <w:suppressAutoHyphens/>
        <w:ind w:right="0"/>
        <w:rPr>
          <w:lang w:val="en-US"/>
        </w:rPr>
      </w:pPr>
      <w:r w:rsidRPr="00966A05">
        <w:rPr>
          <w:lang w:val="en-US"/>
        </w:rPr>
        <w:t xml:space="preserve">Equipment </w:t>
      </w:r>
      <w:r w:rsidR="00A07941" w:rsidRPr="00966A05">
        <w:rPr>
          <w:lang w:val="en-US"/>
        </w:rPr>
        <w:t>first taken into service / [</w:t>
      </w:r>
      <w:r w:rsidRPr="00966A05">
        <w:rPr>
          <w:lang w:val="en-US"/>
        </w:rPr>
        <w:t>approved</w:t>
      </w:r>
      <w:r w:rsidR="00A07941" w:rsidRPr="00966A05">
        <w:rPr>
          <w:lang w:val="en-US"/>
        </w:rPr>
        <w:t>]</w:t>
      </w:r>
      <w:r w:rsidRPr="00966A05">
        <w:rPr>
          <w:lang w:val="en-US"/>
        </w:rPr>
        <w:t xml:space="preserve"> as multi temperature-multi compartment</w:t>
      </w:r>
      <w:r w:rsidR="00A07941" w:rsidRPr="00966A05">
        <w:rPr>
          <w:lang w:val="en-US"/>
        </w:rPr>
        <w:t xml:space="preserve"> before xx-xx-xxxx in compliance with the regulations in force up to xx-xx-xxxx</w:t>
      </w:r>
      <w:r w:rsidRPr="00966A05">
        <w:rPr>
          <w:lang w:val="en-US"/>
        </w:rPr>
        <w:t xml:space="preserve"> </w:t>
      </w:r>
      <w:r w:rsidR="00EC7FF4" w:rsidRPr="00966A05">
        <w:rPr>
          <w:lang w:val="en-US"/>
        </w:rPr>
        <w:t xml:space="preserve">but that do not comply with </w:t>
      </w:r>
      <w:r w:rsidRPr="00966A05">
        <w:rPr>
          <w:lang w:val="en-US"/>
        </w:rPr>
        <w:t>requirements of Annex 1, Annex 3 B. paragraph 3</w:t>
      </w:r>
      <w:r w:rsidR="00EC7FF4" w:rsidRPr="00966A05">
        <w:rPr>
          <w:lang w:val="en-US"/>
        </w:rPr>
        <w:t xml:space="preserve">, </w:t>
      </w:r>
      <w:r w:rsidR="00A07941" w:rsidRPr="00966A05">
        <w:rPr>
          <w:lang w:val="en-US"/>
        </w:rPr>
        <w:t>Annex 1, Annex 4</w:t>
      </w:r>
      <w:r w:rsidRPr="00966A05">
        <w:rPr>
          <w:lang w:val="en-US"/>
        </w:rPr>
        <w:t xml:space="preserve"> entered into force may continued to be used</w:t>
      </w:r>
      <w:r w:rsidR="00EC7FF4" w:rsidRPr="00966A05">
        <w:rPr>
          <w:lang w:val="en-US"/>
        </w:rPr>
        <w:t xml:space="preserve"> [until the next retest]</w:t>
      </w:r>
      <w:r w:rsidR="00E555AA" w:rsidRPr="00966A05">
        <w:rPr>
          <w:lang w:val="en-US"/>
        </w:rPr>
        <w:t xml:space="preserve"> </w:t>
      </w:r>
    </w:p>
    <w:p w:rsidR="00A07941" w:rsidRPr="00090B75" w:rsidRDefault="00090B75" w:rsidP="00090B75">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p>
    <w:sectPr w:rsidR="00A07941" w:rsidRPr="00090B75" w:rsidSect="00EF056B">
      <w:headerReference w:type="even" r:id="rId10"/>
      <w:headerReference w:type="default" r:id="rId11"/>
      <w:footerReference w:type="even" r:id="rId12"/>
      <w:footerReference w:type="default" r:id="rId13"/>
      <w:pgSz w:w="11906" w:h="16838" w:code="9"/>
      <w:pgMar w:top="1701" w:right="2267"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9C" w:rsidRDefault="0091359C" w:rsidP="0091359C">
      <w:pPr>
        <w:spacing w:after="0" w:line="240" w:lineRule="auto"/>
      </w:pPr>
      <w:r>
        <w:separator/>
      </w:r>
    </w:p>
  </w:endnote>
  <w:endnote w:type="continuationSeparator" w:id="0">
    <w:p w:rsidR="0091359C" w:rsidRDefault="0091359C" w:rsidP="0091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9C" w:rsidRPr="0091359C" w:rsidRDefault="0091359C" w:rsidP="0091359C">
    <w:pPr>
      <w:pStyle w:val="Footer"/>
    </w:pPr>
    <w:r w:rsidRPr="0091359C">
      <w:rPr>
        <w:rFonts w:ascii="Times New Roman" w:eastAsia="Times New Roman" w:hAnsi="Times New Roman" w:cs="Times New Roman"/>
        <w:b/>
        <w:sz w:val="18"/>
        <w:szCs w:val="20"/>
        <w:lang w:val="en-GB" w:eastAsia="en-US"/>
      </w:rPr>
      <w:fldChar w:fldCharType="begin"/>
    </w:r>
    <w:r w:rsidRPr="0091359C">
      <w:rPr>
        <w:rFonts w:ascii="Times New Roman" w:eastAsia="Times New Roman" w:hAnsi="Times New Roman" w:cs="Times New Roman"/>
        <w:b/>
        <w:sz w:val="18"/>
        <w:szCs w:val="20"/>
        <w:lang w:val="en-GB" w:eastAsia="en-US"/>
      </w:rPr>
      <w:instrText xml:space="preserve"> PAGE  \* MERGEFORMAT </w:instrText>
    </w:r>
    <w:r w:rsidRPr="0091359C">
      <w:rPr>
        <w:rFonts w:ascii="Times New Roman" w:eastAsia="Times New Roman" w:hAnsi="Times New Roman" w:cs="Times New Roman"/>
        <w:b/>
        <w:sz w:val="18"/>
        <w:szCs w:val="20"/>
        <w:lang w:val="en-GB" w:eastAsia="en-US"/>
      </w:rPr>
      <w:fldChar w:fldCharType="separate"/>
    </w:r>
    <w:r w:rsidR="0001711C">
      <w:rPr>
        <w:rFonts w:ascii="Times New Roman" w:eastAsia="Times New Roman" w:hAnsi="Times New Roman" w:cs="Times New Roman"/>
        <w:b/>
        <w:noProof/>
        <w:sz w:val="18"/>
        <w:szCs w:val="20"/>
        <w:lang w:val="en-GB" w:eastAsia="en-US"/>
      </w:rPr>
      <w:t>8</w:t>
    </w:r>
    <w:r w:rsidRPr="0091359C">
      <w:rPr>
        <w:rFonts w:ascii="Times New Roman" w:eastAsia="Times New Roman" w:hAnsi="Times New Roman" w:cs="Times New Roman"/>
        <w:b/>
        <w:sz w:val="18"/>
        <w:szCs w:val="20"/>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9C" w:rsidRPr="0091359C" w:rsidRDefault="0091359C" w:rsidP="0091359C">
    <w:pPr>
      <w:tabs>
        <w:tab w:val="right" w:pos="9638"/>
      </w:tabs>
      <w:suppressAutoHyphens/>
      <w:spacing w:after="0" w:line="240" w:lineRule="auto"/>
      <w:jc w:val="right"/>
      <w:rPr>
        <w:rFonts w:ascii="Times New Roman" w:eastAsia="Times New Roman" w:hAnsi="Times New Roman" w:cs="Times New Roman"/>
        <w:b/>
        <w:sz w:val="18"/>
        <w:szCs w:val="20"/>
        <w:lang w:val="en-GB" w:eastAsia="en-US"/>
      </w:rPr>
    </w:pPr>
    <w:r w:rsidRPr="0091359C">
      <w:rPr>
        <w:rFonts w:ascii="Times New Roman" w:eastAsia="Times New Roman" w:hAnsi="Times New Roman" w:cs="Times New Roman"/>
        <w:b/>
        <w:sz w:val="18"/>
        <w:szCs w:val="20"/>
        <w:lang w:val="en-GB" w:eastAsia="en-US"/>
      </w:rPr>
      <w:fldChar w:fldCharType="begin"/>
    </w:r>
    <w:r w:rsidRPr="0091359C">
      <w:rPr>
        <w:rFonts w:ascii="Times New Roman" w:eastAsia="Times New Roman" w:hAnsi="Times New Roman" w:cs="Times New Roman"/>
        <w:b/>
        <w:sz w:val="18"/>
        <w:szCs w:val="20"/>
        <w:lang w:val="en-GB" w:eastAsia="en-US"/>
      </w:rPr>
      <w:instrText xml:space="preserve"> PAGE  \* MERGEFORMAT </w:instrText>
    </w:r>
    <w:r w:rsidRPr="0091359C">
      <w:rPr>
        <w:rFonts w:ascii="Times New Roman" w:eastAsia="Times New Roman" w:hAnsi="Times New Roman" w:cs="Times New Roman"/>
        <w:b/>
        <w:sz w:val="18"/>
        <w:szCs w:val="20"/>
        <w:lang w:val="en-GB" w:eastAsia="en-US"/>
      </w:rPr>
      <w:fldChar w:fldCharType="separate"/>
    </w:r>
    <w:r w:rsidR="0001711C">
      <w:rPr>
        <w:rFonts w:ascii="Times New Roman" w:eastAsia="Times New Roman" w:hAnsi="Times New Roman" w:cs="Times New Roman"/>
        <w:b/>
        <w:noProof/>
        <w:sz w:val="18"/>
        <w:szCs w:val="20"/>
        <w:lang w:val="en-GB" w:eastAsia="en-US"/>
      </w:rPr>
      <w:t>9</w:t>
    </w:r>
    <w:r w:rsidRPr="0091359C">
      <w:rPr>
        <w:rFonts w:ascii="Times New Roman" w:eastAsia="Times New Roman" w:hAnsi="Times New Roman" w:cs="Times New Roman"/>
        <w:b/>
        <w:sz w:val="18"/>
        <w:szCs w:val="20"/>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9C" w:rsidRDefault="0091359C" w:rsidP="0091359C">
      <w:pPr>
        <w:spacing w:after="0" w:line="240" w:lineRule="auto"/>
      </w:pPr>
      <w:r>
        <w:separator/>
      </w:r>
    </w:p>
  </w:footnote>
  <w:footnote w:type="continuationSeparator" w:id="0">
    <w:p w:rsidR="0091359C" w:rsidRDefault="0091359C" w:rsidP="0091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9C" w:rsidRPr="0091359C" w:rsidRDefault="0091359C" w:rsidP="0091359C">
    <w:pPr>
      <w:pBdr>
        <w:bottom w:val="single" w:sz="4" w:space="4" w:color="auto"/>
      </w:pBdr>
      <w:suppressAutoHyphens/>
      <w:spacing w:after="0" w:line="240" w:lineRule="auto"/>
      <w:rPr>
        <w:rFonts w:ascii="Times New Roman" w:eastAsia="Times New Roman" w:hAnsi="Times New Roman" w:cs="Times New Roman"/>
        <w:b/>
        <w:sz w:val="18"/>
        <w:szCs w:val="20"/>
        <w:lang w:val="en-GB" w:eastAsia="en-US"/>
      </w:rPr>
    </w:pPr>
    <w:r w:rsidRPr="0091359C">
      <w:rPr>
        <w:rFonts w:ascii="Times New Roman" w:eastAsia="Times New Roman" w:hAnsi="Times New Roman" w:cs="Times New Roman"/>
        <w:b/>
        <w:sz w:val="18"/>
        <w:szCs w:val="20"/>
        <w:lang w:val="en-GB" w:eastAsia="en-US"/>
      </w:rPr>
      <w:t>ECE/TRANS/WP.11/2016/</w:t>
    </w:r>
    <w:r>
      <w:rPr>
        <w:rFonts w:ascii="Times New Roman" w:eastAsia="Times New Roman" w:hAnsi="Times New Roman" w:cs="Times New Roman"/>
        <w:b/>
        <w:sz w:val="18"/>
        <w:szCs w:val="20"/>
        <w:lang w:val="en-GB" w:eastAsia="en-US"/>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9C" w:rsidRPr="0091359C" w:rsidRDefault="0091359C" w:rsidP="0091359C">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eastAsia="en-US"/>
      </w:rPr>
    </w:pPr>
    <w:r w:rsidRPr="0091359C">
      <w:rPr>
        <w:rFonts w:ascii="Times New Roman" w:eastAsia="Times New Roman" w:hAnsi="Times New Roman" w:cs="Times New Roman"/>
        <w:b/>
        <w:sz w:val="18"/>
        <w:szCs w:val="20"/>
        <w:lang w:val="en-GB" w:eastAsia="en-US"/>
      </w:rPr>
      <w:t>ECE/TRANS/WP.11/2016/</w:t>
    </w:r>
    <w:r>
      <w:rPr>
        <w:rFonts w:ascii="Times New Roman" w:eastAsia="Times New Roman" w:hAnsi="Times New Roman" w:cs="Times New Roman"/>
        <w:b/>
        <w:sz w:val="18"/>
        <w:szCs w:val="20"/>
        <w:lang w:val="en-GB" w:eastAsia="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68"/>
    <w:multiLevelType w:val="multilevel"/>
    <w:tmpl w:val="27DEE2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BF118A"/>
    <w:multiLevelType w:val="hybridMultilevel"/>
    <w:tmpl w:val="B6324C7C"/>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 w15:restartNumberingAfterBreak="0">
    <w:nsid w:val="78A1780D"/>
    <w:multiLevelType w:val="multilevel"/>
    <w:tmpl w:val="EDC2EA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8"/>
    <w:rsid w:val="00000774"/>
    <w:rsid w:val="00004CB1"/>
    <w:rsid w:val="00007F6C"/>
    <w:rsid w:val="0001330A"/>
    <w:rsid w:val="0001711C"/>
    <w:rsid w:val="000228B1"/>
    <w:rsid w:val="0003071F"/>
    <w:rsid w:val="00031297"/>
    <w:rsid w:val="00034ABF"/>
    <w:rsid w:val="00036782"/>
    <w:rsid w:val="000715A7"/>
    <w:rsid w:val="000844C9"/>
    <w:rsid w:val="00090B75"/>
    <w:rsid w:val="00093294"/>
    <w:rsid w:val="00093AB2"/>
    <w:rsid w:val="000B2BA7"/>
    <w:rsid w:val="000D5C38"/>
    <w:rsid w:val="000D6DBD"/>
    <w:rsid w:val="00114BFA"/>
    <w:rsid w:val="001171A7"/>
    <w:rsid w:val="0012435D"/>
    <w:rsid w:val="00140BDC"/>
    <w:rsid w:val="00175B24"/>
    <w:rsid w:val="001762A1"/>
    <w:rsid w:val="00182F19"/>
    <w:rsid w:val="00193DD6"/>
    <w:rsid w:val="001A78FB"/>
    <w:rsid w:val="001B0299"/>
    <w:rsid w:val="001B1FA7"/>
    <w:rsid w:val="001C16FC"/>
    <w:rsid w:val="001C79D8"/>
    <w:rsid w:val="001D3F6C"/>
    <w:rsid w:val="001F57C3"/>
    <w:rsid w:val="00204DF8"/>
    <w:rsid w:val="002128D1"/>
    <w:rsid w:val="00217496"/>
    <w:rsid w:val="00235927"/>
    <w:rsid w:val="00243802"/>
    <w:rsid w:val="00270003"/>
    <w:rsid w:val="00292F94"/>
    <w:rsid w:val="00296828"/>
    <w:rsid w:val="002B3B4A"/>
    <w:rsid w:val="002C5755"/>
    <w:rsid w:val="002D481D"/>
    <w:rsid w:val="002D7ADE"/>
    <w:rsid w:val="002F384D"/>
    <w:rsid w:val="002F643F"/>
    <w:rsid w:val="002F677E"/>
    <w:rsid w:val="00316661"/>
    <w:rsid w:val="00320980"/>
    <w:rsid w:val="00327204"/>
    <w:rsid w:val="003548E7"/>
    <w:rsid w:val="00356F32"/>
    <w:rsid w:val="00366402"/>
    <w:rsid w:val="00370E30"/>
    <w:rsid w:val="00385157"/>
    <w:rsid w:val="00393613"/>
    <w:rsid w:val="003C073E"/>
    <w:rsid w:val="003C519A"/>
    <w:rsid w:val="003E5DD7"/>
    <w:rsid w:val="003F6D38"/>
    <w:rsid w:val="00400697"/>
    <w:rsid w:val="00404BF3"/>
    <w:rsid w:val="00410F06"/>
    <w:rsid w:val="004147A3"/>
    <w:rsid w:val="0042262A"/>
    <w:rsid w:val="004451FC"/>
    <w:rsid w:val="0045696B"/>
    <w:rsid w:val="00460AC5"/>
    <w:rsid w:val="004A1668"/>
    <w:rsid w:val="004B685C"/>
    <w:rsid w:val="004B7BF2"/>
    <w:rsid w:val="004D4A4A"/>
    <w:rsid w:val="004D4FF1"/>
    <w:rsid w:val="004E1FF8"/>
    <w:rsid w:val="004E2CA8"/>
    <w:rsid w:val="004F281A"/>
    <w:rsid w:val="00501AB4"/>
    <w:rsid w:val="00544575"/>
    <w:rsid w:val="00584B05"/>
    <w:rsid w:val="00595EF9"/>
    <w:rsid w:val="005965A4"/>
    <w:rsid w:val="005B22BC"/>
    <w:rsid w:val="005B315B"/>
    <w:rsid w:val="005B5781"/>
    <w:rsid w:val="005C0F10"/>
    <w:rsid w:val="005E265A"/>
    <w:rsid w:val="00601B10"/>
    <w:rsid w:val="00605A0F"/>
    <w:rsid w:val="00646318"/>
    <w:rsid w:val="006623F0"/>
    <w:rsid w:val="00663AA3"/>
    <w:rsid w:val="00667932"/>
    <w:rsid w:val="00677638"/>
    <w:rsid w:val="006843E3"/>
    <w:rsid w:val="0068634F"/>
    <w:rsid w:val="00686D60"/>
    <w:rsid w:val="006A4659"/>
    <w:rsid w:val="006C015B"/>
    <w:rsid w:val="006C5975"/>
    <w:rsid w:val="006D1E2A"/>
    <w:rsid w:val="006D45AE"/>
    <w:rsid w:val="006E3983"/>
    <w:rsid w:val="006F12B2"/>
    <w:rsid w:val="0070614E"/>
    <w:rsid w:val="007079EC"/>
    <w:rsid w:val="007112D5"/>
    <w:rsid w:val="00761278"/>
    <w:rsid w:val="007619FA"/>
    <w:rsid w:val="007863F8"/>
    <w:rsid w:val="007867E4"/>
    <w:rsid w:val="00786AF2"/>
    <w:rsid w:val="007956B5"/>
    <w:rsid w:val="0079597F"/>
    <w:rsid w:val="007A0DC1"/>
    <w:rsid w:val="007B5B40"/>
    <w:rsid w:val="007B7CE8"/>
    <w:rsid w:val="007D2663"/>
    <w:rsid w:val="007D6F5D"/>
    <w:rsid w:val="007E622A"/>
    <w:rsid w:val="007F4CF3"/>
    <w:rsid w:val="00815FE4"/>
    <w:rsid w:val="0082455A"/>
    <w:rsid w:val="00824975"/>
    <w:rsid w:val="008324C3"/>
    <w:rsid w:val="00844132"/>
    <w:rsid w:val="00861FF6"/>
    <w:rsid w:val="008815B7"/>
    <w:rsid w:val="00886823"/>
    <w:rsid w:val="008A7572"/>
    <w:rsid w:val="008B2D57"/>
    <w:rsid w:val="008D6202"/>
    <w:rsid w:val="008E5CF5"/>
    <w:rsid w:val="0090449D"/>
    <w:rsid w:val="0091359C"/>
    <w:rsid w:val="00925F2A"/>
    <w:rsid w:val="00934646"/>
    <w:rsid w:val="009410EE"/>
    <w:rsid w:val="009412B2"/>
    <w:rsid w:val="00942375"/>
    <w:rsid w:val="0094559C"/>
    <w:rsid w:val="0095738B"/>
    <w:rsid w:val="0096394C"/>
    <w:rsid w:val="00964661"/>
    <w:rsid w:val="00966A05"/>
    <w:rsid w:val="00970EA1"/>
    <w:rsid w:val="00977D71"/>
    <w:rsid w:val="009A70F3"/>
    <w:rsid w:val="009B4369"/>
    <w:rsid w:val="009C5F3F"/>
    <w:rsid w:val="009D3104"/>
    <w:rsid w:val="009E1D33"/>
    <w:rsid w:val="009F49F4"/>
    <w:rsid w:val="00A009D6"/>
    <w:rsid w:val="00A07941"/>
    <w:rsid w:val="00A2431E"/>
    <w:rsid w:val="00A25567"/>
    <w:rsid w:val="00A2617A"/>
    <w:rsid w:val="00A268AC"/>
    <w:rsid w:val="00A359BC"/>
    <w:rsid w:val="00A42578"/>
    <w:rsid w:val="00A60BE2"/>
    <w:rsid w:val="00A70860"/>
    <w:rsid w:val="00A81AC5"/>
    <w:rsid w:val="00A944A6"/>
    <w:rsid w:val="00AA3887"/>
    <w:rsid w:val="00AB0BC7"/>
    <w:rsid w:val="00AC1A9D"/>
    <w:rsid w:val="00AC35A0"/>
    <w:rsid w:val="00AD5421"/>
    <w:rsid w:val="00AE5896"/>
    <w:rsid w:val="00AE66A0"/>
    <w:rsid w:val="00AF448C"/>
    <w:rsid w:val="00AF67C6"/>
    <w:rsid w:val="00B06432"/>
    <w:rsid w:val="00B122EA"/>
    <w:rsid w:val="00B179AB"/>
    <w:rsid w:val="00B2415C"/>
    <w:rsid w:val="00B2765E"/>
    <w:rsid w:val="00B50AAA"/>
    <w:rsid w:val="00B85A83"/>
    <w:rsid w:val="00B9136E"/>
    <w:rsid w:val="00B916E2"/>
    <w:rsid w:val="00BA4062"/>
    <w:rsid w:val="00BB48D0"/>
    <w:rsid w:val="00C10F43"/>
    <w:rsid w:val="00C30118"/>
    <w:rsid w:val="00C507C4"/>
    <w:rsid w:val="00C509DF"/>
    <w:rsid w:val="00C54A77"/>
    <w:rsid w:val="00C56C44"/>
    <w:rsid w:val="00C77790"/>
    <w:rsid w:val="00CA28A7"/>
    <w:rsid w:val="00CA33CE"/>
    <w:rsid w:val="00CB3897"/>
    <w:rsid w:val="00CB5BFB"/>
    <w:rsid w:val="00CC3378"/>
    <w:rsid w:val="00CC78D8"/>
    <w:rsid w:val="00CD20E9"/>
    <w:rsid w:val="00CD52FC"/>
    <w:rsid w:val="00CE5092"/>
    <w:rsid w:val="00CE6994"/>
    <w:rsid w:val="00D25747"/>
    <w:rsid w:val="00D302F0"/>
    <w:rsid w:val="00D45EAF"/>
    <w:rsid w:val="00D52A13"/>
    <w:rsid w:val="00D543D9"/>
    <w:rsid w:val="00D76A6E"/>
    <w:rsid w:val="00D801B0"/>
    <w:rsid w:val="00D82ACC"/>
    <w:rsid w:val="00D86E39"/>
    <w:rsid w:val="00DC79DD"/>
    <w:rsid w:val="00DD44A5"/>
    <w:rsid w:val="00DD657C"/>
    <w:rsid w:val="00DE13C4"/>
    <w:rsid w:val="00E07B95"/>
    <w:rsid w:val="00E555AA"/>
    <w:rsid w:val="00E61FF6"/>
    <w:rsid w:val="00E66235"/>
    <w:rsid w:val="00E76FDA"/>
    <w:rsid w:val="00E77731"/>
    <w:rsid w:val="00E80185"/>
    <w:rsid w:val="00E81FB4"/>
    <w:rsid w:val="00E979A6"/>
    <w:rsid w:val="00EB4A96"/>
    <w:rsid w:val="00EC7FF4"/>
    <w:rsid w:val="00EE0699"/>
    <w:rsid w:val="00EF056B"/>
    <w:rsid w:val="00F0544E"/>
    <w:rsid w:val="00F0548A"/>
    <w:rsid w:val="00F1577C"/>
    <w:rsid w:val="00F31F48"/>
    <w:rsid w:val="00F340FC"/>
    <w:rsid w:val="00F4052E"/>
    <w:rsid w:val="00F478D5"/>
    <w:rsid w:val="00F734B6"/>
    <w:rsid w:val="00F761A8"/>
    <w:rsid w:val="00F858F6"/>
    <w:rsid w:val="00F91E43"/>
    <w:rsid w:val="00F93A0C"/>
    <w:rsid w:val="00FA0784"/>
    <w:rsid w:val="00FC7093"/>
    <w:rsid w:val="00FD0BE0"/>
    <w:rsid w:val="00FE4AFE"/>
    <w:rsid w:val="00FE7F8E"/>
    <w:rsid w:val="00FF1DF7"/>
    <w:rsid w:val="00FF3B53"/>
    <w:rsid w:val="00FF69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1E841891"/>
  <w15:docId w15:val="{4BE360CA-97DA-477F-B208-6C3785AD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38"/>
    <w:pPr>
      <w:ind w:left="720"/>
      <w:contextualSpacing/>
    </w:pPr>
  </w:style>
  <w:style w:type="paragraph" w:styleId="BalloonText">
    <w:name w:val="Balloon Text"/>
    <w:basedOn w:val="Normal"/>
    <w:link w:val="BalloonTextChar"/>
    <w:uiPriority w:val="99"/>
    <w:semiHidden/>
    <w:unhideWhenUsed/>
    <w:rsid w:val="00B91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6E"/>
    <w:rPr>
      <w:rFonts w:ascii="Tahoma" w:hAnsi="Tahoma" w:cs="Tahoma"/>
      <w:sz w:val="16"/>
      <w:szCs w:val="16"/>
    </w:rPr>
  </w:style>
  <w:style w:type="table" w:styleId="TableGrid">
    <w:name w:val="Table Grid"/>
    <w:basedOn w:val="TableNormal"/>
    <w:uiPriority w:val="59"/>
    <w:rsid w:val="0094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CC3378"/>
    <w:pPr>
      <w:spacing w:after="120" w:line="240" w:lineRule="atLeast"/>
      <w:ind w:left="1134" w:right="1134"/>
      <w:jc w:val="both"/>
    </w:pPr>
    <w:rPr>
      <w:rFonts w:ascii="Times New Roman" w:hAnsi="Times New Roman" w:cs="Times New Roman"/>
      <w:sz w:val="20"/>
      <w:szCs w:val="20"/>
      <w:lang w:eastAsia="en-US"/>
    </w:rPr>
  </w:style>
  <w:style w:type="paragraph" w:customStyle="1" w:styleId="HChG">
    <w:name w:val="_ H _Ch_G"/>
    <w:basedOn w:val="Normal"/>
    <w:next w:val="Normal"/>
    <w:rsid w:val="00CE509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H1G">
    <w:name w:val="_ H_1_G"/>
    <w:basedOn w:val="Normal"/>
    <w:next w:val="Normal"/>
    <w:rsid w:val="00CE509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paragraph" w:customStyle="1" w:styleId="H23G">
    <w:name w:val="_ H_2/3_G"/>
    <w:basedOn w:val="Normal"/>
    <w:next w:val="Normal"/>
    <w:rsid w:val="00CE509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paragraph" w:styleId="Header">
    <w:name w:val="header"/>
    <w:aliases w:val="6_G"/>
    <w:basedOn w:val="Normal"/>
    <w:link w:val="HeaderChar"/>
    <w:unhideWhenUsed/>
    <w:rsid w:val="0091359C"/>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91359C"/>
  </w:style>
  <w:style w:type="paragraph" w:styleId="Footer">
    <w:name w:val="footer"/>
    <w:basedOn w:val="Normal"/>
    <w:link w:val="FooterChar"/>
    <w:uiPriority w:val="99"/>
    <w:unhideWhenUsed/>
    <w:rsid w:val="0091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9C"/>
  </w:style>
  <w:style w:type="paragraph" w:customStyle="1" w:styleId="Bullet1G">
    <w:name w:val="_Bullet 1_G"/>
    <w:basedOn w:val="Normal"/>
    <w:rsid w:val="0001711C"/>
    <w:pPr>
      <w:tabs>
        <w:tab w:val="num" w:pos="1701"/>
      </w:tabs>
      <w:suppressAutoHyphens/>
      <w:spacing w:after="120" w:line="240" w:lineRule="atLeast"/>
      <w:ind w:left="1701" w:right="1134" w:hanging="170"/>
      <w:jc w:val="both"/>
    </w:pPr>
    <w:rPr>
      <w:rFonts w:ascii="Times New Roman" w:eastAsia="Times New Roman" w:hAnsi="Times New Roman" w:cs="Times New Roman"/>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23865">
      <w:bodyDiv w:val="1"/>
      <w:marLeft w:val="0"/>
      <w:marRight w:val="0"/>
      <w:marTop w:val="0"/>
      <w:marBottom w:val="0"/>
      <w:divBdr>
        <w:top w:val="none" w:sz="0" w:space="0" w:color="auto"/>
        <w:left w:val="none" w:sz="0" w:space="0" w:color="auto"/>
        <w:bottom w:val="none" w:sz="0" w:space="0" w:color="auto"/>
        <w:right w:val="none" w:sz="0" w:space="0" w:color="auto"/>
      </w:divBdr>
    </w:div>
    <w:div w:id="16066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3288</Words>
  <Characters>18748</Characters>
  <Application>Microsoft Office Word</Application>
  <DocSecurity>0</DocSecurity>
  <Lines>156</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Putter, Kees de</dc:creator>
  <cp:lastModifiedBy>ECE/ADN/36</cp:lastModifiedBy>
  <cp:revision>12</cp:revision>
  <cp:lastPrinted>2016-07-07T10:02:00Z</cp:lastPrinted>
  <dcterms:created xsi:type="dcterms:W3CDTF">2016-07-14T14:13:00Z</dcterms:created>
  <dcterms:modified xsi:type="dcterms:W3CDTF">2016-07-20T10:06:00Z</dcterms:modified>
</cp:coreProperties>
</file>