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C736B0">
              <w:fldChar w:fldCharType="begin"/>
            </w:r>
            <w:r w:rsidR="00C736B0">
              <w:instrText xml:space="preserve"> FILLIN  "Введите символ после ЕCE/"  \* MERGEFORMAT </w:instrText>
            </w:r>
            <w:r w:rsidR="00C736B0">
              <w:fldChar w:fldCharType="separate"/>
            </w:r>
            <w:r w:rsidR="00F0284E">
              <w:t>TRANS/WP.11/2016/14</w:t>
            </w:r>
            <w:r w:rsidR="00C736B0">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C736B0">
              <w:fldChar w:fldCharType="separate"/>
            </w:r>
            <w:r w:rsidRPr="00245892">
              <w:fldChar w:fldCharType="end"/>
            </w:r>
            <w:bookmarkEnd w:id="1"/>
          </w:p>
          <w:p w:rsidR="00A658DB" w:rsidRPr="00245892" w:rsidRDefault="00A658DB" w:rsidP="007B199D">
            <w:fldSimple w:instr=" FILLIN  &quot;Введите дату документа&quot; \* MERGEFORMAT ">
              <w:r w:rsidR="00F0284E">
                <w:t>20 July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C736B0">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706756" w:rsidRPr="0068763E" w:rsidRDefault="00706756" w:rsidP="0068763E">
      <w:pPr>
        <w:spacing w:before="120"/>
        <w:rPr>
          <w:sz w:val="28"/>
          <w:szCs w:val="28"/>
        </w:rPr>
      </w:pPr>
      <w:r w:rsidRPr="0068763E">
        <w:rPr>
          <w:sz w:val="28"/>
          <w:szCs w:val="28"/>
        </w:rPr>
        <w:t>Комитет по внутреннему транспорту</w:t>
      </w:r>
    </w:p>
    <w:p w:rsidR="00706756" w:rsidRPr="0068763E" w:rsidRDefault="0068763E" w:rsidP="0068763E">
      <w:pPr>
        <w:spacing w:before="120"/>
        <w:rPr>
          <w:b/>
          <w:bCs/>
          <w:sz w:val="24"/>
          <w:szCs w:val="24"/>
        </w:rPr>
      </w:pPr>
      <w:r>
        <w:rPr>
          <w:b/>
          <w:bCs/>
          <w:sz w:val="24"/>
          <w:szCs w:val="24"/>
        </w:rPr>
        <w:t>Рабочая группа по перевозкам</w:t>
      </w:r>
      <w:r w:rsidRPr="0068763E">
        <w:rPr>
          <w:b/>
          <w:bCs/>
          <w:sz w:val="24"/>
          <w:szCs w:val="24"/>
        </w:rPr>
        <w:br/>
      </w:r>
      <w:r w:rsidR="00706756" w:rsidRPr="0068763E">
        <w:rPr>
          <w:b/>
          <w:bCs/>
          <w:sz w:val="24"/>
          <w:szCs w:val="24"/>
        </w:rPr>
        <w:t>скоропортящихся пищевых продуктов</w:t>
      </w:r>
    </w:p>
    <w:p w:rsidR="00706756" w:rsidRPr="0068763E" w:rsidRDefault="00706756" w:rsidP="0068763E">
      <w:pPr>
        <w:spacing w:before="120"/>
        <w:rPr>
          <w:b/>
          <w:bCs/>
        </w:rPr>
      </w:pPr>
      <w:r w:rsidRPr="0068763E">
        <w:rPr>
          <w:b/>
          <w:bCs/>
        </w:rPr>
        <w:t>Семьдесят вторая сессия</w:t>
      </w:r>
    </w:p>
    <w:p w:rsidR="00706756" w:rsidRPr="00706756" w:rsidRDefault="00706756" w:rsidP="00706756">
      <w:r w:rsidRPr="00706756">
        <w:t>Женева, 4–7 октября 2016 года</w:t>
      </w:r>
    </w:p>
    <w:p w:rsidR="00706756" w:rsidRPr="00706756" w:rsidRDefault="00690FCE" w:rsidP="00706756">
      <w:r>
        <w:t>Пункт</w:t>
      </w:r>
      <w:r w:rsidR="00706756" w:rsidRPr="00706756">
        <w:t xml:space="preserve"> 5 a) предварительной повестки дня</w:t>
      </w:r>
    </w:p>
    <w:p w:rsidR="00706756" w:rsidRPr="0068763E" w:rsidRDefault="00706756" w:rsidP="0068763E">
      <w:pPr>
        <w:rPr>
          <w:b/>
          <w:bCs/>
        </w:rPr>
      </w:pPr>
      <w:r w:rsidRPr="0068763E">
        <w:rPr>
          <w:b/>
          <w:bCs/>
        </w:rPr>
        <w:t xml:space="preserve">Предложения по поправкам к СПС: </w:t>
      </w:r>
      <w:r w:rsidR="0068763E" w:rsidRPr="0068763E">
        <w:rPr>
          <w:b/>
          <w:bCs/>
        </w:rPr>
        <w:br/>
      </w:r>
      <w:r w:rsidRPr="0068763E">
        <w:rPr>
          <w:b/>
          <w:bCs/>
        </w:rPr>
        <w:t>предложения, по которым еще не приняты решения</w:t>
      </w:r>
    </w:p>
    <w:p w:rsidR="00706756" w:rsidRPr="00706756" w:rsidRDefault="00706756" w:rsidP="0068763E">
      <w:pPr>
        <w:pStyle w:val="HChGR"/>
      </w:pPr>
      <w:r w:rsidRPr="00706756">
        <w:tab/>
      </w:r>
      <w:r w:rsidRPr="00706756">
        <w:tab/>
        <w:t>Положения, прим</w:t>
      </w:r>
      <w:r w:rsidR="0068763E">
        <w:t>енимые к компетентным органам в</w:t>
      </w:r>
      <w:r w:rsidR="0068763E">
        <w:rPr>
          <w:lang w:val="en-US"/>
        </w:rPr>
        <w:t> </w:t>
      </w:r>
      <w:r w:rsidRPr="00706756">
        <w:t>связи с выдачей свидетельств о техническом соответствии</w:t>
      </w:r>
    </w:p>
    <w:p w:rsidR="00706756" w:rsidRPr="00706756" w:rsidRDefault="00706756" w:rsidP="0068763E">
      <w:pPr>
        <w:pStyle w:val="H1GR"/>
      </w:pPr>
      <w:r w:rsidRPr="00706756">
        <w:tab/>
      </w:r>
      <w:r w:rsidRPr="00706756">
        <w:tab/>
        <w:t>Передано правительством Франции</w:t>
      </w:r>
    </w:p>
    <w:p w:rsidR="00706756" w:rsidRPr="00706756" w:rsidRDefault="00706756" w:rsidP="0068763E">
      <w:pPr>
        <w:pStyle w:val="HChGR"/>
      </w:pPr>
      <w:r w:rsidRPr="00706756">
        <w:tab/>
      </w:r>
      <w:r w:rsidRPr="00706756">
        <w:tab/>
        <w:t>Контекст</w:t>
      </w:r>
    </w:p>
    <w:p w:rsidR="00706756" w:rsidRPr="00706756" w:rsidRDefault="00706756" w:rsidP="0068763E">
      <w:pPr>
        <w:pStyle w:val="SingleTxtGR"/>
      </w:pPr>
      <w:r w:rsidRPr="00706756">
        <w:t>1.</w:t>
      </w:r>
      <w:r w:rsidRPr="00706756">
        <w:tab/>
        <w:t xml:space="preserve">Подписанное в 1970 году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предусматривает выдачу свидетельств о техническом соответствии компетентными органами, назначенными Договаривающимися сторонами. </w:t>
      </w:r>
    </w:p>
    <w:p w:rsidR="00706756" w:rsidRPr="00706756" w:rsidRDefault="00706756" w:rsidP="0068763E">
      <w:pPr>
        <w:pStyle w:val="SingleTxtGR"/>
      </w:pPr>
      <w:r w:rsidRPr="00706756">
        <w:t>2.</w:t>
      </w:r>
      <w:r w:rsidRPr="00706756">
        <w:tab/>
        <w:t>СПС не содержит определения требований к компетенции, которым должны удовлетворять эти компетентные органы и которым поручена выдача заключения по поводу соответствия того или иного транспортного средства по отношению к базовому транспортному средству, подвергнутому типовым испытаниям, хотя Соглашение предусматривает необходимость всестороннего знания технических критериев, имеющих отношение к экспертному заключению.</w:t>
      </w:r>
    </w:p>
    <w:p w:rsidR="00706756" w:rsidRPr="00706756" w:rsidRDefault="00706756" w:rsidP="0068763E">
      <w:pPr>
        <w:pStyle w:val="SingleTxtGR"/>
      </w:pPr>
      <w:r w:rsidRPr="00706756">
        <w:t>3.</w:t>
      </w:r>
      <w:r w:rsidRPr="00706756">
        <w:tab/>
        <w:t>Деятельность, которая состоит в выдаче свидетельства о соответствии на основе технической оценки соответствующего транспортного средства, приравнивается к сертификации промышленного изделия, как она определена стандартом на сертификацию ISO 17065.</w:t>
      </w:r>
    </w:p>
    <w:p w:rsidR="00706756" w:rsidRPr="00706756" w:rsidRDefault="00706756" w:rsidP="0068763E">
      <w:pPr>
        <w:pStyle w:val="SingleTxtGR"/>
      </w:pPr>
      <w:r w:rsidRPr="00706756">
        <w:lastRenderedPageBreak/>
        <w:t>4.</w:t>
      </w:r>
      <w:r w:rsidRPr="00706756">
        <w:tab/>
        <w:t>В 2015 году Франция представила предложение, позволяющее признавать аккредитацию на основании стандарта ISO 17065, применительно к критериям, которым должны удовлетворять соответствующие компетентные органы или учреждения, на которые возложена эта задача.</w:t>
      </w:r>
    </w:p>
    <w:p w:rsidR="00706756" w:rsidRPr="00706756" w:rsidRDefault="00706756" w:rsidP="006E1595">
      <w:pPr>
        <w:pStyle w:val="SingleTxtGR"/>
      </w:pPr>
      <w:r w:rsidRPr="00706756">
        <w:t>5.</w:t>
      </w:r>
      <w:r w:rsidRPr="00706756">
        <w:tab/>
      </w:r>
      <w:r w:rsidRPr="006E1595">
        <w:rPr>
          <w:spacing w:val="0"/>
        </w:rPr>
        <w:t xml:space="preserve">Большинство стран выразилось против предложения о том, чтобы требовать аккредитации компетентных органов в соответствии со стандартом </w:t>
      </w:r>
      <w:r w:rsidR="006E1595" w:rsidRPr="006E1595">
        <w:rPr>
          <w:spacing w:val="0"/>
        </w:rPr>
        <w:t xml:space="preserve">ISO </w:t>
      </w:r>
      <w:r w:rsidRPr="006E1595">
        <w:rPr>
          <w:spacing w:val="0"/>
        </w:rPr>
        <w:t>17065:2012</w:t>
      </w:r>
      <w:r w:rsidRPr="00706756">
        <w:t xml:space="preserve"> «Оценка соответствия. Требования к органам по сертификации продукции, процессов и услуг». Российская Федерация выступила против этого предложения на том основании, что государственные органы не могут быть аккредитованы третьей стороной. Вместе с тем голосование по этому предложению не проводилось.</w:t>
      </w:r>
    </w:p>
    <w:p w:rsidR="00706756" w:rsidRPr="00706756" w:rsidRDefault="00706756" w:rsidP="0068763E">
      <w:pPr>
        <w:pStyle w:val="SingleTxtGR"/>
      </w:pPr>
      <w:r w:rsidRPr="00706756">
        <w:t>6.</w:t>
      </w:r>
      <w:r w:rsidRPr="00706756">
        <w:tab/>
        <w:t>В этой связи Франция предлагает поставить пересмотренный вариант этого предложения по внесению поправки на го</w:t>
      </w:r>
      <w:r w:rsidR="0068763E">
        <w:t>лосование на сессии 2016 года с</w:t>
      </w:r>
      <w:r w:rsidR="0068763E">
        <w:rPr>
          <w:lang w:val="en-US"/>
        </w:rPr>
        <w:t> </w:t>
      </w:r>
      <w:r w:rsidRPr="00706756">
        <w:t>учетом замечаний, сделанных Рабочей группой.</w:t>
      </w:r>
    </w:p>
    <w:p w:rsidR="00706756" w:rsidRPr="00706756" w:rsidRDefault="00706756" w:rsidP="0068763E">
      <w:pPr>
        <w:pStyle w:val="HChGR"/>
      </w:pPr>
      <w:r w:rsidRPr="00706756">
        <w:tab/>
      </w:r>
      <w:r w:rsidRPr="00706756">
        <w:tab/>
        <w:t>Предложение</w:t>
      </w:r>
    </w:p>
    <w:p w:rsidR="00706756" w:rsidRPr="00706756" w:rsidRDefault="00706756" w:rsidP="0068763E">
      <w:pPr>
        <w:pStyle w:val="SingleTxtGR"/>
      </w:pPr>
      <w:r w:rsidRPr="00706756">
        <w:t>7.</w:t>
      </w:r>
      <w:r w:rsidRPr="00706756">
        <w:tab/>
        <w:t>Аккредитация предусматривает оценку третьей стороной тех органов, на которые возложена функция оценки соответствия. Эта аккредитация обеспечивает определенный уровень согласования практики, сложившейся на уровне соответствующих органов, которая позволяет официально признавать свидетельства о соответствии на международном уровне. Аккредитация компетентных органов в соответствии со стандартом ISO 17065 дает возможность установить объективную базу на основании положений, которые действовали до СПС и которые предполагают необходимость признания свидетельств на уровне отношений между компетентными органами. Кроме того, она позволила бы согласовать сложившуюся практику в этой области.</w:t>
      </w:r>
    </w:p>
    <w:p w:rsidR="00706756" w:rsidRPr="00706756" w:rsidRDefault="00706756" w:rsidP="0068763E">
      <w:pPr>
        <w:pStyle w:val="HChGR"/>
      </w:pPr>
      <w:r w:rsidRPr="00706756">
        <w:tab/>
      </w:r>
      <w:r w:rsidRPr="00706756">
        <w:tab/>
        <w:t>Последствия</w:t>
      </w:r>
    </w:p>
    <w:p w:rsidR="00706756" w:rsidRPr="00706756" w:rsidRDefault="0068763E" w:rsidP="0068763E">
      <w:pPr>
        <w:pStyle w:val="SingleTxtGR"/>
      </w:pPr>
      <w:r>
        <w:t>8.</w:t>
      </w:r>
      <w:r>
        <w:tab/>
      </w:r>
      <w:r w:rsidR="00706756" w:rsidRPr="00706756">
        <w:t>Аккредитация компетентных органов на уровне каждого государства предполагает введение в действие системы управления качеством, которая обеспечивает объективность решений по сертификации, соблюдение технических процедур и норм и компетентность тех, на кого возложена функция сертификации. Аудиторские проверки третьей стороны проводятся органами по аккредитации каждой страны, которые пользуются особым статусом некоммерческих органов. Сеть органов по аккредитации ИЛАК обеспечивает единообразие правил аккредитации, что в свою очередь обеспечивает высокий уровень признания компетентности органов по сертификации и, как следствие, качество выданных аттестаций.</w:t>
      </w:r>
    </w:p>
    <w:p w:rsidR="00706756" w:rsidRPr="00706756" w:rsidRDefault="00706756" w:rsidP="0068763E">
      <w:pPr>
        <w:pStyle w:val="HChGR"/>
      </w:pPr>
      <w:r w:rsidRPr="00706756">
        <w:tab/>
      </w:r>
      <w:r w:rsidRPr="00706756">
        <w:tab/>
        <w:t>Экономические последствия этой процедуры</w:t>
      </w:r>
    </w:p>
    <w:p w:rsidR="00706756" w:rsidRPr="00706756" w:rsidRDefault="00706756" w:rsidP="0068763E">
      <w:pPr>
        <w:pStyle w:val="SingleTxtGR"/>
      </w:pPr>
      <w:r w:rsidRPr="00706756">
        <w:t>9.</w:t>
      </w:r>
      <w:r w:rsidRPr="00706756">
        <w:tab/>
        <w:t>Расходы на одну аккредитацию можно</w:t>
      </w:r>
      <w:r w:rsidR="0068763E">
        <w:t xml:space="preserve"> оценить на уровне 4 000 евро в</w:t>
      </w:r>
      <w:r w:rsidR="0068763E">
        <w:rPr>
          <w:lang w:val="en-US"/>
        </w:rPr>
        <w:t> </w:t>
      </w:r>
      <w:r w:rsidRPr="00706756">
        <w:t>год. Эти расходы несут соответствующие органы, и никакого воздействия на стоимость выдачи свидетельств они не окажут.</w:t>
      </w:r>
    </w:p>
    <w:p w:rsidR="00706756" w:rsidRPr="00706756" w:rsidRDefault="00706756" w:rsidP="0068763E">
      <w:pPr>
        <w:pStyle w:val="HChGR"/>
        <w:pageBreakBefore/>
      </w:pPr>
      <w:r w:rsidRPr="00706756">
        <w:lastRenderedPageBreak/>
        <w:tab/>
      </w:r>
      <w:r w:rsidRPr="00706756">
        <w:tab/>
        <w:t>Предложение по поправке</w:t>
      </w:r>
    </w:p>
    <w:p w:rsidR="00706756" w:rsidRPr="00706756" w:rsidRDefault="0068763E" w:rsidP="0068763E">
      <w:pPr>
        <w:pStyle w:val="SingleTxtGR"/>
      </w:pPr>
      <w:r>
        <w:t>10.</w:t>
      </w:r>
      <w:r w:rsidR="00706756" w:rsidRPr="00706756">
        <w:tab/>
        <w:t xml:space="preserve">Статью 2 предлагается дополнить положением, выделенным </w:t>
      </w:r>
      <w:r w:rsidR="00706756" w:rsidRPr="0068763E">
        <w:rPr>
          <w:b/>
          <w:bCs/>
        </w:rPr>
        <w:t>жирным шрифтом</w:t>
      </w:r>
      <w:r w:rsidR="00706756" w:rsidRPr="00706756">
        <w:t>, которое включено в нижеследующий пункт:</w:t>
      </w:r>
    </w:p>
    <w:p w:rsidR="00706756" w:rsidRPr="00706756" w:rsidRDefault="00706756" w:rsidP="0068763E">
      <w:pPr>
        <w:pStyle w:val="SingleTxtGR"/>
      </w:pPr>
      <w:r w:rsidRPr="00706756">
        <w:t>«Статья 2</w:t>
      </w:r>
    </w:p>
    <w:p w:rsidR="00706756" w:rsidRPr="00706756" w:rsidRDefault="0068763E" w:rsidP="0068763E">
      <w:pPr>
        <w:pStyle w:val="SingleTxtGR"/>
      </w:pPr>
      <w:r>
        <w:rPr>
          <w:lang w:val="en-US"/>
        </w:rPr>
        <w:tab/>
      </w:r>
      <w:r w:rsidR="00706756" w:rsidRPr="00706756">
        <w:t xml:space="preserve">Договаривающиеся стороны принимают необходимые меры для обеспечения того, чтобы транспортные средства, </w:t>
      </w:r>
      <w:r>
        <w:t>указанные в статье 1 настоящего</w:t>
      </w:r>
      <w:r w:rsidRPr="0068763E">
        <w:br/>
      </w:r>
      <w:r w:rsidR="00706756" w:rsidRPr="00706756">
        <w:t xml:space="preserve">Соглашения, осматривались и проверялись на основании положений добавлений 1, 2, 3 и 4 к приложению 1 к настоящему Соглашению. Каждая Договаривающаяся сторона признает действительность свидетельств о соответствии, выданных в соответствии </w:t>
      </w:r>
      <w:r w:rsidR="006E1595">
        <w:t>с пунктом 3</w:t>
      </w:r>
      <w:r w:rsidR="00706756" w:rsidRPr="00706756">
        <w:t xml:space="preserve"> добавления 1 к приложению 1 настоящего Соглашения компетентным органом другой Договаривающейся стороны. Каждая Договаривающаяся сторона может признавать действительность свидетельств о соответствии, выданных с соблюдение</w:t>
      </w:r>
      <w:r>
        <w:t>м требований, предусмотренных в</w:t>
      </w:r>
      <w:r>
        <w:rPr>
          <w:lang w:val="en-US"/>
        </w:rPr>
        <w:t> </w:t>
      </w:r>
      <w:r w:rsidR="00706756" w:rsidRPr="00706756">
        <w:t>добавлениях 1 и 2 к приложению 1 к настоящему Соглашению, компетентным органом государства, не являющегося Договаривающейся стороной.</w:t>
      </w:r>
    </w:p>
    <w:p w:rsidR="00706756" w:rsidRPr="00706756" w:rsidRDefault="0068763E" w:rsidP="006E1595">
      <w:pPr>
        <w:pStyle w:val="SingleTxtGR"/>
      </w:pPr>
      <w:r>
        <w:rPr>
          <w:b/>
          <w:bCs/>
          <w:lang w:val="en-US"/>
        </w:rPr>
        <w:tab/>
      </w:r>
      <w:r w:rsidR="00706756" w:rsidRPr="006E1595">
        <w:rPr>
          <w:b/>
          <w:bCs/>
          <w:spacing w:val="0"/>
        </w:rPr>
        <w:t>Если Договаривающаяся сторона передает полномочия по осуществлению деятельности, которая возложена на компетентные органы, какой-либо</w:t>
      </w:r>
      <w:r w:rsidR="00706756" w:rsidRPr="0068763E">
        <w:rPr>
          <w:b/>
          <w:bCs/>
        </w:rPr>
        <w:t xml:space="preserve"> частной структуре, то она обеспечивает, чтобы эта структура получи</w:t>
      </w:r>
      <w:r w:rsidR="006E1595">
        <w:rPr>
          <w:b/>
          <w:bCs/>
        </w:rPr>
        <w:t>ла в </w:t>
      </w:r>
      <w:r w:rsidR="00706756" w:rsidRPr="0068763E">
        <w:rPr>
          <w:b/>
          <w:bCs/>
        </w:rPr>
        <w:t xml:space="preserve">течение </w:t>
      </w:r>
      <w:r w:rsidR="006E1595">
        <w:rPr>
          <w:b/>
          <w:bCs/>
        </w:rPr>
        <w:t>двух</w:t>
      </w:r>
      <w:r w:rsidR="00706756" w:rsidRPr="0068763E">
        <w:rPr>
          <w:b/>
          <w:bCs/>
        </w:rPr>
        <w:t xml:space="preserve"> лет с даты вступления в силу настоящей поправки аккредитацию на проведение соответствующих оценок на основании настоящего Соглашения в соответствии со стандартом ISO 17065 соответствующим органом по аккредитации, который является членом Организации международного сотрудничества по аккредитации лабораторий (ИЛАК)</w:t>
      </w:r>
      <w:r w:rsidR="00706756" w:rsidRPr="00706756">
        <w:t>».</w:t>
      </w:r>
    </w:p>
    <w:p w:rsidR="00A658DB" w:rsidRPr="0068763E" w:rsidRDefault="0068763E" w:rsidP="0068763E">
      <w:pPr>
        <w:spacing w:before="240"/>
        <w:jc w:val="center"/>
        <w:rPr>
          <w:u w:val="single"/>
        </w:rPr>
      </w:pPr>
      <w:r>
        <w:rPr>
          <w:u w:val="single"/>
        </w:rPr>
        <w:tab/>
      </w:r>
      <w:r>
        <w:rPr>
          <w:u w:val="single"/>
        </w:rPr>
        <w:tab/>
      </w:r>
      <w:r>
        <w:rPr>
          <w:u w:val="single"/>
        </w:rPr>
        <w:tab/>
      </w:r>
    </w:p>
    <w:sectPr w:rsidR="00A658DB" w:rsidRPr="0068763E"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56" w:rsidRDefault="00706756" w:rsidP="00B471C5">
      <w:r>
        <w:separator/>
      </w:r>
    </w:p>
  </w:endnote>
  <w:endnote w:type="continuationSeparator" w:id="0">
    <w:p w:rsidR="00706756" w:rsidRDefault="00706756"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736B0">
      <w:rPr>
        <w:b/>
        <w:noProof/>
        <w:sz w:val="18"/>
        <w:szCs w:val="18"/>
      </w:rPr>
      <w:t>2</w:t>
    </w:r>
    <w:r w:rsidRPr="00BA2D2B">
      <w:rPr>
        <w:b/>
        <w:sz w:val="18"/>
        <w:szCs w:val="18"/>
      </w:rPr>
      <w:fldChar w:fldCharType="end"/>
    </w:r>
    <w:r>
      <w:rPr>
        <w:b/>
        <w:sz w:val="18"/>
        <w:szCs w:val="18"/>
      </w:rPr>
      <w:tab/>
    </w:r>
    <w:r>
      <w:rPr>
        <w:lang w:val="en-US"/>
      </w:rPr>
      <w:t>GE.16-</w:t>
    </w:r>
    <w:r w:rsidR="0068763E">
      <w:rPr>
        <w:lang w:val="en-US"/>
      </w:rPr>
      <w:t>12519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68763E" w:rsidP="007005EE">
    <w:pPr>
      <w:pStyle w:val="Footer"/>
      <w:rPr>
        <w:lang w:val="en-US"/>
      </w:rPr>
    </w:pPr>
    <w:r>
      <w:rPr>
        <w:lang w:val="en-US"/>
      </w:rPr>
      <w:t>GE.16-12519</w:t>
    </w:r>
    <w:r w:rsidR="007005EE">
      <w:rPr>
        <w:lang w:val="en-US"/>
      </w:rPr>
      <w:tab/>
    </w:r>
    <w:r w:rsidR="007005EE" w:rsidRPr="00BA2D2B">
      <w:rPr>
        <w:b/>
        <w:sz w:val="18"/>
        <w:szCs w:val="18"/>
      </w:rPr>
      <w:fldChar w:fldCharType="begin"/>
    </w:r>
    <w:r w:rsidR="007005EE" w:rsidRPr="00BA2D2B">
      <w:rPr>
        <w:b/>
        <w:sz w:val="18"/>
        <w:szCs w:val="18"/>
      </w:rPr>
      <w:instrText xml:space="preserve"> PAGE  \* Arabic  \* MERGEFORMAT </w:instrText>
    </w:r>
    <w:r w:rsidR="007005EE" w:rsidRPr="00BA2D2B">
      <w:rPr>
        <w:b/>
        <w:sz w:val="18"/>
        <w:szCs w:val="18"/>
      </w:rPr>
      <w:fldChar w:fldCharType="separate"/>
    </w:r>
    <w:r w:rsidR="00C736B0">
      <w:rPr>
        <w:b/>
        <w:noProof/>
        <w:sz w:val="18"/>
        <w:szCs w:val="18"/>
      </w:rPr>
      <w:t>3</w:t>
    </w:r>
    <w:r w:rsidR="007005EE"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68763E">
            <w:rPr>
              <w:lang w:val="en-US"/>
            </w:rPr>
            <w:t>12519</w:t>
          </w:r>
          <w:r w:rsidRPr="001C3ABC">
            <w:rPr>
              <w:lang w:val="en-US"/>
            </w:rPr>
            <w:t xml:space="preserve"> (R)</w:t>
          </w:r>
          <w:r w:rsidR="0068763E">
            <w:rPr>
              <w:lang w:val="en-US"/>
            </w:rPr>
            <w:t xml:space="preserve"> 050816  050816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68763E" w:rsidP="007B199D">
          <w:pPr>
            <w:jc w:val="right"/>
          </w:pPr>
          <w:r>
            <w:rPr>
              <w:noProof/>
              <w:lang w:val="en-US"/>
            </w:rPr>
            <w:drawing>
              <wp:inline distT="0" distB="0" distL="0" distR="0">
                <wp:extent cx="579755" cy="579755"/>
                <wp:effectExtent l="0" t="0" r="0" b="0"/>
                <wp:docPr id="3" name="Рисунок 3" descr="http://undocs.org/m2/QRCode.ashx?DS=ECE/TRANS/WP.11/2016/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68763E" w:rsidRDefault="0068763E" w:rsidP="007B199D">
          <w:pPr>
            <w:spacing w:after="40"/>
            <w:rPr>
              <w:rFonts w:ascii="C39T30Lfz" w:hAnsi="C39T30Lfz"/>
              <w:spacing w:val="0"/>
              <w:w w:val="100"/>
              <w:kern w:val="0"/>
              <w:sz w:val="56"/>
              <w:szCs w:val="56"/>
              <w:lang w:val="en-US" w:eastAsia="ru-RU"/>
            </w:rPr>
          </w:pP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r w:rsidRPr="0068763E">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56" w:rsidRPr="009141DC" w:rsidRDefault="00706756" w:rsidP="00D1261C">
      <w:pPr>
        <w:tabs>
          <w:tab w:val="left" w:pos="2268"/>
        </w:tabs>
        <w:spacing w:after="80"/>
        <w:ind w:left="680"/>
        <w:rPr>
          <w:u w:val="single"/>
          <w:lang w:val="en-US"/>
        </w:rPr>
      </w:pPr>
      <w:r>
        <w:rPr>
          <w:u w:val="single"/>
          <w:lang w:val="en-US"/>
        </w:rPr>
        <w:tab/>
      </w:r>
    </w:p>
  </w:footnote>
  <w:footnote w:type="continuationSeparator" w:id="0">
    <w:p w:rsidR="00706756" w:rsidRPr="00D1261C" w:rsidRDefault="00706756"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68763E">
    <w:pPr>
      <w:pStyle w:val="Header"/>
      <w:rPr>
        <w:lang w:val="en-US"/>
      </w:rPr>
    </w:pPr>
    <w:r w:rsidRPr="0068763E">
      <w:rPr>
        <w:lang w:val="en-US"/>
      </w:rPr>
      <w:t>ECE/TRANS/WP.11/2016/14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68763E" w:rsidP="007005EE">
    <w:pPr>
      <w:pStyle w:val="Header"/>
      <w:jc w:val="right"/>
      <w:rPr>
        <w:lang w:val="en-US"/>
      </w:rPr>
    </w:pPr>
    <w:r w:rsidRPr="0068763E">
      <w:rPr>
        <w:lang w:val="en-US"/>
      </w:rPr>
      <w:t>ECE/TRANS/WP.11/2016/14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6"/>
    <w:rsid w:val="000450D1"/>
    <w:rsid w:val="000B1FD5"/>
    <w:rsid w:val="000F2A4F"/>
    <w:rsid w:val="00203F84"/>
    <w:rsid w:val="00275188"/>
    <w:rsid w:val="0028687D"/>
    <w:rsid w:val="002B091C"/>
    <w:rsid w:val="002B3D40"/>
    <w:rsid w:val="002D0CCB"/>
    <w:rsid w:val="00345C79"/>
    <w:rsid w:val="00366A39"/>
    <w:rsid w:val="0048005C"/>
    <w:rsid w:val="004D639B"/>
    <w:rsid w:val="004E242B"/>
    <w:rsid w:val="00544379"/>
    <w:rsid w:val="00566944"/>
    <w:rsid w:val="005D56BF"/>
    <w:rsid w:val="005F4593"/>
    <w:rsid w:val="0062027E"/>
    <w:rsid w:val="00643644"/>
    <w:rsid w:val="00665D8D"/>
    <w:rsid w:val="0068763E"/>
    <w:rsid w:val="00690FCE"/>
    <w:rsid w:val="006A7A3B"/>
    <w:rsid w:val="006B6B57"/>
    <w:rsid w:val="006C1C48"/>
    <w:rsid w:val="006E1595"/>
    <w:rsid w:val="006F49F1"/>
    <w:rsid w:val="007005EE"/>
    <w:rsid w:val="00705394"/>
    <w:rsid w:val="00706756"/>
    <w:rsid w:val="00743F62"/>
    <w:rsid w:val="00760D3A"/>
    <w:rsid w:val="00773BA8"/>
    <w:rsid w:val="007A1F42"/>
    <w:rsid w:val="007D76DD"/>
    <w:rsid w:val="008717E8"/>
    <w:rsid w:val="008D01AE"/>
    <w:rsid w:val="008E0423"/>
    <w:rsid w:val="009141DC"/>
    <w:rsid w:val="009174A1"/>
    <w:rsid w:val="0098674D"/>
    <w:rsid w:val="00997ACA"/>
    <w:rsid w:val="00A03FB7"/>
    <w:rsid w:val="00A55C56"/>
    <w:rsid w:val="00A658DB"/>
    <w:rsid w:val="00A75A11"/>
    <w:rsid w:val="00A808B9"/>
    <w:rsid w:val="00A9606E"/>
    <w:rsid w:val="00AD7EAD"/>
    <w:rsid w:val="00B35A32"/>
    <w:rsid w:val="00B432C6"/>
    <w:rsid w:val="00B471C5"/>
    <w:rsid w:val="00B6474A"/>
    <w:rsid w:val="00BE1742"/>
    <w:rsid w:val="00C736B0"/>
    <w:rsid w:val="00D1261C"/>
    <w:rsid w:val="00D26030"/>
    <w:rsid w:val="00D75DCE"/>
    <w:rsid w:val="00DD35AC"/>
    <w:rsid w:val="00DD479F"/>
    <w:rsid w:val="00E15E48"/>
    <w:rsid w:val="00EB0723"/>
    <w:rsid w:val="00EB2957"/>
    <w:rsid w:val="00EE6F37"/>
    <w:rsid w:val="00F0284E"/>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54E288-00E2-4810-A37A-19069CED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FFFB-AA5E-4398-8E78-B029177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Caillot</cp:lastModifiedBy>
  <cp:revision>2</cp:revision>
  <cp:lastPrinted>2016-08-05T09:49:00Z</cp:lastPrinted>
  <dcterms:created xsi:type="dcterms:W3CDTF">2016-08-19T09:48:00Z</dcterms:created>
  <dcterms:modified xsi:type="dcterms:W3CDTF">2016-08-19T09:48:00Z</dcterms:modified>
</cp:coreProperties>
</file>