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079C9">
              <w:fldChar w:fldCharType="begin"/>
            </w:r>
            <w:r w:rsidR="009079C9">
              <w:instrText xml:space="preserve"> FILLIN  "Введите символ после ЕCE/"  \* MERGEFORMAT </w:instrText>
            </w:r>
            <w:r w:rsidR="009079C9">
              <w:fldChar w:fldCharType="separate"/>
            </w:r>
            <w:r w:rsidR="00346BD8">
              <w:t>TRANS/WP.11/2016/12</w:t>
            </w:r>
            <w:r w:rsidR="009079C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079C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46BD8">
                <w:t>20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079C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5DB7" w:rsidRPr="00465DB7" w:rsidRDefault="00465DB7" w:rsidP="00465DB7">
      <w:pPr>
        <w:spacing w:before="120"/>
        <w:rPr>
          <w:sz w:val="28"/>
          <w:szCs w:val="28"/>
        </w:rPr>
      </w:pPr>
      <w:r w:rsidRPr="00465DB7">
        <w:rPr>
          <w:sz w:val="28"/>
          <w:szCs w:val="28"/>
        </w:rPr>
        <w:t>Комитет по внутреннему транспорту</w:t>
      </w:r>
    </w:p>
    <w:p w:rsidR="00465DB7" w:rsidRPr="00465DB7" w:rsidRDefault="00465DB7" w:rsidP="00465DB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465DB7">
        <w:rPr>
          <w:b/>
          <w:bCs/>
          <w:sz w:val="24"/>
          <w:szCs w:val="24"/>
        </w:rPr>
        <w:br/>
        <w:t>скоропортящихся пищевых продуктов</w:t>
      </w:r>
    </w:p>
    <w:p w:rsidR="00465DB7" w:rsidRPr="00465DB7" w:rsidRDefault="00465DB7" w:rsidP="00465DB7">
      <w:pPr>
        <w:spacing w:before="120"/>
        <w:rPr>
          <w:b/>
          <w:bCs/>
        </w:rPr>
      </w:pPr>
      <w:r w:rsidRPr="00465DB7">
        <w:rPr>
          <w:b/>
          <w:bCs/>
        </w:rPr>
        <w:t>Семьдесят вторая сессия</w:t>
      </w:r>
    </w:p>
    <w:p w:rsidR="00465DB7" w:rsidRPr="00465DB7" w:rsidRDefault="00465DB7" w:rsidP="00465DB7">
      <w:r w:rsidRPr="00465DB7">
        <w:t>Женева, 4–7 октября 2016 года</w:t>
      </w:r>
    </w:p>
    <w:p w:rsidR="00465DB7" w:rsidRPr="00465DB7" w:rsidRDefault="00465DB7" w:rsidP="00465DB7">
      <w:r w:rsidRPr="00465DB7">
        <w:t>Пункт 5 a) предварительной повестки дня</w:t>
      </w:r>
    </w:p>
    <w:p w:rsidR="00465DB7" w:rsidRPr="00465DB7" w:rsidRDefault="00465DB7" w:rsidP="00465DB7">
      <w:pPr>
        <w:rPr>
          <w:b/>
          <w:bCs/>
        </w:rPr>
      </w:pPr>
      <w:r w:rsidRPr="00465DB7">
        <w:rPr>
          <w:b/>
          <w:bCs/>
        </w:rPr>
        <w:t xml:space="preserve">Предложения по поправкам к СПС: </w:t>
      </w:r>
      <w:r w:rsidRPr="00465DB7">
        <w:rPr>
          <w:b/>
          <w:bCs/>
        </w:rPr>
        <w:br/>
        <w:t>предложения, по которым еще не приняты решения</w:t>
      </w:r>
    </w:p>
    <w:p w:rsidR="00465DB7" w:rsidRPr="00465DB7" w:rsidRDefault="00465DB7" w:rsidP="00465DB7">
      <w:pPr>
        <w:pStyle w:val="HChGR"/>
      </w:pPr>
      <w:r w:rsidRPr="00465DB7">
        <w:tab/>
      </w:r>
      <w:r w:rsidRPr="00465DB7">
        <w:tab/>
        <w:t>Срок действия сертификатов на транспортные средства, изготавливаемые для передачи в другую страну</w:t>
      </w:r>
    </w:p>
    <w:p w:rsidR="00465DB7" w:rsidRPr="00465DB7" w:rsidRDefault="00465DB7" w:rsidP="00465DB7">
      <w:pPr>
        <w:pStyle w:val="H1GR"/>
      </w:pPr>
      <w:r w:rsidRPr="00465DB7">
        <w:tab/>
      </w:r>
      <w:r w:rsidRPr="00465DB7">
        <w:tab/>
        <w:t>Передано правительством Франции</w:t>
      </w:r>
    </w:p>
    <w:p w:rsidR="00465DB7" w:rsidRPr="00465DB7" w:rsidRDefault="00465DB7" w:rsidP="00465DB7">
      <w:pPr>
        <w:pStyle w:val="HChGR"/>
      </w:pPr>
      <w:r w:rsidRPr="00465DB7">
        <w:tab/>
      </w:r>
      <w:r w:rsidRPr="00465DB7">
        <w:tab/>
        <w:t>Контекст и проблемы</w:t>
      </w:r>
    </w:p>
    <w:p w:rsidR="00465DB7" w:rsidRPr="00465DB7" w:rsidRDefault="00465DB7" w:rsidP="00465DB7">
      <w:pPr>
        <w:pStyle w:val="SingleTxtGR"/>
      </w:pPr>
      <w:r w:rsidRPr="00465DB7">
        <w:t>1.</w:t>
      </w:r>
      <w:r w:rsidRPr="00465DB7">
        <w:tab/>
        <w:t xml:space="preserve">В добавлении 1 к приложению 1 к СПС уточняются условия передачи транспортного средства из одной страны в другую, но срок действия свидетельства, выданного страной происхождения, не уточняется. </w:t>
      </w:r>
    </w:p>
    <w:p w:rsidR="00465DB7" w:rsidRPr="00465DB7" w:rsidRDefault="00465DB7" w:rsidP="00465DB7">
      <w:pPr>
        <w:pStyle w:val="SingleTxtGR"/>
      </w:pPr>
      <w:r w:rsidRPr="00465DB7">
        <w:t>2.</w:t>
      </w:r>
      <w:r w:rsidRPr="00465DB7">
        <w:tab/>
        <w:t xml:space="preserve">Владельцу транспортного средства дается </w:t>
      </w:r>
      <w:r>
        <w:t>три</w:t>
      </w:r>
      <w:r w:rsidRPr="00465DB7">
        <w:t xml:space="preserve"> месяца на то, чтобы заменить свидетельство СПС, выданное страной происхождения, на соответствующее свидетельство новой страны, в которой будет эксплуатироваться это транспортное средство. Владельцы не всегда информируются продавцами или не всегда выполняют соответствующие инструкции. В результате этого владельцы транспортных средств не всегда меняют свидетельства, особенно в тех случаях, когда у них уже есть свидетельство, выданное страной происхождения, срок действия которого, если речь идет о новых транспортных средствах, может достигать </w:t>
      </w:r>
      <w:r>
        <w:t>шести</w:t>
      </w:r>
      <w:r w:rsidRPr="00465DB7">
        <w:t xml:space="preserve"> лет.</w:t>
      </w:r>
    </w:p>
    <w:p w:rsidR="00465DB7" w:rsidRPr="00465DB7" w:rsidRDefault="00465DB7" w:rsidP="00465DB7">
      <w:pPr>
        <w:pStyle w:val="SingleTxtGR"/>
      </w:pPr>
      <w:r w:rsidRPr="00465DB7">
        <w:t>3.</w:t>
      </w:r>
      <w:r w:rsidRPr="00465DB7">
        <w:tab/>
        <w:t>В результате этого возникают проблемы с применением Соглашения, на которые неоднократно указывали компетентные органы, и условия для нарушения конкуренции как между изготовителями, так и между пользователями.</w:t>
      </w:r>
    </w:p>
    <w:p w:rsidR="00465DB7" w:rsidRPr="00465DB7" w:rsidRDefault="00465DB7" w:rsidP="00465DB7">
      <w:pPr>
        <w:pStyle w:val="SingleTxtGR"/>
      </w:pPr>
      <w:r w:rsidRPr="00465DB7">
        <w:lastRenderedPageBreak/>
        <w:t>4.</w:t>
      </w:r>
      <w:r w:rsidRPr="00465DB7">
        <w:tab/>
      </w:r>
      <w:r w:rsidRPr="00465DB7">
        <w:rPr>
          <w:spacing w:val="2"/>
        </w:rPr>
        <w:t xml:space="preserve">В целях решения этой проблемы некоторые страны выдают на транспортные средства, предназначенные для экспорта, лишь свидетельства, срок действия которых ограничен тремя месяцами и которые можно продлить один раз. </w:t>
      </w:r>
      <w:r w:rsidRPr="00465DB7">
        <w:t>Эта мера практически во всех случаях вынуждает менять выданные свидетельства и соблюдать Соглашение, что как раз и является целью всех сторон, которые его подписали, и их компетентных органов.</w:t>
      </w:r>
    </w:p>
    <w:p w:rsidR="00465DB7" w:rsidRPr="00465DB7" w:rsidRDefault="00465DB7" w:rsidP="00465DB7">
      <w:pPr>
        <w:pStyle w:val="SingleTxtGR"/>
      </w:pPr>
      <w:r w:rsidRPr="00465DB7">
        <w:t>5.</w:t>
      </w:r>
      <w:r w:rsidRPr="00465DB7">
        <w:tab/>
        <w:t>Против этой меры, представлен</w:t>
      </w:r>
      <w:r>
        <w:t>ной на последней сессии WP11, вы</w:t>
      </w:r>
      <w:r w:rsidRPr="00465DB7">
        <w:t>ступила только одна страна. С учетом того, что консенсус практически достигнут, Франция хотела бы еще раз обсудить это предложение о внесении поправки.</w:t>
      </w:r>
    </w:p>
    <w:p w:rsidR="00465DB7" w:rsidRPr="00465DB7" w:rsidRDefault="00465DB7" w:rsidP="00465DB7">
      <w:pPr>
        <w:pStyle w:val="HChGR"/>
      </w:pPr>
      <w:r w:rsidRPr="00465DB7">
        <w:tab/>
      </w:r>
      <w:r w:rsidRPr="00465DB7">
        <w:tab/>
        <w:t>Цель</w:t>
      </w:r>
    </w:p>
    <w:p w:rsidR="00465DB7" w:rsidRPr="00465DB7" w:rsidRDefault="00465DB7" w:rsidP="00465DB7">
      <w:pPr>
        <w:pStyle w:val="SingleTxtGR"/>
      </w:pPr>
      <w:r w:rsidRPr="00465DB7">
        <w:t>6.</w:t>
      </w:r>
      <w:r w:rsidRPr="00465DB7">
        <w:tab/>
        <w:t>Цель состоит в создании соответствующего простого и дешевого механизма, который позволял бы применять Сог</w:t>
      </w:r>
      <w:r>
        <w:t>лашение на более справедливой и </w:t>
      </w:r>
      <w:r w:rsidRPr="00465DB7">
        <w:t>единообразной основе в странах − участницах этого Соглашения.</w:t>
      </w:r>
    </w:p>
    <w:p w:rsidR="00465DB7" w:rsidRPr="00465DB7" w:rsidRDefault="00465DB7" w:rsidP="00465DB7">
      <w:pPr>
        <w:pStyle w:val="HChGR"/>
      </w:pPr>
      <w:r w:rsidRPr="00465DB7">
        <w:tab/>
      </w:r>
      <w:r w:rsidRPr="00465DB7">
        <w:tab/>
        <w:t>Предлагаемое решение</w:t>
      </w:r>
    </w:p>
    <w:p w:rsidR="00465DB7" w:rsidRPr="00465DB7" w:rsidRDefault="00465DB7" w:rsidP="00465DB7">
      <w:pPr>
        <w:pStyle w:val="SingleTxtGR"/>
      </w:pPr>
      <w:r w:rsidRPr="00465DB7">
        <w:t>7.</w:t>
      </w:r>
      <w:r w:rsidRPr="00465DB7">
        <w:tab/>
        <w:t>В Соглашение предлагается включить положение, обязывающее ограничить срок действия свидетельств на транспортные средства, предназначенные для экспорта.</w:t>
      </w:r>
    </w:p>
    <w:p w:rsidR="00465DB7" w:rsidRPr="00465DB7" w:rsidRDefault="00465DB7" w:rsidP="00465DB7">
      <w:pPr>
        <w:pStyle w:val="SingleTxtGR"/>
      </w:pPr>
      <w:r w:rsidRPr="00465DB7">
        <w:t>8.</w:t>
      </w:r>
      <w:r w:rsidRPr="00465DB7">
        <w:tab/>
        <w:t xml:space="preserve">Как представляется, </w:t>
      </w:r>
      <w:r>
        <w:t>трех</w:t>
      </w:r>
      <w:r w:rsidRPr="00465DB7">
        <w:t>месячный срок позволяет компетентному органу страны назначения транспортного средства принять меры по реализации этих положений на практике и заменить свидетельство. В случае необходимости это свидетельство можно будет продлить один раз</w:t>
      </w:r>
    </w:p>
    <w:p w:rsidR="00465DB7" w:rsidRPr="00465DB7" w:rsidRDefault="00465DB7" w:rsidP="00465DB7">
      <w:pPr>
        <w:pStyle w:val="HChGR"/>
      </w:pPr>
      <w:r w:rsidRPr="00465DB7">
        <w:tab/>
      </w:r>
      <w:r w:rsidRPr="00465DB7">
        <w:tab/>
        <w:t>Предложение по поправке к Соглашению СПС</w:t>
      </w:r>
    </w:p>
    <w:p w:rsidR="00465DB7" w:rsidRPr="00465DB7" w:rsidRDefault="00465DB7" w:rsidP="00465DB7">
      <w:pPr>
        <w:pStyle w:val="SingleTxtGR"/>
      </w:pPr>
      <w:r w:rsidRPr="00465DB7">
        <w:t>9.</w:t>
      </w:r>
      <w:r w:rsidRPr="00465DB7">
        <w:tab/>
        <w:t>Изменить пункт 3 добавления 1 к приложению 1 следующим образом:</w:t>
      </w:r>
    </w:p>
    <w:p w:rsidR="00465DB7" w:rsidRPr="00465DB7" w:rsidRDefault="00465DB7" w:rsidP="00465DB7">
      <w:pPr>
        <w:pStyle w:val="SingleTxtGR"/>
      </w:pPr>
      <w:r>
        <w:t>«3.</w:t>
      </w:r>
      <w:r w:rsidRPr="00465DB7">
        <w:tab/>
        <w:t xml:space="preserve">Свидетельство о соответствии установленным нормам выдается компетентным органом страны, в которой транспортное средство должно быть зарегистрировано или принято на учет. Это свидетельство должно соответствовать образцу, приведенному в добавлении 3 к настоящему приложению. </w:t>
      </w:r>
      <w:r w:rsidRPr="00465DB7">
        <w:rPr>
          <w:b/>
          <w:bCs/>
        </w:rPr>
        <w:t xml:space="preserve">Если свидетельство выдается на транспортное средство в целях его передачи другой стране, подписавшей Соглашение, в которой есть соответствующий компетентный орган, этот компетентный орган выдает свидетельство на ограниченный срок продолжительностью </w:t>
      </w:r>
      <w:r>
        <w:rPr>
          <w:b/>
          <w:bCs/>
        </w:rPr>
        <w:t>три</w:t>
      </w:r>
      <w:r w:rsidRPr="00465DB7">
        <w:rPr>
          <w:b/>
          <w:bCs/>
        </w:rPr>
        <w:t xml:space="preserve"> месяца, который может быть продлен один раз</w:t>
      </w:r>
      <w:r>
        <w:t>»</w:t>
      </w:r>
      <w:r w:rsidRPr="00465DB7">
        <w:t>.</w:t>
      </w:r>
    </w:p>
    <w:p w:rsidR="00A658DB" w:rsidRPr="00465DB7" w:rsidRDefault="00465DB7" w:rsidP="00465DB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465DB7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B7" w:rsidRDefault="00465DB7" w:rsidP="00B471C5">
      <w:r>
        <w:separator/>
      </w:r>
    </w:p>
  </w:endnote>
  <w:endnote w:type="continuationSeparator" w:id="0">
    <w:p w:rsidR="00465DB7" w:rsidRDefault="00465DB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079C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65DB7">
      <w:rPr>
        <w:lang w:val="en-US"/>
      </w:rPr>
      <w:t>12514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65DB7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465DB7">
            <w:t>12514</w:t>
          </w:r>
          <w:r w:rsidRPr="001C3ABC">
            <w:rPr>
              <w:lang w:val="en-US"/>
            </w:rPr>
            <w:t xml:space="preserve"> (R)</w:t>
          </w:r>
          <w:r w:rsidR="00465DB7">
            <w:t xml:space="preserve">  050816  050816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65DB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65DB7" w:rsidRDefault="00465DB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65D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B7" w:rsidRPr="009141DC" w:rsidRDefault="00465DB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65DB7" w:rsidRPr="00D1261C" w:rsidRDefault="00465DB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465DB7">
    <w:pPr>
      <w:pStyle w:val="Header"/>
      <w:rPr>
        <w:lang w:val="en-US"/>
      </w:rPr>
    </w:pPr>
    <w:r w:rsidRPr="00465DB7">
      <w:rPr>
        <w:lang w:val="en-US"/>
      </w:rPr>
      <w:t>ECE/TRANS/WP.11/2016/12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D8" w:rsidRDefault="0034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7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46BD8"/>
    <w:rsid w:val="00366A39"/>
    <w:rsid w:val="00465DB7"/>
    <w:rsid w:val="0048005C"/>
    <w:rsid w:val="004D639B"/>
    <w:rsid w:val="004E242B"/>
    <w:rsid w:val="00544379"/>
    <w:rsid w:val="00566944"/>
    <w:rsid w:val="005800EE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5615"/>
    <w:rsid w:val="00773BA8"/>
    <w:rsid w:val="007A1F42"/>
    <w:rsid w:val="007D76DD"/>
    <w:rsid w:val="008717E8"/>
    <w:rsid w:val="008D01AE"/>
    <w:rsid w:val="008E0423"/>
    <w:rsid w:val="009079C9"/>
    <w:rsid w:val="009141DC"/>
    <w:rsid w:val="009174A1"/>
    <w:rsid w:val="00985DD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41C0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FFEBC2-4D8C-46D0-B4B7-6E6F3C5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2FCA-A389-425A-9FDD-9D2AD6D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2016-08-05T10:56:00Z</cp:lastPrinted>
  <dcterms:created xsi:type="dcterms:W3CDTF">2016-08-19T09:45:00Z</dcterms:created>
  <dcterms:modified xsi:type="dcterms:W3CDTF">2016-08-19T09:45:00Z</dcterms:modified>
</cp:coreProperties>
</file>