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03" w:rsidRPr="00AA446C" w:rsidRDefault="00E41203" w:rsidP="00E41203">
      <w:pPr>
        <w:spacing w:line="60" w:lineRule="exact"/>
        <w:rPr>
          <w:color w:val="010000"/>
          <w:sz w:val="6"/>
        </w:rPr>
        <w:sectPr w:rsidR="00E41203" w:rsidRPr="00AA446C" w:rsidSect="00E41203">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AA446C" w:rsidRPr="00AA446C" w:rsidRDefault="00AA446C" w:rsidP="003833B1">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AA446C">
        <w:lastRenderedPageBreak/>
        <w:t>Европейская экономическая комиссия</w:t>
      </w:r>
    </w:p>
    <w:p w:rsidR="003833B1" w:rsidRPr="003833B1" w:rsidRDefault="003833B1" w:rsidP="003833B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AA446C" w:rsidRPr="003833B1" w:rsidRDefault="00AA446C" w:rsidP="003833B1">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rPr>
      </w:pPr>
      <w:r w:rsidRPr="003833B1">
        <w:rPr>
          <w:b w:val="0"/>
        </w:rPr>
        <w:t>Комитет по внутреннему транспорту</w:t>
      </w:r>
    </w:p>
    <w:p w:rsidR="003833B1" w:rsidRPr="00247A7B" w:rsidRDefault="003833B1" w:rsidP="003833B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b/>
          <w:bCs/>
          <w:sz w:val="10"/>
        </w:rPr>
      </w:pPr>
    </w:p>
    <w:p w:rsidR="00AA446C" w:rsidRPr="00AA446C" w:rsidRDefault="00AA446C" w:rsidP="003833B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AA446C">
        <w:t>Семьдесят восьмая сессия</w:t>
      </w:r>
    </w:p>
    <w:p w:rsidR="003833B1" w:rsidRPr="00247A7B" w:rsidRDefault="00AA446C" w:rsidP="00AA446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AA446C">
        <w:t>Женева, 23–26 февраля 2016 года</w:t>
      </w:r>
    </w:p>
    <w:p w:rsidR="003833B1" w:rsidRPr="003833B1" w:rsidRDefault="00AA446C" w:rsidP="00AA446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AA446C">
        <w:t>Пункт 12 предварительной повестки дня</w:t>
      </w:r>
    </w:p>
    <w:p w:rsidR="00E41203" w:rsidRPr="00AA446C" w:rsidRDefault="00AA446C" w:rsidP="003833B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AA446C">
        <w:t xml:space="preserve">Утверждение двухгодичной оценки работы </w:t>
      </w:r>
      <w:r w:rsidR="003833B1" w:rsidRPr="003833B1">
        <w:br/>
      </w:r>
      <w:r w:rsidRPr="00AA446C">
        <w:t>Комитета за период 2014–2015 годов</w:t>
      </w:r>
    </w:p>
    <w:p w:rsidR="00AA446C" w:rsidRPr="00AA446C" w:rsidRDefault="00AA446C" w:rsidP="00AA446C">
      <w:pPr>
        <w:pStyle w:val="SingleTxt"/>
        <w:spacing w:after="0" w:line="120" w:lineRule="exact"/>
        <w:rPr>
          <w:sz w:val="10"/>
        </w:rPr>
      </w:pPr>
    </w:p>
    <w:p w:rsidR="00AA446C" w:rsidRPr="00AA446C" w:rsidRDefault="00AA446C" w:rsidP="00AA446C">
      <w:pPr>
        <w:pStyle w:val="SingleTxt"/>
        <w:spacing w:after="0" w:line="120" w:lineRule="exact"/>
        <w:rPr>
          <w:sz w:val="10"/>
        </w:rPr>
      </w:pPr>
    </w:p>
    <w:p w:rsidR="00AA446C" w:rsidRPr="00AA446C" w:rsidRDefault="00AA446C" w:rsidP="00AA446C">
      <w:pPr>
        <w:pStyle w:val="SingleTxt"/>
        <w:spacing w:after="0" w:line="120" w:lineRule="exact"/>
        <w:rPr>
          <w:sz w:val="10"/>
        </w:rPr>
      </w:pPr>
    </w:p>
    <w:p w:rsidR="00AA446C" w:rsidRPr="00247A7B" w:rsidRDefault="003833B1" w:rsidP="003833B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47A7B">
        <w:tab/>
      </w:r>
      <w:r w:rsidRPr="00247A7B">
        <w:tab/>
      </w:r>
      <w:r w:rsidR="00AA446C" w:rsidRPr="00AA446C">
        <w:t>Двухгодичная оценка подпрограммы по транспорту</w:t>
      </w:r>
    </w:p>
    <w:p w:rsidR="003833B1" w:rsidRPr="00247A7B" w:rsidRDefault="003833B1" w:rsidP="003833B1">
      <w:pPr>
        <w:pStyle w:val="SingleTxt"/>
        <w:spacing w:after="0" w:line="120" w:lineRule="exact"/>
        <w:rPr>
          <w:sz w:val="10"/>
        </w:rPr>
      </w:pPr>
    </w:p>
    <w:p w:rsidR="003833B1" w:rsidRPr="00247A7B" w:rsidRDefault="003833B1" w:rsidP="003833B1">
      <w:pPr>
        <w:pStyle w:val="SingleTxt"/>
        <w:spacing w:after="0" w:line="120" w:lineRule="exact"/>
        <w:rPr>
          <w:sz w:val="10"/>
        </w:rPr>
      </w:pPr>
    </w:p>
    <w:p w:rsidR="00AA446C" w:rsidRPr="00AA446C" w:rsidRDefault="00AA446C" w:rsidP="003833B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A446C">
        <w:tab/>
      </w:r>
      <w:r w:rsidRPr="00AA446C">
        <w:tab/>
        <w:t>Оценка результативности программы в 2014–2015 годах</w:t>
      </w:r>
    </w:p>
    <w:p w:rsidR="003833B1" w:rsidRPr="00247A7B" w:rsidRDefault="003833B1" w:rsidP="003833B1">
      <w:pPr>
        <w:pStyle w:val="SingleTxt"/>
        <w:spacing w:after="0" w:line="120" w:lineRule="exact"/>
        <w:rPr>
          <w:sz w:val="10"/>
        </w:rPr>
      </w:pPr>
    </w:p>
    <w:p w:rsidR="003833B1" w:rsidRPr="00247A7B" w:rsidRDefault="003833B1" w:rsidP="003833B1">
      <w:pPr>
        <w:pStyle w:val="SingleTxt"/>
        <w:spacing w:after="0" w:line="120" w:lineRule="exact"/>
        <w:rPr>
          <w:sz w:val="10"/>
        </w:rPr>
      </w:pPr>
    </w:p>
    <w:p w:rsidR="00AA446C" w:rsidRPr="003833B1" w:rsidRDefault="00AA446C" w:rsidP="003833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A446C">
        <w:tab/>
      </w:r>
      <w:r w:rsidRPr="00AA446C">
        <w:tab/>
        <w:t>Записка секретариата</w:t>
      </w:r>
    </w:p>
    <w:p w:rsidR="00AA446C" w:rsidRPr="003833B1" w:rsidRDefault="00AA446C" w:rsidP="00AA446C">
      <w:pPr>
        <w:pStyle w:val="SingleTxt"/>
        <w:spacing w:after="0" w:line="120" w:lineRule="exact"/>
        <w:rPr>
          <w:sz w:val="10"/>
        </w:rPr>
      </w:pPr>
    </w:p>
    <w:p w:rsidR="00AA446C" w:rsidRPr="003833B1" w:rsidRDefault="00AA446C" w:rsidP="00AA446C">
      <w:pPr>
        <w:pStyle w:val="SingleTxt"/>
        <w:spacing w:after="0" w:line="120" w:lineRule="exact"/>
        <w:rPr>
          <w:sz w:val="10"/>
        </w:rPr>
      </w:pPr>
    </w:p>
    <w:p w:rsidR="00AA446C" w:rsidRPr="003833B1" w:rsidRDefault="00AA446C" w:rsidP="00AA446C">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AA446C" w:rsidTr="00AA446C">
        <w:tc>
          <w:tcPr>
            <w:tcW w:w="10051" w:type="dxa"/>
            <w:tcBorders>
              <w:top w:val="single" w:sz="2" w:space="0" w:color="auto"/>
            </w:tcBorders>
            <w:shd w:val="clear" w:color="auto" w:fill="auto"/>
          </w:tcPr>
          <w:p w:rsidR="00AA446C" w:rsidRPr="00AA446C" w:rsidRDefault="00AA446C" w:rsidP="00AA446C">
            <w:pPr>
              <w:tabs>
                <w:tab w:val="left" w:pos="240"/>
              </w:tabs>
              <w:spacing w:before="240" w:after="120"/>
              <w:rPr>
                <w:i/>
                <w:sz w:val="24"/>
                <w:lang w:val="en-US"/>
              </w:rPr>
            </w:pPr>
            <w:r w:rsidRPr="003833B1">
              <w:rPr>
                <w:i/>
                <w:sz w:val="24"/>
              </w:rPr>
              <w:tab/>
            </w:r>
            <w:proofErr w:type="spellStart"/>
            <w:r>
              <w:rPr>
                <w:i/>
                <w:sz w:val="24"/>
                <w:lang w:val="en-US"/>
              </w:rPr>
              <w:t>Резюме</w:t>
            </w:r>
            <w:proofErr w:type="spellEnd"/>
          </w:p>
        </w:tc>
      </w:tr>
      <w:tr w:rsidR="00AA446C" w:rsidRPr="00AA446C" w:rsidTr="00AA446C">
        <w:tc>
          <w:tcPr>
            <w:tcW w:w="10051" w:type="dxa"/>
            <w:shd w:val="clear" w:color="auto" w:fill="auto"/>
          </w:tcPr>
          <w:p w:rsidR="00AA446C" w:rsidRPr="00AA446C" w:rsidRDefault="00AA446C" w:rsidP="00AA446C">
            <w:pPr>
              <w:pStyle w:val="SingleTxt"/>
            </w:pPr>
            <w:r w:rsidRPr="00AA446C">
              <w:tab/>
              <w:t>Настоящий документ содержит общую оценку результативности подпр</w:t>
            </w:r>
            <w:r w:rsidRPr="00AA446C">
              <w:t>о</w:t>
            </w:r>
            <w:r w:rsidRPr="00AA446C">
              <w:t>граммы по транспорту и подготовлен в соответствии с решением Комиссии, предложившей каждому секторальному комитету проводить двухгодичные оце</w:t>
            </w:r>
            <w:r w:rsidRPr="00AA446C">
              <w:t>н</w:t>
            </w:r>
            <w:r w:rsidRPr="00AA446C">
              <w:t>ки, а также с планом двухгодичной оценки результативности, который был пр</w:t>
            </w:r>
            <w:r w:rsidRPr="00AA446C">
              <w:t>и</w:t>
            </w:r>
            <w:r w:rsidRPr="00AA446C">
              <w:t>нят Комитетом по внутреннему транспорту (КВТ) на его семьдесят шестой се</w:t>
            </w:r>
            <w:r w:rsidRPr="00AA446C">
              <w:t>с</w:t>
            </w:r>
            <w:r w:rsidRPr="00AA446C">
              <w:t>сии в 2014 году.</w:t>
            </w:r>
          </w:p>
        </w:tc>
      </w:tr>
      <w:tr w:rsidR="00AA446C" w:rsidRPr="00AA446C" w:rsidTr="00AA446C">
        <w:tc>
          <w:tcPr>
            <w:tcW w:w="10051" w:type="dxa"/>
            <w:shd w:val="clear" w:color="auto" w:fill="auto"/>
          </w:tcPr>
          <w:p w:rsidR="00AA446C" w:rsidRPr="00AA446C" w:rsidRDefault="00AA446C" w:rsidP="00AA446C">
            <w:pPr>
              <w:pStyle w:val="SingleTxt"/>
            </w:pPr>
            <w:r w:rsidRPr="00247A7B">
              <w:tab/>
            </w:r>
            <w:r w:rsidRPr="00AA446C">
              <w:t>Комитет, возможно, пожелает рассмотреть и утвердить данную оценку.</w:t>
            </w:r>
          </w:p>
        </w:tc>
      </w:tr>
      <w:tr w:rsidR="00AA446C" w:rsidRPr="00AA446C" w:rsidTr="00AA446C">
        <w:tc>
          <w:tcPr>
            <w:tcW w:w="10051" w:type="dxa"/>
            <w:tcBorders>
              <w:bottom w:val="single" w:sz="2" w:space="0" w:color="auto"/>
            </w:tcBorders>
            <w:shd w:val="clear" w:color="auto" w:fill="auto"/>
          </w:tcPr>
          <w:p w:rsidR="00AA446C" w:rsidRPr="00AA446C" w:rsidRDefault="00AA446C" w:rsidP="00AA446C">
            <w:pPr>
              <w:pStyle w:val="SingleTxt"/>
            </w:pPr>
          </w:p>
        </w:tc>
      </w:tr>
    </w:tbl>
    <w:p w:rsidR="00AA446C" w:rsidRDefault="00AA446C" w:rsidP="00E41203">
      <w:pPr>
        <w:pStyle w:val="SingleTxt"/>
      </w:pPr>
    </w:p>
    <w:p w:rsidR="00AA446C" w:rsidRPr="00AA446C" w:rsidRDefault="00AA446C" w:rsidP="00E41203">
      <w:pPr>
        <w:pStyle w:val="SingleTxt"/>
      </w:pPr>
      <w:r>
        <w:br w:type="page"/>
      </w:r>
      <w:r w:rsidRPr="00AA446C">
        <w:lastRenderedPageBreak/>
        <w:tab/>
        <w:t>В подпрограмму ЕЭК по транспорту включены следующие направления д</w:t>
      </w:r>
      <w:r w:rsidRPr="00AA446C">
        <w:t>е</w:t>
      </w:r>
      <w:r w:rsidRPr="00AA446C">
        <w:t>ятельности:</w:t>
      </w:r>
    </w:p>
    <w:tbl>
      <w:tblPr>
        <w:tblW w:w="7368" w:type="dxa"/>
        <w:tblInd w:w="1267" w:type="dxa"/>
        <w:tblLayout w:type="fixed"/>
        <w:tblCellMar>
          <w:left w:w="0" w:type="dxa"/>
          <w:right w:w="0" w:type="dxa"/>
        </w:tblCellMar>
        <w:tblLook w:val="01E0" w:firstRow="1" w:lastRow="1" w:firstColumn="1" w:lastColumn="1" w:noHBand="0" w:noVBand="0"/>
      </w:tblPr>
      <w:tblGrid>
        <w:gridCol w:w="983"/>
        <w:gridCol w:w="6385"/>
      </w:tblGrid>
      <w:tr w:rsidR="00AA446C" w:rsidRPr="00AD7633" w:rsidTr="003833B1">
        <w:trPr>
          <w:tblHeader/>
        </w:trPr>
        <w:tc>
          <w:tcPr>
            <w:tcW w:w="983" w:type="dxa"/>
            <w:tcBorders>
              <w:top w:val="single" w:sz="4" w:space="0" w:color="auto"/>
              <w:bottom w:val="single" w:sz="12" w:space="0" w:color="auto"/>
            </w:tcBorders>
            <w:shd w:val="clear" w:color="auto" w:fill="auto"/>
            <w:vAlign w:val="bottom"/>
            <w:hideMark/>
          </w:tcPr>
          <w:p w:rsidR="00AA446C" w:rsidRPr="00AD7633" w:rsidRDefault="00AA446C" w:rsidP="00AD7633">
            <w:pPr>
              <w:suppressAutoHyphens/>
              <w:spacing w:before="80" w:after="80" w:line="160" w:lineRule="exact"/>
              <w:ind w:right="40"/>
              <w:rPr>
                <w:i/>
                <w:iCs/>
                <w:sz w:val="14"/>
              </w:rPr>
            </w:pPr>
            <w:r w:rsidRPr="00AD7633">
              <w:rPr>
                <w:i/>
                <w:iCs/>
                <w:sz w:val="14"/>
              </w:rPr>
              <w:t xml:space="preserve">Направление деятельности </w:t>
            </w:r>
            <w:r w:rsidR="003833B1" w:rsidRPr="003833B1">
              <w:rPr>
                <w:i/>
                <w:iCs/>
                <w:sz w:val="14"/>
              </w:rPr>
              <w:br/>
            </w:r>
            <w:r w:rsidRPr="00AD7633">
              <w:rPr>
                <w:i/>
                <w:iCs/>
                <w:sz w:val="14"/>
              </w:rPr>
              <w:t>№</w:t>
            </w:r>
          </w:p>
        </w:tc>
        <w:tc>
          <w:tcPr>
            <w:tcW w:w="6385" w:type="dxa"/>
            <w:tcBorders>
              <w:top w:val="single" w:sz="4" w:space="0" w:color="auto"/>
              <w:bottom w:val="single" w:sz="12" w:space="0" w:color="auto"/>
            </w:tcBorders>
            <w:shd w:val="clear" w:color="auto" w:fill="auto"/>
            <w:vAlign w:val="bottom"/>
            <w:hideMark/>
          </w:tcPr>
          <w:p w:rsidR="00AA446C" w:rsidRPr="00AD7633" w:rsidRDefault="00AA446C" w:rsidP="00AD7633">
            <w:pPr>
              <w:spacing w:before="80" w:after="80" w:line="160" w:lineRule="exact"/>
              <w:ind w:right="397"/>
              <w:rPr>
                <w:i/>
                <w:iCs/>
                <w:sz w:val="14"/>
              </w:rPr>
            </w:pPr>
            <w:r w:rsidRPr="00AD7633">
              <w:rPr>
                <w:i/>
                <w:iCs/>
                <w:sz w:val="14"/>
              </w:rPr>
              <w:t>Подпрограмма: 02 Транспорт</w:t>
            </w:r>
          </w:p>
        </w:tc>
      </w:tr>
      <w:tr w:rsidR="00AD7633" w:rsidRPr="00AD7633" w:rsidTr="003833B1">
        <w:trPr>
          <w:trHeight w:hRule="exact" w:val="115"/>
          <w:tblHeader/>
        </w:trPr>
        <w:tc>
          <w:tcPr>
            <w:tcW w:w="983" w:type="dxa"/>
            <w:tcBorders>
              <w:top w:val="single" w:sz="12" w:space="0" w:color="auto"/>
            </w:tcBorders>
            <w:shd w:val="clear" w:color="auto" w:fill="auto"/>
            <w:vAlign w:val="bottom"/>
          </w:tcPr>
          <w:p w:rsidR="00AD7633" w:rsidRPr="00AD7633" w:rsidRDefault="00AD7633" w:rsidP="00AD7633">
            <w:pPr>
              <w:suppressAutoHyphens/>
              <w:spacing w:before="40" w:after="80"/>
              <w:ind w:right="40"/>
            </w:pPr>
          </w:p>
        </w:tc>
        <w:tc>
          <w:tcPr>
            <w:tcW w:w="6385" w:type="dxa"/>
            <w:tcBorders>
              <w:top w:val="single" w:sz="12" w:space="0" w:color="auto"/>
            </w:tcBorders>
            <w:shd w:val="clear" w:color="auto" w:fill="auto"/>
            <w:vAlign w:val="bottom"/>
          </w:tcPr>
          <w:p w:rsidR="00AD7633" w:rsidRPr="00AD7633" w:rsidRDefault="00AD7633" w:rsidP="00AD7633">
            <w:pPr>
              <w:spacing w:before="40" w:after="80"/>
              <w:ind w:right="397"/>
            </w:pPr>
          </w:p>
        </w:tc>
      </w:tr>
      <w:tr w:rsidR="00AA446C" w:rsidRPr="00AD7633" w:rsidTr="003833B1">
        <w:tc>
          <w:tcPr>
            <w:tcW w:w="983" w:type="dxa"/>
            <w:shd w:val="clear" w:color="auto" w:fill="auto"/>
            <w:hideMark/>
          </w:tcPr>
          <w:p w:rsidR="00AA446C" w:rsidRPr="00AD7633" w:rsidRDefault="00AA446C" w:rsidP="00AD7633">
            <w:pPr>
              <w:tabs>
                <w:tab w:val="left" w:pos="288"/>
                <w:tab w:val="left" w:pos="576"/>
                <w:tab w:val="left" w:pos="864"/>
                <w:tab w:val="left" w:pos="1152"/>
              </w:tabs>
              <w:suppressAutoHyphens/>
              <w:spacing w:before="40" w:after="80"/>
              <w:ind w:right="40"/>
              <w:rPr>
                <w:szCs w:val="18"/>
              </w:rPr>
            </w:pPr>
            <w:r w:rsidRPr="00AD7633">
              <w:t>1.</w:t>
            </w:r>
          </w:p>
        </w:tc>
        <w:tc>
          <w:tcPr>
            <w:tcW w:w="6385" w:type="dxa"/>
            <w:shd w:val="clear" w:color="auto" w:fill="auto"/>
            <w:hideMark/>
          </w:tcPr>
          <w:p w:rsidR="00AA446C" w:rsidRPr="00AD7633" w:rsidRDefault="00AA446C" w:rsidP="003833B1">
            <w:pPr>
              <w:tabs>
                <w:tab w:val="left" w:pos="288"/>
                <w:tab w:val="left" w:pos="576"/>
                <w:tab w:val="left" w:pos="864"/>
                <w:tab w:val="left" w:pos="1152"/>
              </w:tabs>
              <w:spacing w:before="40" w:after="80"/>
              <w:ind w:right="175"/>
              <w:rPr>
                <w:szCs w:val="18"/>
              </w:rPr>
            </w:pPr>
            <w:r w:rsidRPr="00AD7633">
              <w:t>Общая координация (Комитет по внутреннему транспорту и Бюро)</w:t>
            </w:r>
          </w:p>
        </w:tc>
      </w:tr>
      <w:tr w:rsidR="00AA446C" w:rsidRPr="00AD7633" w:rsidTr="003833B1">
        <w:tc>
          <w:tcPr>
            <w:tcW w:w="983" w:type="dxa"/>
            <w:shd w:val="clear" w:color="auto" w:fill="auto"/>
            <w:hideMark/>
          </w:tcPr>
          <w:p w:rsidR="00AA446C" w:rsidRPr="00AD7633" w:rsidRDefault="00AA446C" w:rsidP="00AD7633">
            <w:pPr>
              <w:tabs>
                <w:tab w:val="left" w:pos="288"/>
                <w:tab w:val="left" w:pos="576"/>
                <w:tab w:val="left" w:pos="864"/>
                <w:tab w:val="left" w:pos="1152"/>
              </w:tabs>
              <w:suppressAutoHyphens/>
              <w:spacing w:before="40" w:after="80"/>
              <w:ind w:right="40"/>
              <w:rPr>
                <w:szCs w:val="18"/>
              </w:rPr>
            </w:pPr>
            <w:r w:rsidRPr="00AD7633">
              <w:t>2.</w:t>
            </w:r>
          </w:p>
        </w:tc>
        <w:tc>
          <w:tcPr>
            <w:tcW w:w="6385" w:type="dxa"/>
            <w:shd w:val="clear" w:color="auto" w:fill="auto"/>
            <w:hideMark/>
          </w:tcPr>
          <w:p w:rsidR="00AA446C" w:rsidRPr="00AD7633" w:rsidRDefault="00AA446C" w:rsidP="003833B1">
            <w:pPr>
              <w:tabs>
                <w:tab w:val="left" w:pos="288"/>
                <w:tab w:val="left" w:pos="576"/>
                <w:tab w:val="left" w:pos="864"/>
                <w:tab w:val="left" w:pos="1152"/>
              </w:tabs>
              <w:spacing w:before="40" w:after="80"/>
              <w:ind w:right="175"/>
              <w:rPr>
                <w:szCs w:val="18"/>
              </w:rPr>
            </w:pPr>
            <w:r w:rsidRPr="00AD7633">
              <w:t>Тенденции и экономика транспорта (включая евро-азиатские транспортные связи)</w:t>
            </w:r>
          </w:p>
        </w:tc>
      </w:tr>
      <w:tr w:rsidR="00AA446C" w:rsidRPr="00AD7633" w:rsidTr="003833B1">
        <w:tc>
          <w:tcPr>
            <w:tcW w:w="983" w:type="dxa"/>
            <w:shd w:val="clear" w:color="auto" w:fill="auto"/>
            <w:hideMark/>
          </w:tcPr>
          <w:p w:rsidR="00AA446C" w:rsidRPr="00AD7633" w:rsidRDefault="00AA446C" w:rsidP="00AD7633">
            <w:pPr>
              <w:tabs>
                <w:tab w:val="left" w:pos="288"/>
                <w:tab w:val="left" w:pos="576"/>
                <w:tab w:val="left" w:pos="864"/>
                <w:tab w:val="left" w:pos="1152"/>
              </w:tabs>
              <w:suppressAutoHyphens/>
              <w:spacing w:before="40" w:after="80"/>
              <w:ind w:right="40"/>
              <w:rPr>
                <w:szCs w:val="18"/>
              </w:rPr>
            </w:pPr>
            <w:r w:rsidRPr="00AD7633">
              <w:t>3.</w:t>
            </w:r>
          </w:p>
        </w:tc>
        <w:tc>
          <w:tcPr>
            <w:tcW w:w="6385" w:type="dxa"/>
            <w:shd w:val="clear" w:color="auto" w:fill="auto"/>
            <w:hideMark/>
          </w:tcPr>
          <w:p w:rsidR="00AA446C" w:rsidRPr="00AD7633" w:rsidRDefault="00AA446C" w:rsidP="003833B1">
            <w:pPr>
              <w:tabs>
                <w:tab w:val="left" w:pos="288"/>
                <w:tab w:val="left" w:pos="576"/>
                <w:tab w:val="left" w:pos="864"/>
                <w:tab w:val="left" w:pos="1152"/>
              </w:tabs>
              <w:spacing w:before="40" w:after="80"/>
              <w:ind w:right="175"/>
              <w:rPr>
                <w:szCs w:val="18"/>
              </w:rPr>
            </w:pPr>
            <w:r w:rsidRPr="00AD7633">
              <w:t>Согласование правил в области транспортных средств, изменение климата и интеллектуальные транспортные системы (ИТС)</w:t>
            </w:r>
          </w:p>
        </w:tc>
      </w:tr>
      <w:tr w:rsidR="00AA446C" w:rsidRPr="00AD7633" w:rsidTr="003833B1">
        <w:tc>
          <w:tcPr>
            <w:tcW w:w="983" w:type="dxa"/>
            <w:shd w:val="clear" w:color="auto" w:fill="auto"/>
            <w:hideMark/>
          </w:tcPr>
          <w:p w:rsidR="00AA446C" w:rsidRPr="00AD7633" w:rsidRDefault="00AA446C" w:rsidP="00AD7633">
            <w:pPr>
              <w:tabs>
                <w:tab w:val="left" w:pos="288"/>
                <w:tab w:val="left" w:pos="576"/>
                <w:tab w:val="left" w:pos="864"/>
                <w:tab w:val="left" w:pos="1152"/>
              </w:tabs>
              <w:suppressAutoHyphens/>
              <w:spacing w:before="40" w:after="80"/>
              <w:ind w:right="40"/>
              <w:rPr>
                <w:szCs w:val="18"/>
              </w:rPr>
            </w:pPr>
            <w:r w:rsidRPr="00AD7633">
              <w:t>4.</w:t>
            </w:r>
          </w:p>
        </w:tc>
        <w:tc>
          <w:tcPr>
            <w:tcW w:w="6385" w:type="dxa"/>
            <w:shd w:val="clear" w:color="auto" w:fill="auto"/>
            <w:hideMark/>
          </w:tcPr>
          <w:p w:rsidR="00AA446C" w:rsidRPr="00AD7633" w:rsidRDefault="00AA446C" w:rsidP="003833B1">
            <w:pPr>
              <w:tabs>
                <w:tab w:val="left" w:pos="288"/>
                <w:tab w:val="left" w:pos="576"/>
                <w:tab w:val="left" w:pos="864"/>
                <w:tab w:val="left" w:pos="1152"/>
              </w:tabs>
              <w:spacing w:before="40" w:after="80"/>
              <w:ind w:right="175"/>
              <w:rPr>
                <w:szCs w:val="18"/>
              </w:rPr>
            </w:pPr>
            <w:r w:rsidRPr="00AD7633">
              <w:t>Железнодорожный транспорт (проект Трансъевропейской железн</w:t>
            </w:r>
            <w:r w:rsidRPr="00AD7633">
              <w:t>о</w:t>
            </w:r>
            <w:r w:rsidRPr="00AD7633">
              <w:t>дорожной магистрали (ТЕЖ))</w:t>
            </w:r>
          </w:p>
        </w:tc>
      </w:tr>
      <w:tr w:rsidR="00AA446C" w:rsidRPr="00AD7633" w:rsidTr="003833B1">
        <w:tc>
          <w:tcPr>
            <w:tcW w:w="983" w:type="dxa"/>
            <w:shd w:val="clear" w:color="auto" w:fill="auto"/>
            <w:hideMark/>
          </w:tcPr>
          <w:p w:rsidR="00AA446C" w:rsidRPr="00AD7633" w:rsidRDefault="00AA446C" w:rsidP="00AD7633">
            <w:pPr>
              <w:tabs>
                <w:tab w:val="left" w:pos="288"/>
                <w:tab w:val="left" w:pos="576"/>
                <w:tab w:val="left" w:pos="864"/>
                <w:tab w:val="left" w:pos="1152"/>
              </w:tabs>
              <w:suppressAutoHyphens/>
              <w:spacing w:before="40" w:after="80"/>
              <w:ind w:right="40"/>
              <w:rPr>
                <w:szCs w:val="18"/>
              </w:rPr>
            </w:pPr>
            <w:r w:rsidRPr="00AD7633">
              <w:t>5.</w:t>
            </w:r>
          </w:p>
        </w:tc>
        <w:tc>
          <w:tcPr>
            <w:tcW w:w="6385" w:type="dxa"/>
            <w:shd w:val="clear" w:color="auto" w:fill="auto"/>
            <w:hideMark/>
          </w:tcPr>
          <w:p w:rsidR="00AA446C" w:rsidRPr="00AD7633" w:rsidRDefault="00AA446C" w:rsidP="003833B1">
            <w:pPr>
              <w:tabs>
                <w:tab w:val="left" w:pos="288"/>
                <w:tab w:val="left" w:pos="576"/>
                <w:tab w:val="left" w:pos="864"/>
                <w:tab w:val="left" w:pos="1152"/>
              </w:tabs>
              <w:spacing w:before="40" w:after="80"/>
              <w:ind w:right="175"/>
              <w:rPr>
                <w:szCs w:val="18"/>
              </w:rPr>
            </w:pPr>
            <w:r w:rsidRPr="00AD7633">
              <w:t>Внутренний водный транспорт</w:t>
            </w:r>
          </w:p>
        </w:tc>
      </w:tr>
      <w:tr w:rsidR="00AA446C" w:rsidRPr="00AD7633" w:rsidTr="003833B1">
        <w:tc>
          <w:tcPr>
            <w:tcW w:w="983" w:type="dxa"/>
            <w:shd w:val="clear" w:color="auto" w:fill="auto"/>
            <w:hideMark/>
          </w:tcPr>
          <w:p w:rsidR="00AA446C" w:rsidRPr="00AD7633" w:rsidRDefault="00AA446C" w:rsidP="00AD7633">
            <w:pPr>
              <w:tabs>
                <w:tab w:val="left" w:pos="288"/>
                <w:tab w:val="left" w:pos="576"/>
                <w:tab w:val="left" w:pos="864"/>
                <w:tab w:val="left" w:pos="1152"/>
              </w:tabs>
              <w:suppressAutoHyphens/>
              <w:spacing w:before="40" w:after="80"/>
              <w:ind w:right="40"/>
              <w:rPr>
                <w:szCs w:val="18"/>
              </w:rPr>
            </w:pPr>
            <w:r w:rsidRPr="00AD7633">
              <w:t>6.</w:t>
            </w:r>
          </w:p>
        </w:tc>
        <w:tc>
          <w:tcPr>
            <w:tcW w:w="6385" w:type="dxa"/>
            <w:shd w:val="clear" w:color="auto" w:fill="auto"/>
            <w:hideMark/>
          </w:tcPr>
          <w:p w:rsidR="00AA446C" w:rsidRPr="00AD7633" w:rsidRDefault="00AA446C" w:rsidP="003833B1">
            <w:pPr>
              <w:tabs>
                <w:tab w:val="left" w:pos="288"/>
                <w:tab w:val="left" w:pos="576"/>
                <w:tab w:val="left" w:pos="864"/>
                <w:tab w:val="left" w:pos="1152"/>
              </w:tabs>
              <w:spacing w:before="40" w:after="80"/>
              <w:ind w:right="175"/>
              <w:rPr>
                <w:szCs w:val="18"/>
              </w:rPr>
            </w:pPr>
            <w:proofErr w:type="spellStart"/>
            <w:r w:rsidRPr="00AD7633">
              <w:t>Интермодальные</w:t>
            </w:r>
            <w:proofErr w:type="spellEnd"/>
            <w:r w:rsidRPr="00AD7633">
              <w:t xml:space="preserve"> перевозки и логистика</w:t>
            </w:r>
          </w:p>
        </w:tc>
      </w:tr>
      <w:tr w:rsidR="00AA446C" w:rsidRPr="00AD7633" w:rsidTr="003833B1">
        <w:tc>
          <w:tcPr>
            <w:tcW w:w="983" w:type="dxa"/>
            <w:shd w:val="clear" w:color="auto" w:fill="auto"/>
            <w:hideMark/>
          </w:tcPr>
          <w:p w:rsidR="00AA446C" w:rsidRPr="00AD7633" w:rsidRDefault="00AA446C" w:rsidP="00AD7633">
            <w:pPr>
              <w:tabs>
                <w:tab w:val="left" w:pos="288"/>
                <w:tab w:val="left" w:pos="576"/>
                <w:tab w:val="left" w:pos="864"/>
                <w:tab w:val="left" w:pos="1152"/>
              </w:tabs>
              <w:suppressAutoHyphens/>
              <w:spacing w:before="40" w:after="80"/>
              <w:ind w:right="40"/>
              <w:rPr>
                <w:szCs w:val="18"/>
              </w:rPr>
            </w:pPr>
            <w:r w:rsidRPr="00AD7633">
              <w:t>7.</w:t>
            </w:r>
          </w:p>
        </w:tc>
        <w:tc>
          <w:tcPr>
            <w:tcW w:w="6385" w:type="dxa"/>
            <w:shd w:val="clear" w:color="auto" w:fill="auto"/>
            <w:hideMark/>
          </w:tcPr>
          <w:p w:rsidR="00AA446C" w:rsidRPr="00AD7633" w:rsidRDefault="00AA446C" w:rsidP="003833B1">
            <w:pPr>
              <w:tabs>
                <w:tab w:val="left" w:pos="288"/>
                <w:tab w:val="left" w:pos="576"/>
                <w:tab w:val="left" w:pos="864"/>
                <w:tab w:val="left" w:pos="1152"/>
              </w:tabs>
              <w:spacing w:before="40" w:after="80"/>
              <w:ind w:right="175"/>
              <w:rPr>
                <w:szCs w:val="18"/>
              </w:rPr>
            </w:pPr>
            <w:r w:rsidRPr="00AD7633">
              <w:t>Таможенные вопросы, связанные с транспортом</w:t>
            </w:r>
          </w:p>
        </w:tc>
      </w:tr>
      <w:tr w:rsidR="00AA446C" w:rsidRPr="00AD7633" w:rsidTr="003833B1">
        <w:tc>
          <w:tcPr>
            <w:tcW w:w="983" w:type="dxa"/>
            <w:shd w:val="clear" w:color="auto" w:fill="auto"/>
            <w:hideMark/>
          </w:tcPr>
          <w:p w:rsidR="00AA446C" w:rsidRPr="00AD7633" w:rsidRDefault="00AA446C" w:rsidP="00AD7633">
            <w:pPr>
              <w:tabs>
                <w:tab w:val="left" w:pos="288"/>
                <w:tab w:val="left" w:pos="576"/>
                <w:tab w:val="left" w:pos="864"/>
                <w:tab w:val="left" w:pos="1152"/>
              </w:tabs>
              <w:suppressAutoHyphens/>
              <w:spacing w:before="40" w:after="80"/>
              <w:ind w:right="40"/>
              <w:rPr>
                <w:szCs w:val="18"/>
              </w:rPr>
            </w:pPr>
            <w:r w:rsidRPr="00AD7633">
              <w:t>8.</w:t>
            </w:r>
          </w:p>
        </w:tc>
        <w:tc>
          <w:tcPr>
            <w:tcW w:w="6385" w:type="dxa"/>
            <w:shd w:val="clear" w:color="auto" w:fill="auto"/>
            <w:hideMark/>
          </w:tcPr>
          <w:p w:rsidR="00AA446C" w:rsidRPr="00AD7633" w:rsidRDefault="00AA446C" w:rsidP="003833B1">
            <w:pPr>
              <w:tabs>
                <w:tab w:val="left" w:pos="288"/>
                <w:tab w:val="left" w:pos="576"/>
                <w:tab w:val="left" w:pos="864"/>
                <w:tab w:val="left" w:pos="1152"/>
              </w:tabs>
              <w:spacing w:before="40" w:after="80"/>
              <w:ind w:right="175"/>
              <w:rPr>
                <w:szCs w:val="18"/>
              </w:rPr>
            </w:pPr>
            <w:r w:rsidRPr="00AD7633">
              <w:t>Общеевропейская программа по транспорту, окружающей среде и охране здоровья (ОПТОСОЗ)</w:t>
            </w:r>
          </w:p>
        </w:tc>
      </w:tr>
      <w:tr w:rsidR="00AA446C" w:rsidRPr="00AD7633" w:rsidTr="003833B1">
        <w:tc>
          <w:tcPr>
            <w:tcW w:w="983" w:type="dxa"/>
            <w:shd w:val="clear" w:color="auto" w:fill="auto"/>
            <w:hideMark/>
          </w:tcPr>
          <w:p w:rsidR="00AA446C" w:rsidRPr="00AD7633" w:rsidRDefault="00AA446C" w:rsidP="00AD7633">
            <w:pPr>
              <w:tabs>
                <w:tab w:val="left" w:pos="288"/>
                <w:tab w:val="left" w:pos="576"/>
                <w:tab w:val="left" w:pos="864"/>
                <w:tab w:val="left" w:pos="1152"/>
              </w:tabs>
              <w:suppressAutoHyphens/>
              <w:spacing w:before="40" w:after="80"/>
              <w:ind w:right="40"/>
              <w:rPr>
                <w:szCs w:val="18"/>
              </w:rPr>
            </w:pPr>
            <w:r w:rsidRPr="00AD7633">
              <w:t>9.</w:t>
            </w:r>
          </w:p>
        </w:tc>
        <w:tc>
          <w:tcPr>
            <w:tcW w:w="6385" w:type="dxa"/>
            <w:shd w:val="clear" w:color="auto" w:fill="auto"/>
            <w:hideMark/>
          </w:tcPr>
          <w:p w:rsidR="00AA446C" w:rsidRPr="00AD7633" w:rsidRDefault="00AA446C" w:rsidP="003833B1">
            <w:pPr>
              <w:tabs>
                <w:tab w:val="left" w:pos="288"/>
                <w:tab w:val="left" w:pos="576"/>
                <w:tab w:val="left" w:pos="864"/>
                <w:tab w:val="left" w:pos="1152"/>
              </w:tabs>
              <w:spacing w:before="40" w:after="80"/>
              <w:ind w:right="175"/>
              <w:rPr>
                <w:szCs w:val="18"/>
              </w:rPr>
            </w:pPr>
            <w:r w:rsidRPr="00AD7633">
              <w:t>Перевозка опасных грузов (ЕЭК)</w:t>
            </w:r>
          </w:p>
        </w:tc>
      </w:tr>
      <w:tr w:rsidR="00AA446C" w:rsidRPr="00AD7633" w:rsidTr="003833B1">
        <w:tc>
          <w:tcPr>
            <w:tcW w:w="983" w:type="dxa"/>
            <w:shd w:val="clear" w:color="auto" w:fill="auto"/>
            <w:hideMark/>
          </w:tcPr>
          <w:p w:rsidR="00AA446C" w:rsidRPr="00AD7633" w:rsidRDefault="00AA446C" w:rsidP="00AD7633">
            <w:pPr>
              <w:tabs>
                <w:tab w:val="left" w:pos="288"/>
                <w:tab w:val="left" w:pos="576"/>
                <w:tab w:val="left" w:pos="864"/>
                <w:tab w:val="left" w:pos="1152"/>
              </w:tabs>
              <w:suppressAutoHyphens/>
              <w:spacing w:before="40" w:after="80"/>
              <w:ind w:right="40"/>
              <w:rPr>
                <w:szCs w:val="18"/>
              </w:rPr>
            </w:pPr>
            <w:r w:rsidRPr="00AD7633">
              <w:t>10.</w:t>
            </w:r>
          </w:p>
        </w:tc>
        <w:tc>
          <w:tcPr>
            <w:tcW w:w="6385" w:type="dxa"/>
            <w:shd w:val="clear" w:color="auto" w:fill="auto"/>
            <w:hideMark/>
          </w:tcPr>
          <w:p w:rsidR="00AA446C" w:rsidRPr="00AD7633" w:rsidRDefault="00AA446C" w:rsidP="003833B1">
            <w:pPr>
              <w:tabs>
                <w:tab w:val="left" w:pos="288"/>
                <w:tab w:val="left" w:pos="576"/>
                <w:tab w:val="left" w:pos="864"/>
                <w:tab w:val="left" w:pos="1152"/>
              </w:tabs>
              <w:spacing w:before="40" w:after="80"/>
              <w:ind w:right="175"/>
              <w:rPr>
                <w:szCs w:val="18"/>
              </w:rPr>
            </w:pPr>
            <w:r w:rsidRPr="00AD7633">
              <w:t>Перевозка опасных грузов (ЭКОСОС)</w:t>
            </w:r>
          </w:p>
        </w:tc>
      </w:tr>
      <w:tr w:rsidR="00AA446C" w:rsidRPr="00AD7633" w:rsidTr="003833B1">
        <w:tc>
          <w:tcPr>
            <w:tcW w:w="983" w:type="dxa"/>
            <w:shd w:val="clear" w:color="auto" w:fill="auto"/>
            <w:hideMark/>
          </w:tcPr>
          <w:p w:rsidR="00AA446C" w:rsidRPr="00AD7633" w:rsidRDefault="00AA446C" w:rsidP="00AD7633">
            <w:pPr>
              <w:tabs>
                <w:tab w:val="left" w:pos="288"/>
                <w:tab w:val="left" w:pos="576"/>
                <w:tab w:val="left" w:pos="864"/>
                <w:tab w:val="left" w:pos="1152"/>
              </w:tabs>
              <w:suppressAutoHyphens/>
              <w:spacing w:before="40" w:after="80"/>
              <w:ind w:right="40"/>
              <w:rPr>
                <w:szCs w:val="18"/>
              </w:rPr>
            </w:pPr>
            <w:r w:rsidRPr="00AD7633">
              <w:t>11.</w:t>
            </w:r>
          </w:p>
        </w:tc>
        <w:tc>
          <w:tcPr>
            <w:tcW w:w="6385" w:type="dxa"/>
            <w:shd w:val="clear" w:color="auto" w:fill="auto"/>
            <w:hideMark/>
          </w:tcPr>
          <w:p w:rsidR="00AA446C" w:rsidRPr="00AD7633" w:rsidRDefault="00AA446C" w:rsidP="003833B1">
            <w:pPr>
              <w:tabs>
                <w:tab w:val="left" w:pos="288"/>
                <w:tab w:val="left" w:pos="576"/>
                <w:tab w:val="left" w:pos="864"/>
                <w:tab w:val="left" w:pos="1152"/>
              </w:tabs>
              <w:spacing w:before="40" w:after="80"/>
              <w:ind w:right="175"/>
              <w:rPr>
                <w:szCs w:val="18"/>
              </w:rPr>
            </w:pPr>
            <w:r w:rsidRPr="00AD7633">
              <w:t>Согласованная на глобальном уровне система классификации опасности и маркировки химической продукции (СГС) (ЭКОСОС)</w:t>
            </w:r>
          </w:p>
        </w:tc>
      </w:tr>
      <w:tr w:rsidR="00AA446C" w:rsidRPr="00AD7633" w:rsidTr="003833B1">
        <w:tc>
          <w:tcPr>
            <w:tcW w:w="983" w:type="dxa"/>
            <w:shd w:val="clear" w:color="auto" w:fill="auto"/>
            <w:hideMark/>
          </w:tcPr>
          <w:p w:rsidR="00AA446C" w:rsidRPr="00AD7633" w:rsidRDefault="00AA446C" w:rsidP="00AD7633">
            <w:pPr>
              <w:tabs>
                <w:tab w:val="left" w:pos="288"/>
                <w:tab w:val="left" w:pos="576"/>
                <w:tab w:val="left" w:pos="864"/>
                <w:tab w:val="left" w:pos="1152"/>
              </w:tabs>
              <w:suppressAutoHyphens/>
              <w:spacing w:before="40" w:after="80"/>
              <w:ind w:right="40"/>
              <w:rPr>
                <w:szCs w:val="18"/>
              </w:rPr>
            </w:pPr>
            <w:r w:rsidRPr="00AD7633">
              <w:t>12.</w:t>
            </w:r>
          </w:p>
        </w:tc>
        <w:tc>
          <w:tcPr>
            <w:tcW w:w="6385" w:type="dxa"/>
            <w:shd w:val="clear" w:color="auto" w:fill="auto"/>
            <w:hideMark/>
          </w:tcPr>
          <w:p w:rsidR="00AA446C" w:rsidRPr="00AD7633" w:rsidRDefault="00AA446C" w:rsidP="003833B1">
            <w:pPr>
              <w:tabs>
                <w:tab w:val="left" w:pos="288"/>
                <w:tab w:val="left" w:pos="576"/>
                <w:tab w:val="left" w:pos="864"/>
                <w:tab w:val="left" w:pos="1152"/>
              </w:tabs>
              <w:spacing w:before="40" w:after="80"/>
              <w:ind w:right="175"/>
              <w:rPr>
                <w:szCs w:val="18"/>
              </w:rPr>
            </w:pPr>
            <w:r w:rsidRPr="00AD7633">
              <w:t>Перевозка скоропортящихся пищевых продуктов</w:t>
            </w:r>
          </w:p>
        </w:tc>
      </w:tr>
      <w:tr w:rsidR="00AA446C" w:rsidRPr="00AD7633" w:rsidTr="003833B1">
        <w:tc>
          <w:tcPr>
            <w:tcW w:w="983" w:type="dxa"/>
            <w:shd w:val="clear" w:color="auto" w:fill="auto"/>
            <w:hideMark/>
          </w:tcPr>
          <w:p w:rsidR="00AA446C" w:rsidRPr="00AD7633" w:rsidRDefault="00AA446C" w:rsidP="00AD7633">
            <w:pPr>
              <w:tabs>
                <w:tab w:val="left" w:pos="288"/>
                <w:tab w:val="left" w:pos="576"/>
                <w:tab w:val="left" w:pos="864"/>
                <w:tab w:val="left" w:pos="1152"/>
              </w:tabs>
              <w:suppressAutoHyphens/>
              <w:spacing w:before="40" w:after="80"/>
              <w:ind w:right="40"/>
              <w:rPr>
                <w:szCs w:val="18"/>
              </w:rPr>
            </w:pPr>
            <w:r w:rsidRPr="00AD7633">
              <w:t>13.</w:t>
            </w:r>
          </w:p>
        </w:tc>
        <w:tc>
          <w:tcPr>
            <w:tcW w:w="6385" w:type="dxa"/>
            <w:shd w:val="clear" w:color="auto" w:fill="auto"/>
            <w:hideMark/>
          </w:tcPr>
          <w:p w:rsidR="00AA446C" w:rsidRPr="00AD7633" w:rsidRDefault="00AA446C" w:rsidP="003833B1">
            <w:pPr>
              <w:tabs>
                <w:tab w:val="left" w:pos="288"/>
                <w:tab w:val="left" w:pos="576"/>
                <w:tab w:val="left" w:pos="864"/>
                <w:tab w:val="left" w:pos="1152"/>
              </w:tabs>
              <w:spacing w:before="40" w:after="80"/>
              <w:ind w:right="175"/>
              <w:rPr>
                <w:szCs w:val="18"/>
              </w:rPr>
            </w:pPr>
            <w:r w:rsidRPr="00AD7633">
              <w:t>Статистика транспорта</w:t>
            </w:r>
          </w:p>
        </w:tc>
      </w:tr>
      <w:tr w:rsidR="00AA446C" w:rsidRPr="00AD7633" w:rsidTr="003833B1">
        <w:tc>
          <w:tcPr>
            <w:tcW w:w="983" w:type="dxa"/>
            <w:shd w:val="clear" w:color="auto" w:fill="auto"/>
            <w:hideMark/>
          </w:tcPr>
          <w:p w:rsidR="00AA446C" w:rsidRPr="00AD7633" w:rsidRDefault="00AA446C" w:rsidP="00AD7633">
            <w:pPr>
              <w:tabs>
                <w:tab w:val="left" w:pos="288"/>
                <w:tab w:val="left" w:pos="576"/>
                <w:tab w:val="left" w:pos="864"/>
                <w:tab w:val="left" w:pos="1152"/>
              </w:tabs>
              <w:suppressAutoHyphens/>
              <w:spacing w:before="40" w:after="80"/>
              <w:ind w:right="40"/>
              <w:rPr>
                <w:szCs w:val="18"/>
              </w:rPr>
            </w:pPr>
            <w:r w:rsidRPr="00AD7633">
              <w:t>14.</w:t>
            </w:r>
          </w:p>
        </w:tc>
        <w:tc>
          <w:tcPr>
            <w:tcW w:w="6385" w:type="dxa"/>
            <w:shd w:val="clear" w:color="auto" w:fill="auto"/>
            <w:hideMark/>
          </w:tcPr>
          <w:p w:rsidR="00AA446C" w:rsidRPr="00AD7633" w:rsidRDefault="00AA446C" w:rsidP="003833B1">
            <w:pPr>
              <w:tabs>
                <w:tab w:val="left" w:pos="288"/>
                <w:tab w:val="left" w:pos="576"/>
                <w:tab w:val="left" w:pos="864"/>
                <w:tab w:val="left" w:pos="1152"/>
              </w:tabs>
              <w:spacing w:before="40" w:after="80"/>
              <w:ind w:right="175"/>
              <w:rPr>
                <w:szCs w:val="18"/>
              </w:rPr>
            </w:pPr>
            <w:r w:rsidRPr="00AD7633">
              <w:t>Автомобильный транспорт и проект Трансъевропейской автомаг</w:t>
            </w:r>
            <w:r w:rsidRPr="00AD7633">
              <w:t>и</w:t>
            </w:r>
            <w:r w:rsidRPr="00AD7633">
              <w:t>страли Север−Юг (ТЕА)</w:t>
            </w:r>
          </w:p>
        </w:tc>
      </w:tr>
      <w:tr w:rsidR="00AA446C" w:rsidRPr="00AD7633" w:rsidTr="003833B1">
        <w:tc>
          <w:tcPr>
            <w:tcW w:w="983" w:type="dxa"/>
            <w:tcBorders>
              <w:bottom w:val="single" w:sz="12" w:space="0" w:color="auto"/>
            </w:tcBorders>
            <w:shd w:val="clear" w:color="auto" w:fill="auto"/>
            <w:hideMark/>
          </w:tcPr>
          <w:p w:rsidR="00AA446C" w:rsidRPr="00AD7633" w:rsidRDefault="00AA446C" w:rsidP="00AD7633">
            <w:pPr>
              <w:tabs>
                <w:tab w:val="left" w:pos="288"/>
                <w:tab w:val="left" w:pos="576"/>
                <w:tab w:val="left" w:pos="864"/>
                <w:tab w:val="left" w:pos="1152"/>
              </w:tabs>
              <w:suppressAutoHyphens/>
              <w:spacing w:before="40" w:after="80"/>
              <w:ind w:right="40"/>
              <w:rPr>
                <w:szCs w:val="18"/>
              </w:rPr>
            </w:pPr>
            <w:r w:rsidRPr="00AD7633">
              <w:t>15.</w:t>
            </w:r>
          </w:p>
        </w:tc>
        <w:tc>
          <w:tcPr>
            <w:tcW w:w="6385" w:type="dxa"/>
            <w:tcBorders>
              <w:bottom w:val="single" w:sz="12" w:space="0" w:color="auto"/>
            </w:tcBorders>
            <w:shd w:val="clear" w:color="auto" w:fill="auto"/>
            <w:hideMark/>
          </w:tcPr>
          <w:p w:rsidR="00AA446C" w:rsidRPr="00AD7633" w:rsidRDefault="00AA446C" w:rsidP="003833B1">
            <w:pPr>
              <w:tabs>
                <w:tab w:val="left" w:pos="288"/>
                <w:tab w:val="left" w:pos="576"/>
                <w:tab w:val="left" w:pos="864"/>
                <w:tab w:val="left" w:pos="1152"/>
              </w:tabs>
              <w:spacing w:before="40" w:after="80"/>
              <w:ind w:right="175"/>
              <w:rPr>
                <w:szCs w:val="18"/>
              </w:rPr>
            </w:pPr>
            <w:r w:rsidRPr="00AD7633">
              <w:t>Безопасность дорожного движения</w:t>
            </w:r>
          </w:p>
        </w:tc>
      </w:tr>
    </w:tbl>
    <w:p w:rsidR="00AD7633" w:rsidRDefault="00AD7633" w:rsidP="00E41203">
      <w:pPr>
        <w:pStyle w:val="SingleTxt"/>
        <w:rPr>
          <w:lang w:val="en-US"/>
        </w:rPr>
      </w:pPr>
    </w:p>
    <w:p w:rsidR="00AD7633" w:rsidRPr="00247A7B" w:rsidRDefault="00AD7633" w:rsidP="003833B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7633">
        <w:br w:type="page"/>
      </w:r>
      <w:r w:rsidRPr="00AD7633">
        <w:lastRenderedPageBreak/>
        <w:tab/>
      </w:r>
      <w:r w:rsidRPr="00AD7633">
        <w:tab/>
        <w:t>Направление деятельности 1</w:t>
      </w:r>
      <w:r w:rsidRPr="00AD7633">
        <w:br/>
        <w:t>Общая координация (Комитет по внутреннему транспорту и Бюро)</w:t>
      </w:r>
    </w:p>
    <w:p w:rsidR="003833B1" w:rsidRPr="00247A7B" w:rsidRDefault="003833B1" w:rsidP="003833B1">
      <w:pPr>
        <w:pStyle w:val="SingleTxt"/>
        <w:spacing w:after="0" w:line="120" w:lineRule="exact"/>
        <w:rPr>
          <w:sz w:val="10"/>
        </w:rPr>
      </w:pPr>
    </w:p>
    <w:p w:rsidR="003833B1" w:rsidRPr="00247A7B" w:rsidRDefault="003833B1" w:rsidP="003833B1">
      <w:pPr>
        <w:pStyle w:val="SingleTxt"/>
        <w:spacing w:after="0" w:line="120" w:lineRule="exact"/>
        <w:rPr>
          <w:sz w:val="10"/>
        </w:rPr>
      </w:pPr>
    </w:p>
    <w:p w:rsidR="00AD7633" w:rsidRPr="00247A7B" w:rsidRDefault="003833B1" w:rsidP="003833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47A7B">
        <w:tab/>
      </w:r>
      <w:r w:rsidR="00AD7633" w:rsidRPr="00AD7633">
        <w:t>A.</w:t>
      </w:r>
      <w:r w:rsidR="00AD7633" w:rsidRPr="00AD7633">
        <w:tab/>
        <w:t>Ожидаемое достижение (ОД 1.)</w:t>
      </w:r>
    </w:p>
    <w:p w:rsidR="003833B1" w:rsidRPr="00247A7B" w:rsidRDefault="003833B1" w:rsidP="003833B1">
      <w:pPr>
        <w:pStyle w:val="SingleTxt"/>
        <w:spacing w:after="0" w:line="120" w:lineRule="exact"/>
        <w:rPr>
          <w:sz w:val="10"/>
        </w:rPr>
      </w:pPr>
    </w:p>
    <w:p w:rsidR="003833B1" w:rsidRPr="00247A7B" w:rsidRDefault="003833B1" w:rsidP="003833B1">
      <w:pPr>
        <w:pStyle w:val="SingleTxt"/>
        <w:spacing w:after="0" w:line="120" w:lineRule="exact"/>
        <w:rPr>
          <w:sz w:val="10"/>
        </w:rPr>
      </w:pPr>
    </w:p>
    <w:p w:rsidR="00AD7633" w:rsidRPr="00247A7B" w:rsidRDefault="00AD7633" w:rsidP="00AD7633">
      <w:pPr>
        <w:pStyle w:val="SingleTxt"/>
      </w:pPr>
      <w:r w:rsidRPr="00AD7633">
        <w:t>1.</w:t>
      </w:r>
      <w:r w:rsidRPr="00AD7633">
        <w:tab/>
        <w:t>Успешное проведение ежегодных совещаний КВТ и его Бюро, а также с</w:t>
      </w:r>
      <w:r w:rsidRPr="00AD7633">
        <w:t>о</w:t>
      </w:r>
      <w:r w:rsidRPr="00AD7633">
        <w:t>вещаний Председателя и заместителей Председателя КВТ с Исполнительным к</w:t>
      </w:r>
      <w:r w:rsidRPr="00AD7633">
        <w:t>о</w:t>
      </w:r>
      <w:r w:rsidRPr="00AD7633">
        <w:t>митетом (Исполкомом).</w:t>
      </w:r>
    </w:p>
    <w:p w:rsidR="003833B1" w:rsidRPr="00247A7B" w:rsidRDefault="003833B1" w:rsidP="003833B1">
      <w:pPr>
        <w:pStyle w:val="SingleTxt"/>
        <w:spacing w:after="0" w:line="120" w:lineRule="exact"/>
        <w:rPr>
          <w:sz w:val="10"/>
        </w:rPr>
      </w:pPr>
    </w:p>
    <w:p w:rsidR="003833B1" w:rsidRPr="00247A7B" w:rsidRDefault="003833B1" w:rsidP="003833B1">
      <w:pPr>
        <w:pStyle w:val="SingleTxt"/>
        <w:spacing w:after="0" w:line="120" w:lineRule="exact"/>
        <w:rPr>
          <w:b/>
          <w:i/>
          <w:sz w:val="10"/>
        </w:rPr>
      </w:pPr>
    </w:p>
    <w:p w:rsidR="00AD7633" w:rsidRPr="00247A7B" w:rsidRDefault="00AD7633" w:rsidP="003833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7633">
        <w:tab/>
        <w:t>B.</w:t>
      </w:r>
      <w:r w:rsidRPr="00AD7633">
        <w:tab/>
        <w:t xml:space="preserve">Показатели достижения </w:t>
      </w:r>
    </w:p>
    <w:p w:rsidR="003833B1" w:rsidRPr="00247A7B" w:rsidRDefault="003833B1" w:rsidP="003833B1">
      <w:pPr>
        <w:pStyle w:val="SingleTxt"/>
        <w:spacing w:after="0" w:line="120" w:lineRule="exact"/>
        <w:rPr>
          <w:sz w:val="10"/>
        </w:rPr>
      </w:pPr>
    </w:p>
    <w:p w:rsidR="003833B1" w:rsidRPr="00247A7B" w:rsidRDefault="003833B1" w:rsidP="003833B1">
      <w:pPr>
        <w:pStyle w:val="SingleTxt"/>
        <w:spacing w:after="0" w:line="120" w:lineRule="exact"/>
        <w:rPr>
          <w:sz w:val="10"/>
        </w:rPr>
      </w:pPr>
    </w:p>
    <w:p w:rsidR="00AD7633" w:rsidRPr="00247A7B" w:rsidRDefault="003833B1" w:rsidP="003833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47A7B">
        <w:tab/>
      </w:r>
      <w:r w:rsidR="00AD7633" w:rsidRPr="00AD7633">
        <w:t>1.</w:t>
      </w:r>
      <w:r w:rsidR="00AD7633" w:rsidRPr="00AD7633">
        <w:tab/>
        <w:t>Число государств-членов, участвующих в совещаниях КВТ (ПД 1.)</w:t>
      </w:r>
    </w:p>
    <w:p w:rsidR="003833B1" w:rsidRPr="00247A7B" w:rsidRDefault="003833B1" w:rsidP="003833B1">
      <w:pPr>
        <w:pStyle w:val="SingleTxt"/>
        <w:spacing w:after="0" w:line="120" w:lineRule="exact"/>
        <w:rPr>
          <w:sz w:val="10"/>
        </w:rPr>
      </w:pPr>
    </w:p>
    <w:p w:rsidR="00AD7633" w:rsidRPr="00247A7B" w:rsidRDefault="003833B1" w:rsidP="003833B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47A7B">
        <w:tab/>
      </w:r>
      <w:r w:rsidR="00AD7633" w:rsidRPr="00AD7633">
        <w:tab/>
        <w:t>Показатели результативности:</w:t>
      </w:r>
    </w:p>
    <w:p w:rsidR="003833B1" w:rsidRPr="00247A7B" w:rsidRDefault="003833B1" w:rsidP="003833B1">
      <w:pPr>
        <w:pStyle w:val="SingleTxt"/>
        <w:spacing w:after="0" w:line="120" w:lineRule="exact"/>
        <w:rPr>
          <w:sz w:val="10"/>
        </w:rPr>
      </w:pPr>
    </w:p>
    <w:p w:rsidR="00AD7633" w:rsidRPr="00E7616E" w:rsidRDefault="00AD7633" w:rsidP="00AD7633">
      <w:pPr>
        <w:pStyle w:val="SingleTxt"/>
        <w:rPr>
          <w:i/>
        </w:rPr>
      </w:pPr>
      <w:r w:rsidRPr="00AD7633">
        <w:t>Исходные показатели за 2013 год: 40 + 13 МПО/НПО, в среднем 165 участников</w:t>
      </w:r>
      <w:r w:rsidR="00E7616E" w:rsidRPr="00E7616E">
        <w:t>.</w:t>
      </w:r>
    </w:p>
    <w:p w:rsidR="00AD7633" w:rsidRPr="00E7616E" w:rsidRDefault="00AD7633" w:rsidP="00AD7633">
      <w:pPr>
        <w:pStyle w:val="SingleTxt"/>
        <w:rPr>
          <w:i/>
        </w:rPr>
      </w:pPr>
      <w:r w:rsidRPr="00AD7633">
        <w:t>Целевые показатели на 2014−2015 годы: 40 + 15 МПО/НПО, в среднем 170</w:t>
      </w:r>
      <w:r w:rsidR="00247A7B">
        <w:rPr>
          <w:lang w:val="en-US"/>
        </w:rPr>
        <w:t> </w:t>
      </w:r>
      <w:r w:rsidRPr="00AD7633">
        <w:t>участников</w:t>
      </w:r>
      <w:r w:rsidR="00E7616E" w:rsidRPr="00E7616E">
        <w:t>.</w:t>
      </w:r>
    </w:p>
    <w:p w:rsidR="00AD7633" w:rsidRPr="00247A7B" w:rsidRDefault="00AD7633" w:rsidP="00AD7633">
      <w:pPr>
        <w:pStyle w:val="SingleTxt"/>
        <w:rPr>
          <w:b/>
          <w:bCs/>
        </w:rPr>
      </w:pPr>
      <w:r w:rsidRPr="00AD7633">
        <w:rPr>
          <w:b/>
          <w:bCs/>
        </w:rPr>
        <w:t>Фактические показатели за 2014–2015 годы: 43 (42 в 2014 году и 44 в 2015 г</w:t>
      </w:r>
      <w:r w:rsidRPr="00AD7633">
        <w:rPr>
          <w:b/>
          <w:bCs/>
        </w:rPr>
        <w:t>о</w:t>
      </w:r>
      <w:r w:rsidRPr="00AD7633">
        <w:rPr>
          <w:b/>
          <w:bCs/>
        </w:rPr>
        <w:t>ду) + 36 МПО/НПО, в среднем 170 участников</w:t>
      </w:r>
      <w:r w:rsidR="00E7616E" w:rsidRPr="00E7616E">
        <w:rPr>
          <w:b/>
          <w:bCs/>
        </w:rPr>
        <w:t>.</w:t>
      </w:r>
    </w:p>
    <w:p w:rsidR="00E7616E" w:rsidRPr="00247A7B" w:rsidRDefault="00E7616E" w:rsidP="00E7616E">
      <w:pPr>
        <w:pStyle w:val="SingleTxt"/>
        <w:spacing w:after="0" w:line="120" w:lineRule="exact"/>
        <w:rPr>
          <w:b/>
          <w:bCs/>
          <w:sz w:val="10"/>
        </w:rPr>
      </w:pPr>
    </w:p>
    <w:p w:rsidR="00E7616E" w:rsidRPr="00247A7B" w:rsidRDefault="00E7616E" w:rsidP="00E7616E">
      <w:pPr>
        <w:pStyle w:val="SingleTxt"/>
        <w:spacing w:after="0" w:line="120" w:lineRule="exact"/>
        <w:rPr>
          <w:b/>
          <w:bCs/>
          <w:i/>
          <w:sz w:val="10"/>
        </w:rPr>
      </w:pPr>
    </w:p>
    <w:p w:rsidR="00AD7633" w:rsidRPr="00247A7B" w:rsidRDefault="00AD7633" w:rsidP="00E761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7633">
        <w:tab/>
        <w:t>C.</w:t>
      </w:r>
      <w:r w:rsidRPr="00AD7633">
        <w:tab/>
        <w:t>Оценка результативности</w:t>
      </w:r>
    </w:p>
    <w:p w:rsidR="00E7616E" w:rsidRPr="00247A7B" w:rsidRDefault="00E7616E" w:rsidP="00E7616E">
      <w:pPr>
        <w:pStyle w:val="SingleTxt"/>
        <w:spacing w:after="0" w:line="120" w:lineRule="exact"/>
        <w:rPr>
          <w:sz w:val="10"/>
        </w:rPr>
      </w:pPr>
    </w:p>
    <w:p w:rsidR="00E7616E" w:rsidRPr="00247A7B" w:rsidRDefault="00E7616E" w:rsidP="00E7616E">
      <w:pPr>
        <w:pStyle w:val="SingleTxt"/>
        <w:spacing w:after="0" w:line="120" w:lineRule="exact"/>
        <w:rPr>
          <w:sz w:val="10"/>
        </w:rPr>
      </w:pPr>
    </w:p>
    <w:p w:rsidR="00AD7633" w:rsidRPr="00AD7633" w:rsidRDefault="00AD7633" w:rsidP="00AD7633">
      <w:pPr>
        <w:pStyle w:val="SingleTxt"/>
      </w:pPr>
      <w:r w:rsidRPr="00AD7633">
        <w:t>2.</w:t>
      </w:r>
      <w:r w:rsidRPr="00AD7633">
        <w:tab/>
        <w:t xml:space="preserve">Ежегодно проводятся две сессии КВТ, а также четыре сессии его Бюро. </w:t>
      </w:r>
    </w:p>
    <w:p w:rsidR="00AD7633" w:rsidRPr="00AD7633" w:rsidRDefault="00AD7633" w:rsidP="00AD7633">
      <w:pPr>
        <w:pStyle w:val="SingleTxt"/>
      </w:pPr>
      <w:r w:rsidRPr="00AD7633">
        <w:t>3.</w:t>
      </w:r>
      <w:r w:rsidRPr="00AD7633">
        <w:tab/>
        <w:t>В семьдесят шестой сессии приняли уч</w:t>
      </w:r>
      <w:r w:rsidR="00E7616E">
        <w:t>астие свыше 160 делегатов от 42</w:t>
      </w:r>
      <w:r w:rsidR="00E7616E">
        <w:rPr>
          <w:lang w:val="en-US"/>
        </w:rPr>
        <w:t> </w:t>
      </w:r>
      <w:r w:rsidRPr="00AD7633">
        <w:t>стран и 36 межправительственных и неправительственных организаций. Се</w:t>
      </w:r>
      <w:r w:rsidRPr="00AD7633">
        <w:t>с</w:t>
      </w:r>
      <w:r w:rsidRPr="00AD7633">
        <w:t>сия включала сегмент высокого уровня по вопросам политики на тему</w:t>
      </w:r>
      <w:r w:rsidR="00E7616E" w:rsidRPr="00E7616E">
        <w:t>:</w:t>
      </w:r>
      <w:r w:rsidRPr="00AD7633">
        <w:t xml:space="preserve"> «Иннов</w:t>
      </w:r>
      <w:r w:rsidRPr="00AD7633">
        <w:t>а</w:t>
      </w:r>
      <w:r w:rsidRPr="00AD7633">
        <w:t>ции для устойчивого внутреннего транспорта и устойчивой мобильности». Участники согласились, что инновации для устойчивой мобильности и устойч</w:t>
      </w:r>
      <w:r w:rsidRPr="00AD7633">
        <w:t>и</w:t>
      </w:r>
      <w:r w:rsidRPr="00AD7633">
        <w:t>вого транспорта могут способствовать решению многих современных тран</w:t>
      </w:r>
      <w:r w:rsidRPr="00AD7633">
        <w:t>с</w:t>
      </w:r>
      <w:r w:rsidRPr="00AD7633">
        <w:t>портных проблем, связанных, в том числе, с недостаточным уровнем развития инфраструктуры, нагрузкой на окружающую среду, глобальным кризисом в обл</w:t>
      </w:r>
      <w:r w:rsidRPr="00AD7633">
        <w:t>а</w:t>
      </w:r>
      <w:r w:rsidRPr="00AD7633">
        <w:t>сти безопасности дорожного движения и отсутствием надлежащего финансир</w:t>
      </w:r>
      <w:r w:rsidRPr="00AD7633">
        <w:t>о</w:t>
      </w:r>
      <w:r w:rsidRPr="00AD7633">
        <w:t>вания. Обсуждения показали, что потребность в инновациях как средстве реаг</w:t>
      </w:r>
      <w:r w:rsidRPr="00AD7633">
        <w:t>и</w:t>
      </w:r>
      <w:r w:rsidRPr="00AD7633">
        <w:t>рования на ключевые проблемы, связанные с безопасностью дорожного движ</w:t>
      </w:r>
      <w:r w:rsidRPr="00AD7633">
        <w:t>е</w:t>
      </w:r>
      <w:r w:rsidRPr="00AD7633">
        <w:t>ния, демографическими изменениями (старение населения) и экономическими издержками перегруженности транспортных сетей и социальной динамики (включая лиц с особыми потребностями), будет расти. Вместе с тем, несмотря на нынешние успехи, инновационный потенциал для развития устойчивой мобил</w:t>
      </w:r>
      <w:r w:rsidRPr="00AD7633">
        <w:t>ь</w:t>
      </w:r>
      <w:r w:rsidRPr="00AD7633">
        <w:t xml:space="preserve">ности и устойчивого транспорта задействован далеко не полностью. </w:t>
      </w:r>
    </w:p>
    <w:p w:rsidR="00AD7633" w:rsidRPr="00AD7633" w:rsidRDefault="00AD7633" w:rsidP="00AD7633">
      <w:pPr>
        <w:pStyle w:val="SingleTxt"/>
      </w:pPr>
      <w:r w:rsidRPr="00AD7633">
        <w:t>4.</w:t>
      </w:r>
      <w:r w:rsidRPr="00AD7633">
        <w:tab/>
        <w:t>В работе семьдесят седьмой сессии приняли участие более 170 делегатов из 44 стран и более 30 межправительственных и неправительственных организаций. Сессия включала сегмент высокого уровня по вопросам политики на тему</w:t>
      </w:r>
      <w:r w:rsidR="00E7616E" w:rsidRPr="00E7616E">
        <w:t>:</w:t>
      </w:r>
      <w:r w:rsidRPr="00AD7633">
        <w:t xml:space="preserve"> «П</w:t>
      </w:r>
      <w:r w:rsidRPr="00AD7633">
        <w:t>е</w:t>
      </w:r>
      <w:r w:rsidRPr="00AD7633">
        <w:t>реосмысление проблемы развития устойчивого городского транспорта и мобил</w:t>
      </w:r>
      <w:r w:rsidRPr="00AD7633">
        <w:t>ь</w:t>
      </w:r>
      <w:r w:rsidRPr="00AD7633">
        <w:t>ности для решения задач новой эпохи». Участники сегмента по вопросам пол</w:t>
      </w:r>
      <w:r w:rsidRPr="00AD7633">
        <w:t>и</w:t>
      </w:r>
      <w:r w:rsidRPr="00AD7633">
        <w:t>тики согласились, что в развивающихся странах по всему миру наблюдается быстрый рост городов и что обусловленные этим ускоренный рост спроса на гр</w:t>
      </w:r>
      <w:r w:rsidRPr="00AD7633">
        <w:t>у</w:t>
      </w:r>
      <w:r w:rsidRPr="00AD7633">
        <w:t>зовые перевозки и необходимость личной мобильности неизбежно ведут к ув</w:t>
      </w:r>
      <w:r w:rsidRPr="00AD7633">
        <w:t>е</w:t>
      </w:r>
      <w:r w:rsidRPr="00AD7633">
        <w:t>личению числа автомобилей в частной собственности и интенсивности их эк</w:t>
      </w:r>
      <w:r w:rsidRPr="00AD7633">
        <w:t>с</w:t>
      </w:r>
      <w:r w:rsidRPr="00AD7633">
        <w:t>плуатации. Эти тенденции с некоторыми отличиями наблюдаются как в разв</w:t>
      </w:r>
      <w:r w:rsidRPr="00AD7633">
        <w:t>и</w:t>
      </w:r>
      <w:r w:rsidRPr="00AD7633">
        <w:t xml:space="preserve">тых, так и в развивающихся странах. Без инновационной транспортной политики </w:t>
      </w:r>
      <w:r w:rsidRPr="00AD7633">
        <w:lastRenderedPageBreak/>
        <w:t>масштабы индивидуального использования автомобилей будут продолжать расти со всеми сопутствующими негативными последствиями, включая перегруже</w:t>
      </w:r>
      <w:r w:rsidRPr="00AD7633">
        <w:t>н</w:t>
      </w:r>
      <w:r w:rsidRPr="00AD7633">
        <w:t>ность дорог, загрязнение окружающей среды, повышение рисков в области бе</w:t>
      </w:r>
      <w:r w:rsidRPr="00AD7633">
        <w:t>з</w:t>
      </w:r>
      <w:r w:rsidRPr="00AD7633">
        <w:t>опасности и изменение климата. В этой связи многие страны применяют экон</w:t>
      </w:r>
      <w:r w:rsidRPr="00AD7633">
        <w:t>о</w:t>
      </w:r>
      <w:r w:rsidR="00E7616E">
        <w:t>мические инструменты, например</w:t>
      </w:r>
      <w:r w:rsidRPr="00AD7633">
        <w:t xml:space="preserve"> платежи за пользование перегруженными участками дорог для стимулирования отказа от использования индивидуального автотранспорта либо освобождение от уплаты налогов и ценовое субсидирование в случае транспортных средств с нулевым или низким уровнем выбросов</w:t>
      </w:r>
      <w:r w:rsidR="00E7616E" w:rsidRPr="00E7616E">
        <w:t>,</w:t>
      </w:r>
      <w:r w:rsidRPr="00AD7633">
        <w:t xml:space="preserve"> для а</w:t>
      </w:r>
      <w:r w:rsidRPr="00AD7633">
        <w:t>к</w:t>
      </w:r>
      <w:r w:rsidRPr="00AD7633">
        <w:t>тивизации спроса на новые технологии.</w:t>
      </w:r>
    </w:p>
    <w:p w:rsidR="00AD7633" w:rsidRPr="00AD7633" w:rsidRDefault="00AD7633" w:rsidP="00AD7633">
      <w:pPr>
        <w:pStyle w:val="SingleTxt"/>
      </w:pPr>
      <w:r w:rsidRPr="00AD7633">
        <w:t>5.</w:t>
      </w:r>
      <w:r w:rsidRPr="00AD7633">
        <w:tab/>
        <w:t>На четвертом и пятом совещаниях председателей вспомогательных органов Комитета присутствовали председатели этих органов, а также административных комитетов правовых документов ЕЭК, члены Бюро и делегаты от правительств, участвовавшие в работе семьдесят шестой и семьдесят седьмой сессий Комитета</w:t>
      </w:r>
      <w:r w:rsidR="00E7616E" w:rsidRPr="00E7616E">
        <w:t xml:space="preserve"> </w:t>
      </w:r>
      <w:r w:rsidR="00E7616E" w:rsidRPr="00AD7633">
        <w:t>соответственно</w:t>
      </w:r>
      <w:r w:rsidRPr="00AD7633">
        <w:t>. Оба совещания председателей вспомогательных органов Ком</w:t>
      </w:r>
      <w:r w:rsidRPr="00AD7633">
        <w:t>и</w:t>
      </w:r>
      <w:r w:rsidRPr="00AD7633">
        <w:t>тета были посвящены расширению участия стран, не являющихся членами ЕЭК, которые присоединились (или намерены присоединиться) к правовым инстр</w:t>
      </w:r>
      <w:r w:rsidRPr="00AD7633">
        <w:t>у</w:t>
      </w:r>
      <w:r w:rsidRPr="00AD7633">
        <w:t>ментам, находящимся в ведении ЕЭК, или ратифицировали их, а также вопросам, касающимся укрепления сотрудничества, синергического эффекта, взаимоде</w:t>
      </w:r>
      <w:r w:rsidRPr="00AD7633">
        <w:t>й</w:t>
      </w:r>
      <w:r w:rsidRPr="00AD7633">
        <w:t xml:space="preserve">ствия и обмена опытом. </w:t>
      </w:r>
    </w:p>
    <w:p w:rsidR="00AD7633" w:rsidRPr="00AD7633" w:rsidRDefault="00AD7633" w:rsidP="00AD7633">
      <w:pPr>
        <w:pStyle w:val="SingleTxt"/>
      </w:pPr>
      <w:r w:rsidRPr="00AD7633">
        <w:t>6.</w:t>
      </w:r>
      <w:r w:rsidRPr="00AD7633">
        <w:tab/>
        <w:t>В рамках сотрудничества между отделами окружающей среды и устойчив</w:t>
      </w:r>
      <w:r w:rsidRPr="00AD7633">
        <w:t>о</w:t>
      </w:r>
      <w:r w:rsidRPr="00AD7633">
        <w:t>го транспорта ЕЭК в контексте обзоров результативности экологической де</w:t>
      </w:r>
      <w:r w:rsidRPr="00AD7633">
        <w:t>я</w:t>
      </w:r>
      <w:r w:rsidRPr="00AD7633">
        <w:t>тельности (ОРЭД) сотрудники Отдела принима</w:t>
      </w:r>
      <w:r w:rsidR="00247A7B">
        <w:t>ют</w:t>
      </w:r>
      <w:r w:rsidRPr="00AD7633">
        <w:t xml:space="preserve"> активное участие в подготов</w:t>
      </w:r>
      <w:r w:rsidRPr="00AD7633">
        <w:t>и</w:t>
      </w:r>
      <w:r w:rsidRPr="00AD7633">
        <w:t>тельной работе, организации миссии по установлению фактов и составлении раздела по вопросам транспорта в связи с проведением третьего ОРЭД для Гр</w:t>
      </w:r>
      <w:r w:rsidRPr="00AD7633">
        <w:t>у</w:t>
      </w:r>
      <w:r w:rsidRPr="00AD7633">
        <w:t>зии, Беларуси и Таджикистана (эта деятельность еще не завершена). При пров</w:t>
      </w:r>
      <w:r w:rsidRPr="00AD7633">
        <w:t>е</w:t>
      </w:r>
      <w:r w:rsidRPr="00AD7633">
        <w:t>дении каждого обзора во внимание принималась аналитическая информация, п</w:t>
      </w:r>
      <w:r w:rsidRPr="00AD7633">
        <w:t>о</w:t>
      </w:r>
      <w:r w:rsidRPr="00AD7633">
        <w:t>лученная при помощи инструмента «Для систем внутреннего транспорта буд</w:t>
      </w:r>
      <w:r w:rsidRPr="00AD7633">
        <w:t>у</w:t>
      </w:r>
      <w:r w:rsidRPr="00AD7633">
        <w:t>щего» (</w:t>
      </w:r>
      <w:proofErr w:type="spellStart"/>
      <w:r w:rsidRPr="00AD7633">
        <w:t>ForFITS</w:t>
      </w:r>
      <w:proofErr w:type="spellEnd"/>
      <w:r w:rsidRPr="00AD7633">
        <w:t>)</w:t>
      </w:r>
      <w:r w:rsidR="00247A7B">
        <w:t>,</w:t>
      </w:r>
      <w:r w:rsidRPr="00AD7633">
        <w:t xml:space="preserve"> в целях оценки </w:t>
      </w:r>
      <w:proofErr w:type="spellStart"/>
      <w:r w:rsidRPr="00AD7633">
        <w:t>странового</w:t>
      </w:r>
      <w:proofErr w:type="spellEnd"/>
      <w:r w:rsidRPr="00AD7633">
        <w:t xml:space="preserve"> уровня выбросов CO</w:t>
      </w:r>
      <w:r w:rsidRPr="00AD7633">
        <w:rPr>
          <w:vertAlign w:val="subscript"/>
        </w:rPr>
        <w:t>2</w:t>
      </w:r>
      <w:r w:rsidRPr="00AD7633">
        <w:t xml:space="preserve"> транспортн</w:t>
      </w:r>
      <w:r w:rsidRPr="00AD7633">
        <w:t>ы</w:t>
      </w:r>
      <w:r w:rsidRPr="00AD7633">
        <w:t>ми средствами.</w:t>
      </w:r>
    </w:p>
    <w:p w:rsidR="00AD7633" w:rsidRDefault="00AD7633" w:rsidP="00AD7633">
      <w:pPr>
        <w:pStyle w:val="SingleTxt"/>
      </w:pPr>
      <w:r w:rsidRPr="00AD7633">
        <w:t>7.</w:t>
      </w:r>
      <w:r w:rsidRPr="00AD7633">
        <w:tab/>
        <w:t>Целевой показатель по числу государств-членов, принимающих участие в ежегодных сессиях, был превышен как в 2014, так и в 2015 году.</w:t>
      </w:r>
    </w:p>
    <w:p w:rsidR="00247A7B" w:rsidRPr="00247A7B" w:rsidRDefault="00247A7B" w:rsidP="00247A7B">
      <w:pPr>
        <w:pStyle w:val="SingleTxt"/>
        <w:spacing w:after="0" w:line="120" w:lineRule="exact"/>
        <w:rPr>
          <w:sz w:val="10"/>
        </w:rPr>
      </w:pPr>
    </w:p>
    <w:p w:rsidR="00247A7B" w:rsidRPr="00247A7B" w:rsidRDefault="00247A7B" w:rsidP="00247A7B">
      <w:pPr>
        <w:pStyle w:val="SingleTxt"/>
        <w:spacing w:after="0" w:line="120" w:lineRule="exact"/>
        <w:rPr>
          <w:sz w:val="10"/>
        </w:rPr>
      </w:pPr>
    </w:p>
    <w:p w:rsidR="00AD7633" w:rsidRDefault="00AD7633" w:rsidP="00247A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7633">
        <w:tab/>
        <w:t>D.</w:t>
      </w:r>
      <w:r w:rsidRPr="00AD7633">
        <w:tab/>
        <w:t>Извлеченные уроки/области, в которых необходимы улучшения</w:t>
      </w:r>
    </w:p>
    <w:p w:rsidR="00247A7B" w:rsidRPr="00247A7B" w:rsidRDefault="00247A7B" w:rsidP="00247A7B">
      <w:pPr>
        <w:pStyle w:val="SingleTxt"/>
        <w:spacing w:after="0" w:line="120" w:lineRule="exact"/>
        <w:rPr>
          <w:sz w:val="10"/>
        </w:rPr>
      </w:pPr>
    </w:p>
    <w:p w:rsidR="00247A7B" w:rsidRPr="00247A7B" w:rsidRDefault="00247A7B" w:rsidP="00247A7B">
      <w:pPr>
        <w:pStyle w:val="SingleTxt"/>
        <w:spacing w:after="0" w:line="120" w:lineRule="exact"/>
        <w:rPr>
          <w:sz w:val="10"/>
        </w:rPr>
      </w:pPr>
    </w:p>
    <w:p w:rsidR="00AD7633" w:rsidRDefault="00AD7633" w:rsidP="00AD7633">
      <w:pPr>
        <w:pStyle w:val="SingleTxt"/>
      </w:pPr>
      <w:r w:rsidRPr="00AD7633">
        <w:t>8.</w:t>
      </w:r>
      <w:r w:rsidRPr="00AD7633">
        <w:tab/>
        <w:t>Организационно сессии КВТ состояли из сегментов, посвященных вопр</w:t>
      </w:r>
      <w:r w:rsidRPr="00AD7633">
        <w:t>о</w:t>
      </w:r>
      <w:r w:rsidRPr="00AD7633">
        <w:t>сам политики, техническим вопросам и представлению докладов; это спосо</w:t>
      </w:r>
      <w:r w:rsidRPr="00AD7633">
        <w:t>б</w:t>
      </w:r>
      <w:r w:rsidRPr="00AD7633">
        <w:t>ствовало повышению эффективности их работы и привлечению к ней интереса большего числа более высокопоставленных участников от государств − членов ЕЭК и международных организаций. Сегмент по вопросам политики, проведение которого вошло в регулярную практику на сессиях Комитета и который каждый раз посвящается той или иной конкретной теме, доказал свою высокую актуал</w:t>
      </w:r>
      <w:r w:rsidRPr="00AD7633">
        <w:t>ь</w:t>
      </w:r>
      <w:r w:rsidRPr="00AD7633">
        <w:t>ность и своевременность для расширенной аудитории. Ожидается, что в перспе</w:t>
      </w:r>
      <w:r w:rsidRPr="00AD7633">
        <w:t>к</w:t>
      </w:r>
      <w:r w:rsidRPr="00AD7633">
        <w:t>тиве будет наблюдаться дальнейший рост числа высокопоставленных участн</w:t>
      </w:r>
      <w:r w:rsidRPr="00AD7633">
        <w:t>и</w:t>
      </w:r>
      <w:r w:rsidRPr="00AD7633">
        <w:t>ков. Для дальнейшего привлечения внимания к деятельности Комитета и увел</w:t>
      </w:r>
      <w:r w:rsidRPr="00AD7633">
        <w:t>и</w:t>
      </w:r>
      <w:r w:rsidRPr="00AD7633">
        <w:t xml:space="preserve">чения ее результативности необходимо максимально повышать уровень участия государств-членов в его будущих сессиях. </w:t>
      </w:r>
    </w:p>
    <w:p w:rsidR="00247A7B" w:rsidRPr="00247A7B" w:rsidRDefault="00247A7B" w:rsidP="00247A7B">
      <w:pPr>
        <w:pStyle w:val="SingleTxt"/>
        <w:spacing w:after="0" w:line="120" w:lineRule="exact"/>
        <w:rPr>
          <w:sz w:val="10"/>
        </w:rPr>
      </w:pPr>
    </w:p>
    <w:p w:rsidR="00247A7B" w:rsidRPr="00247A7B" w:rsidRDefault="00247A7B" w:rsidP="00247A7B">
      <w:pPr>
        <w:pStyle w:val="SingleTxt"/>
        <w:spacing w:after="0" w:line="120" w:lineRule="exact"/>
        <w:rPr>
          <w:sz w:val="10"/>
        </w:rPr>
      </w:pPr>
    </w:p>
    <w:p w:rsidR="00AD7633" w:rsidRDefault="00AD7633" w:rsidP="00247A7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7633">
        <w:lastRenderedPageBreak/>
        <w:tab/>
      </w:r>
      <w:r w:rsidRPr="00AD7633">
        <w:tab/>
        <w:t>Направление деятельности 2.a</w:t>
      </w:r>
      <w:r w:rsidRPr="00AD7633">
        <w:br/>
        <w:t>Тенденции и экономика транспорта (включая евро-азиатские транспортные связи)</w:t>
      </w:r>
    </w:p>
    <w:p w:rsidR="00247A7B" w:rsidRPr="00247A7B" w:rsidRDefault="00247A7B" w:rsidP="00247A7B">
      <w:pPr>
        <w:pStyle w:val="SingleTxt"/>
        <w:keepNext/>
        <w:keepLines/>
        <w:spacing w:after="0" w:line="120" w:lineRule="exact"/>
        <w:rPr>
          <w:sz w:val="10"/>
        </w:rPr>
      </w:pPr>
    </w:p>
    <w:p w:rsidR="00247A7B" w:rsidRPr="00247A7B" w:rsidRDefault="00247A7B" w:rsidP="00247A7B">
      <w:pPr>
        <w:pStyle w:val="SingleTxt"/>
        <w:keepNext/>
        <w:keepLines/>
        <w:spacing w:after="0" w:line="120" w:lineRule="exact"/>
        <w:rPr>
          <w:sz w:val="10"/>
        </w:rPr>
      </w:pPr>
    </w:p>
    <w:p w:rsidR="00AD7633" w:rsidRDefault="00AD7633" w:rsidP="00247A7B">
      <w:pPr>
        <w:pStyle w:val="H1"/>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7633">
        <w:tab/>
        <w:t>A.</w:t>
      </w:r>
      <w:r w:rsidRPr="00AD7633">
        <w:tab/>
        <w:t>Ожидаемое достижение (ОД 2.1)</w:t>
      </w:r>
    </w:p>
    <w:p w:rsidR="00247A7B" w:rsidRPr="00247A7B" w:rsidRDefault="00247A7B" w:rsidP="00247A7B">
      <w:pPr>
        <w:pStyle w:val="SingleTxt"/>
        <w:keepNext/>
        <w:keepLines/>
        <w:spacing w:after="0" w:line="120" w:lineRule="exact"/>
        <w:rPr>
          <w:sz w:val="10"/>
        </w:rPr>
      </w:pPr>
    </w:p>
    <w:p w:rsidR="00247A7B" w:rsidRPr="00247A7B" w:rsidRDefault="00247A7B" w:rsidP="00247A7B">
      <w:pPr>
        <w:pStyle w:val="SingleTxt"/>
        <w:keepNext/>
        <w:keepLines/>
        <w:spacing w:after="0" w:line="120" w:lineRule="exact"/>
        <w:rPr>
          <w:sz w:val="10"/>
        </w:rPr>
      </w:pPr>
    </w:p>
    <w:p w:rsidR="00AD7633" w:rsidRDefault="00AD7633" w:rsidP="00247A7B">
      <w:pPr>
        <w:pStyle w:val="SingleTxt"/>
        <w:keepNext/>
        <w:keepLines/>
      </w:pPr>
      <w:r w:rsidRPr="00AD7633">
        <w:t>9.</w:t>
      </w:r>
      <w:r w:rsidRPr="00AD7633">
        <w:tab/>
        <w:t>Более четкое понимание государствами-членами основных транспортных тенденций и изменений в регионе ЕЭК, а также укрепление сотрудничества в д</w:t>
      </w:r>
      <w:r w:rsidRPr="00AD7633">
        <w:t>е</w:t>
      </w:r>
      <w:r w:rsidRPr="00AD7633">
        <w:t>ле развития евро-азиатских транспортных связей</w:t>
      </w:r>
      <w:r w:rsidR="00247A7B">
        <w:t>.</w:t>
      </w:r>
    </w:p>
    <w:p w:rsidR="00247A7B" w:rsidRPr="00247A7B" w:rsidRDefault="00247A7B" w:rsidP="00247A7B">
      <w:pPr>
        <w:pStyle w:val="SingleTxt"/>
        <w:keepNext/>
        <w:keepLines/>
        <w:spacing w:after="0" w:line="120" w:lineRule="exact"/>
        <w:rPr>
          <w:sz w:val="10"/>
        </w:rPr>
      </w:pPr>
    </w:p>
    <w:p w:rsidR="00247A7B" w:rsidRPr="00247A7B" w:rsidRDefault="00247A7B" w:rsidP="00247A7B">
      <w:pPr>
        <w:pStyle w:val="SingleTxt"/>
        <w:keepNext/>
        <w:keepLines/>
        <w:spacing w:after="0" w:line="120" w:lineRule="exact"/>
        <w:rPr>
          <w:b/>
          <w:i/>
          <w:sz w:val="10"/>
        </w:rPr>
      </w:pPr>
    </w:p>
    <w:p w:rsidR="00AD7633" w:rsidRDefault="00AD7633" w:rsidP="00247A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7633">
        <w:tab/>
        <w:t>B.</w:t>
      </w:r>
      <w:r w:rsidRPr="00AD7633">
        <w:tab/>
        <w:t>Показатели достижения</w:t>
      </w:r>
    </w:p>
    <w:p w:rsidR="00247A7B" w:rsidRPr="00247A7B" w:rsidRDefault="00247A7B" w:rsidP="00247A7B">
      <w:pPr>
        <w:pStyle w:val="SingleTxt"/>
        <w:spacing w:after="0" w:line="120" w:lineRule="exact"/>
        <w:rPr>
          <w:sz w:val="10"/>
        </w:rPr>
      </w:pPr>
    </w:p>
    <w:p w:rsidR="00247A7B" w:rsidRPr="00247A7B" w:rsidRDefault="00247A7B" w:rsidP="00247A7B">
      <w:pPr>
        <w:pStyle w:val="SingleTxt"/>
        <w:spacing w:after="0" w:line="120" w:lineRule="exact"/>
        <w:rPr>
          <w:sz w:val="10"/>
        </w:rPr>
      </w:pPr>
    </w:p>
    <w:p w:rsidR="00AD7633" w:rsidRDefault="00AD7633" w:rsidP="00247A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7633">
        <w:tab/>
        <w:t>1.</w:t>
      </w:r>
      <w:r w:rsidRPr="00AD7633">
        <w:tab/>
        <w:t>Число стран, участвующих в совещаниях Рабочей группы и совещаниях Группы экспертов (ПД 2.1 a))</w:t>
      </w:r>
    </w:p>
    <w:p w:rsidR="00247A7B" w:rsidRPr="00247A7B" w:rsidRDefault="00247A7B" w:rsidP="00247A7B">
      <w:pPr>
        <w:pStyle w:val="SingleTxt"/>
        <w:spacing w:after="0" w:line="120" w:lineRule="exact"/>
        <w:rPr>
          <w:sz w:val="10"/>
        </w:rPr>
      </w:pPr>
    </w:p>
    <w:p w:rsidR="00AD7633" w:rsidRDefault="00AD7633" w:rsidP="00247A7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7633">
        <w:tab/>
      </w:r>
      <w:r w:rsidRPr="00AD7633">
        <w:tab/>
        <w:t>Показатели результативности:</w:t>
      </w:r>
    </w:p>
    <w:p w:rsidR="00247A7B" w:rsidRPr="00247A7B" w:rsidRDefault="00247A7B" w:rsidP="00247A7B">
      <w:pPr>
        <w:pStyle w:val="SingleTxt"/>
        <w:spacing w:after="0" w:line="120" w:lineRule="exact"/>
        <w:rPr>
          <w:sz w:val="10"/>
        </w:rPr>
      </w:pPr>
    </w:p>
    <w:p w:rsidR="00AD7633" w:rsidRPr="00AD7633" w:rsidRDefault="00AD7633" w:rsidP="00AD7633">
      <w:pPr>
        <w:pStyle w:val="SingleTxt"/>
      </w:pPr>
      <w:r w:rsidRPr="00AD7633">
        <w:t>Исходные показатели за 2012–2013 годы: 35</w:t>
      </w:r>
      <w:r w:rsidR="00247A7B">
        <w:t>.</w:t>
      </w:r>
      <w:r w:rsidRPr="00AD7633">
        <w:t xml:space="preserve"> </w:t>
      </w:r>
    </w:p>
    <w:p w:rsidR="00AD7633" w:rsidRPr="00AD7633" w:rsidRDefault="00AD7633" w:rsidP="00AD7633">
      <w:pPr>
        <w:pStyle w:val="SingleTxt"/>
      </w:pPr>
      <w:r w:rsidRPr="00AD7633">
        <w:t>Целевые показатели на 2014–2015 годы: 37</w:t>
      </w:r>
      <w:r w:rsidR="00247A7B">
        <w:t>.</w:t>
      </w:r>
    </w:p>
    <w:p w:rsidR="00AD7633" w:rsidRDefault="00AD7633" w:rsidP="00AD7633">
      <w:pPr>
        <w:pStyle w:val="SingleTxt"/>
        <w:rPr>
          <w:b/>
          <w:bCs/>
        </w:rPr>
      </w:pPr>
      <w:r w:rsidRPr="00AD7633">
        <w:rPr>
          <w:b/>
          <w:bCs/>
        </w:rPr>
        <w:t>Фактические показатели за 2014–2015 годы: 101 (53 в 2014 году и 48 в 2015</w:t>
      </w:r>
      <w:r w:rsidR="00247A7B">
        <w:rPr>
          <w:b/>
          <w:bCs/>
        </w:rPr>
        <w:t> </w:t>
      </w:r>
      <w:r w:rsidRPr="00AD7633">
        <w:rPr>
          <w:b/>
          <w:bCs/>
        </w:rPr>
        <w:t>году)</w:t>
      </w:r>
      <w:r w:rsidR="00247A7B">
        <w:rPr>
          <w:b/>
          <w:bCs/>
        </w:rPr>
        <w:t>.</w:t>
      </w:r>
    </w:p>
    <w:p w:rsidR="00247A7B" w:rsidRPr="00247A7B" w:rsidRDefault="00247A7B" w:rsidP="00247A7B">
      <w:pPr>
        <w:pStyle w:val="SingleTxt"/>
        <w:spacing w:after="0" w:line="120" w:lineRule="exact"/>
        <w:rPr>
          <w:b/>
          <w:bCs/>
          <w:i/>
          <w:sz w:val="10"/>
        </w:rPr>
      </w:pPr>
    </w:p>
    <w:p w:rsidR="00AD7633" w:rsidRDefault="00AD7633" w:rsidP="00247A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7633">
        <w:tab/>
        <w:t>2.</w:t>
      </w:r>
      <w:r w:rsidRPr="00AD7633">
        <w:tab/>
        <w:t>Уровень удовлетворенности участников с точки зрения пользы от</w:t>
      </w:r>
      <w:r w:rsidR="00247A7B">
        <w:t> </w:t>
      </w:r>
      <w:r w:rsidRPr="00AD7633">
        <w:t>информации, совещаний и мероприятий по итогам проводимых обследований (ПД 2.1 b))</w:t>
      </w:r>
    </w:p>
    <w:p w:rsidR="00247A7B" w:rsidRPr="00247A7B" w:rsidRDefault="00247A7B" w:rsidP="00247A7B">
      <w:pPr>
        <w:pStyle w:val="SingleTxt"/>
        <w:spacing w:after="0" w:line="120" w:lineRule="exact"/>
        <w:rPr>
          <w:sz w:val="10"/>
        </w:rPr>
      </w:pPr>
    </w:p>
    <w:p w:rsidR="00AD7633" w:rsidRDefault="00AD7633" w:rsidP="00247A7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7633">
        <w:tab/>
      </w:r>
      <w:r w:rsidRPr="00AD7633">
        <w:tab/>
        <w:t>Показатели результативности:</w:t>
      </w:r>
    </w:p>
    <w:p w:rsidR="00247A7B" w:rsidRPr="00247A7B" w:rsidRDefault="00247A7B" w:rsidP="00247A7B">
      <w:pPr>
        <w:pStyle w:val="SingleTxt"/>
        <w:spacing w:after="0" w:line="120" w:lineRule="exact"/>
        <w:rPr>
          <w:sz w:val="10"/>
        </w:rPr>
      </w:pPr>
    </w:p>
    <w:p w:rsidR="00AD7633" w:rsidRPr="00AD7633" w:rsidRDefault="00AD7633" w:rsidP="00AD7633">
      <w:pPr>
        <w:pStyle w:val="SingleTxt"/>
      </w:pPr>
      <w:r w:rsidRPr="00AD7633">
        <w:t>Исходные показатели за 2013 год: 75% положительных отзывов</w:t>
      </w:r>
      <w:r w:rsidR="00247A7B">
        <w:t>.</w:t>
      </w:r>
    </w:p>
    <w:p w:rsidR="00AD7633" w:rsidRPr="00AD7633" w:rsidRDefault="00AD7633" w:rsidP="00AD7633">
      <w:pPr>
        <w:pStyle w:val="SingleTxt"/>
      </w:pPr>
      <w:r w:rsidRPr="00AD7633">
        <w:t>Целевые показатели на 2014–2015 годы: 75% положительных отзывов</w:t>
      </w:r>
      <w:r w:rsidR="00247A7B">
        <w:t>.</w:t>
      </w:r>
    </w:p>
    <w:p w:rsidR="00AD7633" w:rsidRPr="00AD7633" w:rsidRDefault="00AD7633" w:rsidP="00AD7633">
      <w:pPr>
        <w:pStyle w:val="SingleTxt"/>
        <w:rPr>
          <w:b/>
          <w:bCs/>
        </w:rPr>
      </w:pPr>
      <w:r w:rsidRPr="00AD7633">
        <w:rPr>
          <w:b/>
          <w:bCs/>
        </w:rPr>
        <w:t>Фактические показатели за 2014–2015 годы: более 80% делегатов, участв</w:t>
      </w:r>
      <w:r w:rsidRPr="00AD7633">
        <w:rPr>
          <w:b/>
          <w:bCs/>
        </w:rPr>
        <w:t>о</w:t>
      </w:r>
      <w:r w:rsidRPr="00AD7633">
        <w:rPr>
          <w:b/>
          <w:bCs/>
        </w:rPr>
        <w:t>вавших в обследовании, были полностью удовлетворены</w:t>
      </w:r>
      <w:r w:rsidR="00247A7B">
        <w:rPr>
          <w:b/>
          <w:bCs/>
        </w:rPr>
        <w:t>.</w:t>
      </w:r>
    </w:p>
    <w:p w:rsidR="00247A7B" w:rsidRPr="00247A7B" w:rsidRDefault="00247A7B" w:rsidP="00247A7B">
      <w:pPr>
        <w:pStyle w:val="SingleTxt"/>
        <w:spacing w:after="0" w:line="120" w:lineRule="exact"/>
        <w:rPr>
          <w:b/>
          <w:sz w:val="10"/>
        </w:rPr>
      </w:pPr>
    </w:p>
    <w:p w:rsidR="00247A7B" w:rsidRPr="00247A7B" w:rsidRDefault="00247A7B" w:rsidP="00247A7B">
      <w:pPr>
        <w:pStyle w:val="SingleTxt"/>
        <w:spacing w:after="0" w:line="120" w:lineRule="exact"/>
        <w:rPr>
          <w:b/>
          <w:sz w:val="10"/>
        </w:rPr>
      </w:pPr>
    </w:p>
    <w:p w:rsidR="00AD7633" w:rsidRDefault="00AD7633" w:rsidP="00247A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7633">
        <w:tab/>
        <w:t>C.</w:t>
      </w:r>
      <w:r w:rsidRPr="00AD7633">
        <w:tab/>
        <w:t>Оценка результативности</w:t>
      </w:r>
    </w:p>
    <w:p w:rsidR="00247A7B" w:rsidRPr="00247A7B" w:rsidRDefault="00247A7B" w:rsidP="00247A7B">
      <w:pPr>
        <w:pStyle w:val="SingleTxt"/>
        <w:spacing w:after="0" w:line="120" w:lineRule="exact"/>
        <w:rPr>
          <w:sz w:val="10"/>
        </w:rPr>
      </w:pPr>
    </w:p>
    <w:p w:rsidR="00247A7B" w:rsidRPr="00247A7B" w:rsidRDefault="00247A7B" w:rsidP="00247A7B">
      <w:pPr>
        <w:pStyle w:val="SingleTxt"/>
        <w:spacing w:after="0" w:line="120" w:lineRule="exact"/>
        <w:rPr>
          <w:sz w:val="10"/>
        </w:rPr>
      </w:pPr>
    </w:p>
    <w:p w:rsidR="00AD7633" w:rsidRPr="00AD7633" w:rsidRDefault="00AD7633" w:rsidP="00AD7633">
      <w:pPr>
        <w:pStyle w:val="SingleTxt"/>
      </w:pPr>
      <w:r w:rsidRPr="00AD7633">
        <w:t>10.</w:t>
      </w:r>
      <w:r w:rsidRPr="00AD7633">
        <w:tab/>
        <w:t>Основными целями Рабочей группы по тенденциям и экономике транспорта (WР.5) и секретариата на период 2014−2015 годов были непрерывная активиз</w:t>
      </w:r>
      <w:r w:rsidRPr="00AD7633">
        <w:t>а</w:t>
      </w:r>
      <w:r w:rsidRPr="00AD7633">
        <w:t>ция деятельности Рабочей группы и увеличение числа стран-участников посре</w:t>
      </w:r>
      <w:r w:rsidRPr="00AD7633">
        <w:t>д</w:t>
      </w:r>
      <w:r w:rsidRPr="00AD7633">
        <w:t>ством включения новых актуальных пунктов повестки дня по вопросам сущ</w:t>
      </w:r>
      <w:r w:rsidRPr="00AD7633">
        <w:t>е</w:t>
      </w:r>
      <w:r w:rsidRPr="00AD7633">
        <w:t>ства. Работа, выполняемая WР.5, весьма сложна, поскольку она не привязана ни к одному соглашению, а проблемы, которыми она занимается, могут относиться ко всему спектру вопросов, связанных с транспортом. Первым стратегическим в</w:t>
      </w:r>
      <w:r w:rsidRPr="00AD7633">
        <w:t>о</w:t>
      </w:r>
      <w:r w:rsidRPr="00AD7633">
        <w:t>просом, поднятым в WР.5, стало преобразование официального документа о те</w:t>
      </w:r>
      <w:r w:rsidRPr="00AD7633">
        <w:t>н</w:t>
      </w:r>
      <w:r w:rsidRPr="00AD7633">
        <w:t>денциях и экономике транспорта в ежегодную публикацию. Это повлекло за с</w:t>
      </w:r>
      <w:r w:rsidRPr="00AD7633">
        <w:t>о</w:t>
      </w:r>
      <w:r w:rsidRPr="00AD7633">
        <w:t>бой увеличение числа стран-участников на 70%: раньше в соответствующем о</w:t>
      </w:r>
      <w:r w:rsidRPr="00AD7633">
        <w:t>б</w:t>
      </w:r>
      <w:r w:rsidRPr="00AD7633">
        <w:t>следовании по тенденциям транспорта участвовали в среднем 10 стран, тогда как для публикации в 2014 году в нем приняли участие 36 стран. Число стран, пр</w:t>
      </w:r>
      <w:r w:rsidRPr="00AD7633">
        <w:t>и</w:t>
      </w:r>
      <w:r w:rsidRPr="00AD7633">
        <w:t>нявших участие в обследовании свидетельств</w:t>
      </w:r>
      <w:r w:rsidR="00247A7B">
        <w:t>ует об</w:t>
      </w:r>
      <w:r w:rsidRPr="00AD7633">
        <w:t xml:space="preserve"> успешной работ</w:t>
      </w:r>
      <w:r w:rsidR="00247A7B">
        <w:t>е</w:t>
      </w:r>
      <w:r w:rsidRPr="00AD7633">
        <w:t xml:space="preserve"> Группы. Кроме того, было отмечено увеличение на 60% числа стран, принявших участие в сессии WР.5. В среднем за последние десять лет в совещаниях WР.5 участвов</w:t>
      </w:r>
      <w:r w:rsidRPr="00AD7633">
        <w:t>а</w:t>
      </w:r>
      <w:r w:rsidRPr="00AD7633">
        <w:t>ли 10 стран. Для сравнения</w:t>
      </w:r>
      <w:r w:rsidR="00247A7B">
        <w:t>:</w:t>
      </w:r>
      <w:r w:rsidRPr="00AD7633">
        <w:t xml:space="preserve"> в сессии 2014 года приняли участие 26 стран и ряд международных организаций, а в сессии 2015 года – 16 стран, не считая участн</w:t>
      </w:r>
      <w:r w:rsidRPr="00AD7633">
        <w:t>и</w:t>
      </w:r>
      <w:r w:rsidRPr="00AD7633">
        <w:t>ков совещаний Группы экспертов, проводимых Рабочей группой. Целевой пок</w:t>
      </w:r>
      <w:r w:rsidRPr="00AD7633">
        <w:t>а</w:t>
      </w:r>
      <w:r w:rsidRPr="00AD7633">
        <w:lastRenderedPageBreak/>
        <w:t xml:space="preserve">затель на период 2014–2015 годов составлял 37 стран, не считая МПО и НПО. Фактическое число стран-участниц составило 101, включая страны, принявшие участие в совещаниях Группы экспертов; таким образом, целевой показатель был превышен на 63%. </w:t>
      </w:r>
    </w:p>
    <w:p w:rsidR="00AD7633" w:rsidRPr="00AD7633" w:rsidRDefault="00AD7633" w:rsidP="00AD7633">
      <w:pPr>
        <w:pStyle w:val="SingleTxt"/>
      </w:pPr>
      <w:r w:rsidRPr="00AD7633">
        <w:t>11.</w:t>
      </w:r>
      <w:r w:rsidRPr="00AD7633">
        <w:tab/>
        <w:t>Второе стратегическое решение состояло в проведении не менее одного р</w:t>
      </w:r>
      <w:r w:rsidRPr="00AD7633">
        <w:t>а</w:t>
      </w:r>
      <w:r w:rsidRPr="00AD7633">
        <w:t>бочего совещания, приуроченного к сессии Рабочей группы. В 2014 году было организовано три рабочих совещания по вопросам, касающимся новых инстр</w:t>
      </w:r>
      <w:r w:rsidRPr="00AD7633">
        <w:t>у</w:t>
      </w:r>
      <w:r w:rsidRPr="00AD7633">
        <w:t xml:space="preserve">ментов для финансирования развития транспорта, тенденций и экономики </w:t>
      </w:r>
      <w:r w:rsidR="00F4214C" w:rsidRPr="00AD7633">
        <w:t>Ср</w:t>
      </w:r>
      <w:r w:rsidR="00F4214C" w:rsidRPr="00AD7633">
        <w:t>е</w:t>
      </w:r>
      <w:r w:rsidR="00F4214C" w:rsidRPr="00AD7633">
        <w:t xml:space="preserve">диземноморского </w:t>
      </w:r>
      <w:r w:rsidRPr="00AD7633">
        <w:t>региона, связей между портами и внутренними районами и т</w:t>
      </w:r>
      <w:r w:rsidRPr="00AD7633">
        <w:t>а</w:t>
      </w:r>
      <w:r w:rsidRPr="00AD7633">
        <w:t>моженных процедур. В 2015 году было проведено два рабочих совещания: «А</w:t>
      </w:r>
      <w:r w:rsidRPr="00AD7633">
        <w:t>в</w:t>
      </w:r>
      <w:r w:rsidRPr="00AD7633">
        <w:t>тотранспортные и железнодорожные коридоры в Европе и Азии» и «Уязвимость и безопасность транспортной инфраструктуры первостепенной важности». Эти пять рабочих совещаний оказались весьма успешными не только потому, что они позволили активизировать участие стран в работе WР.5, но и потому, что благ</w:t>
      </w:r>
      <w:r w:rsidRPr="00AD7633">
        <w:t>о</w:t>
      </w:r>
      <w:r w:rsidRPr="00AD7633">
        <w:t xml:space="preserve">даря им в повестке дня появились новые пункты, которые не обсуждались ранее, в частности безопасность и инновационные методы финансирования. </w:t>
      </w:r>
    </w:p>
    <w:p w:rsidR="00AD7633" w:rsidRDefault="00AD7633" w:rsidP="00AD7633">
      <w:pPr>
        <w:pStyle w:val="SingleTxt"/>
      </w:pPr>
      <w:r w:rsidRPr="00AD7633">
        <w:t>12.</w:t>
      </w:r>
      <w:r w:rsidRPr="00AD7633">
        <w:tab/>
        <w:t>Для Группы экспертов, функционирующей под эгидой Рабочей группы, 2014 и 2015 годы оказались весьма напряженными c точки зрения рабочей нагрузки, поскольку она занималась</w:t>
      </w:r>
      <w:r w:rsidR="006D56AC">
        <w:t xml:space="preserve"> такими</w:t>
      </w:r>
      <w:r w:rsidRPr="00AD7633">
        <w:t xml:space="preserve"> вопросами, </w:t>
      </w:r>
      <w:r w:rsidR="006D56AC">
        <w:t>как</w:t>
      </w:r>
      <w:r w:rsidRPr="00AD7633">
        <w:t xml:space="preserve"> евро-азиатски</w:t>
      </w:r>
      <w:r w:rsidR="006D56AC">
        <w:t>е</w:t>
      </w:r>
      <w:r w:rsidRPr="00AD7633">
        <w:t xml:space="preserve"> транспортны</w:t>
      </w:r>
      <w:r w:rsidR="006D56AC">
        <w:t>е</w:t>
      </w:r>
      <w:r w:rsidRPr="00AD7633">
        <w:t xml:space="preserve"> связ</w:t>
      </w:r>
      <w:r w:rsidR="006D56AC">
        <w:t>и</w:t>
      </w:r>
      <w:r w:rsidRPr="00AD7633">
        <w:t xml:space="preserve"> и последстви</w:t>
      </w:r>
      <w:r w:rsidR="006D56AC">
        <w:t>я</w:t>
      </w:r>
      <w:r w:rsidRPr="00AD7633">
        <w:t xml:space="preserve"> изменения климата для международных транспортных сетей и узлов</w:t>
      </w:r>
      <w:r w:rsidR="006D56AC">
        <w:t>, а также</w:t>
      </w:r>
      <w:r w:rsidRPr="00AD7633">
        <w:t xml:space="preserve"> адаптаци</w:t>
      </w:r>
      <w:r w:rsidR="006D56AC">
        <w:t>я</w:t>
      </w:r>
      <w:r w:rsidRPr="00AD7633">
        <w:t xml:space="preserve"> к ним. В 2014 году Группа эк</w:t>
      </w:r>
      <w:r w:rsidRPr="00AD7633">
        <w:t>с</w:t>
      </w:r>
      <w:r w:rsidRPr="00AD7633">
        <w:t>пертов по адаптации к последствиям изменения климата получила разрешение на переход в 2015 году ко второму этапу ее деятельности, началом которого посл</w:t>
      </w:r>
      <w:r w:rsidRPr="00AD7633">
        <w:t>у</w:t>
      </w:r>
      <w:r w:rsidRPr="00AD7633">
        <w:t>жило первое совещание этой Группы в июне 2015 года.</w:t>
      </w:r>
    </w:p>
    <w:p w:rsidR="006D56AC" w:rsidRPr="006D56AC" w:rsidRDefault="006D56AC" w:rsidP="006D56AC">
      <w:pPr>
        <w:pStyle w:val="SingleTxt"/>
        <w:spacing w:after="0" w:line="120" w:lineRule="exact"/>
        <w:rPr>
          <w:sz w:val="10"/>
        </w:rPr>
      </w:pPr>
    </w:p>
    <w:p w:rsidR="006D56AC" w:rsidRPr="006D56AC" w:rsidRDefault="006D56AC" w:rsidP="006D56AC">
      <w:pPr>
        <w:pStyle w:val="SingleTxt"/>
        <w:spacing w:after="0" w:line="120" w:lineRule="exact"/>
        <w:rPr>
          <w:sz w:val="10"/>
        </w:rPr>
      </w:pPr>
    </w:p>
    <w:p w:rsidR="00AD7633" w:rsidRDefault="00AD7633" w:rsidP="006D56A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7633">
        <w:tab/>
        <w:t>D.</w:t>
      </w:r>
      <w:r w:rsidRPr="00AD7633">
        <w:tab/>
        <w:t>Извлеченные уроки/области, в которых необходимы улучшения</w:t>
      </w:r>
    </w:p>
    <w:p w:rsidR="006D56AC" w:rsidRPr="006D56AC" w:rsidRDefault="006D56AC" w:rsidP="006D56AC">
      <w:pPr>
        <w:pStyle w:val="SingleTxt"/>
        <w:spacing w:after="0" w:line="120" w:lineRule="exact"/>
        <w:rPr>
          <w:sz w:val="10"/>
        </w:rPr>
      </w:pPr>
    </w:p>
    <w:p w:rsidR="006D56AC" w:rsidRPr="006D56AC" w:rsidRDefault="006D56AC" w:rsidP="006D56AC">
      <w:pPr>
        <w:pStyle w:val="SingleTxt"/>
        <w:spacing w:after="0" w:line="120" w:lineRule="exact"/>
        <w:rPr>
          <w:sz w:val="10"/>
        </w:rPr>
      </w:pPr>
    </w:p>
    <w:p w:rsidR="00AD7633" w:rsidRDefault="00AD7633" w:rsidP="00AD7633">
      <w:pPr>
        <w:pStyle w:val="SingleTxt"/>
      </w:pPr>
      <w:r w:rsidRPr="00AD7633">
        <w:t>13.</w:t>
      </w:r>
      <w:r w:rsidRPr="00AD7633">
        <w:tab/>
        <w:t xml:space="preserve">Повестка дня группы стала более насыщенной. Основным направлением ее деятельности </w:t>
      </w:r>
      <w:r w:rsidR="006D56AC">
        <w:t>становятся</w:t>
      </w:r>
      <w:r w:rsidRPr="00AD7633">
        <w:t xml:space="preserve"> тенденции в области транспорта. Изменилась и расш</w:t>
      </w:r>
      <w:r w:rsidRPr="00AD7633">
        <w:t>и</w:t>
      </w:r>
      <w:r w:rsidRPr="00AD7633">
        <w:t xml:space="preserve">рилась роль </w:t>
      </w:r>
      <w:r w:rsidR="006D56AC" w:rsidRPr="00AD7633">
        <w:t xml:space="preserve">таких </w:t>
      </w:r>
      <w:r w:rsidRPr="00AD7633">
        <w:t>различных международных организаций, как Международный союз автомобильного транспорта (МСАТ) и Международный союз железных д</w:t>
      </w:r>
      <w:r w:rsidRPr="00AD7633">
        <w:t>о</w:t>
      </w:r>
      <w:r w:rsidRPr="00AD7633">
        <w:t xml:space="preserve">рог (МСЖД). WР.5 </w:t>
      </w:r>
      <w:r w:rsidR="006D56AC">
        <w:t>трансформируется</w:t>
      </w:r>
      <w:r w:rsidRPr="00AD7633">
        <w:t xml:space="preserve"> для достижения своей основной цели, к</w:t>
      </w:r>
      <w:r w:rsidRPr="00AD7633">
        <w:t>о</w:t>
      </w:r>
      <w:r w:rsidRPr="00AD7633">
        <w:t>торая состоит в том, чтобы выполнять функции аналитического органа и иссл</w:t>
      </w:r>
      <w:r w:rsidRPr="00AD7633">
        <w:t>е</w:t>
      </w:r>
      <w:r w:rsidRPr="00AD7633">
        <w:t>довательского центра по проблемам внутреннего транспорта.</w:t>
      </w:r>
    </w:p>
    <w:p w:rsidR="006D56AC" w:rsidRPr="006D56AC" w:rsidRDefault="006D56AC" w:rsidP="006D56AC">
      <w:pPr>
        <w:pStyle w:val="SingleTxt"/>
        <w:spacing w:after="0" w:line="120" w:lineRule="exact"/>
        <w:rPr>
          <w:sz w:val="10"/>
        </w:rPr>
      </w:pPr>
    </w:p>
    <w:p w:rsidR="006D56AC" w:rsidRPr="006D56AC" w:rsidRDefault="006D56AC" w:rsidP="006D56AC">
      <w:pPr>
        <w:pStyle w:val="SingleTxt"/>
        <w:spacing w:after="0" w:line="120" w:lineRule="exact"/>
        <w:rPr>
          <w:sz w:val="10"/>
        </w:rPr>
      </w:pPr>
    </w:p>
    <w:p w:rsidR="00AD7633" w:rsidRDefault="00AD7633" w:rsidP="006D56A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7633">
        <w:tab/>
      </w:r>
      <w:r w:rsidRPr="00AD7633">
        <w:tab/>
        <w:t>Направление деятельности 2.b</w:t>
      </w:r>
      <w:r w:rsidRPr="00AD7633">
        <w:br/>
        <w:t>Тенденции и экономика транспорта: евро-азиатские транспортные связи</w:t>
      </w:r>
    </w:p>
    <w:p w:rsidR="006D56AC" w:rsidRPr="006D56AC" w:rsidRDefault="006D56AC" w:rsidP="006D56AC">
      <w:pPr>
        <w:pStyle w:val="SingleTxt"/>
        <w:spacing w:after="0" w:line="120" w:lineRule="exact"/>
        <w:rPr>
          <w:sz w:val="10"/>
        </w:rPr>
      </w:pPr>
    </w:p>
    <w:p w:rsidR="006D56AC" w:rsidRPr="006D56AC" w:rsidRDefault="006D56AC" w:rsidP="006D56AC">
      <w:pPr>
        <w:pStyle w:val="SingleTxt"/>
        <w:spacing w:after="0" w:line="120" w:lineRule="exact"/>
        <w:rPr>
          <w:sz w:val="10"/>
        </w:rPr>
      </w:pPr>
    </w:p>
    <w:p w:rsidR="00AD7633" w:rsidRDefault="00AD7633" w:rsidP="006D56A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7633">
        <w:tab/>
        <w:t>A.</w:t>
      </w:r>
      <w:r w:rsidRPr="00AD7633">
        <w:tab/>
        <w:t>Ожидаемое достижение (ОД 2.b)</w:t>
      </w:r>
    </w:p>
    <w:p w:rsidR="006D56AC" w:rsidRPr="006D56AC" w:rsidRDefault="006D56AC" w:rsidP="006D56AC">
      <w:pPr>
        <w:pStyle w:val="SingleTxt"/>
        <w:spacing w:after="0" w:line="120" w:lineRule="exact"/>
        <w:rPr>
          <w:sz w:val="10"/>
        </w:rPr>
      </w:pPr>
    </w:p>
    <w:p w:rsidR="006D56AC" w:rsidRPr="006D56AC" w:rsidRDefault="006D56AC" w:rsidP="006D56AC">
      <w:pPr>
        <w:pStyle w:val="SingleTxt"/>
        <w:spacing w:after="0" w:line="120" w:lineRule="exact"/>
        <w:rPr>
          <w:sz w:val="10"/>
        </w:rPr>
      </w:pPr>
    </w:p>
    <w:p w:rsidR="00AD7633" w:rsidRPr="00AD7633" w:rsidRDefault="00AD7633" w:rsidP="00AD7633">
      <w:pPr>
        <w:pStyle w:val="SingleTxt"/>
      </w:pPr>
      <w:r w:rsidRPr="00AD7633">
        <w:t>14.</w:t>
      </w:r>
      <w:r w:rsidRPr="00AD7633">
        <w:tab/>
        <w:t>Укрепление сотрудничества в сфере развития евро-азиатских транспортных связей.</w:t>
      </w:r>
    </w:p>
    <w:p w:rsidR="006D56AC" w:rsidRPr="006D56AC" w:rsidRDefault="006D56AC" w:rsidP="006D56AC">
      <w:pPr>
        <w:pStyle w:val="SingleTxt"/>
        <w:spacing w:after="0" w:line="120" w:lineRule="exact"/>
        <w:rPr>
          <w:b/>
          <w:sz w:val="10"/>
        </w:rPr>
      </w:pPr>
    </w:p>
    <w:p w:rsidR="006D56AC" w:rsidRPr="006D56AC" w:rsidRDefault="006D56AC" w:rsidP="006D56AC">
      <w:pPr>
        <w:pStyle w:val="SingleTxt"/>
        <w:spacing w:after="0" w:line="120" w:lineRule="exact"/>
        <w:rPr>
          <w:b/>
          <w:sz w:val="10"/>
        </w:rPr>
      </w:pPr>
    </w:p>
    <w:p w:rsidR="00AD7633" w:rsidRDefault="00AD7633" w:rsidP="006D56AC">
      <w:pPr>
        <w:pStyle w:val="H1"/>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7633">
        <w:lastRenderedPageBreak/>
        <w:tab/>
        <w:t>B.</w:t>
      </w:r>
      <w:r w:rsidRPr="00AD7633">
        <w:tab/>
        <w:t>Показатели достижения</w:t>
      </w:r>
    </w:p>
    <w:p w:rsidR="006D56AC" w:rsidRPr="006D56AC" w:rsidRDefault="006D56AC" w:rsidP="006D56AC">
      <w:pPr>
        <w:pStyle w:val="SingleTxt"/>
        <w:keepNext/>
        <w:keepLines/>
        <w:spacing w:after="0" w:line="120" w:lineRule="exact"/>
        <w:rPr>
          <w:sz w:val="10"/>
        </w:rPr>
      </w:pPr>
    </w:p>
    <w:p w:rsidR="006D56AC" w:rsidRPr="006D56AC" w:rsidRDefault="006D56AC" w:rsidP="006D56AC">
      <w:pPr>
        <w:pStyle w:val="SingleTxt"/>
        <w:keepNext/>
        <w:keepLines/>
        <w:spacing w:after="0" w:line="120" w:lineRule="exact"/>
        <w:rPr>
          <w:sz w:val="10"/>
        </w:rPr>
      </w:pPr>
    </w:p>
    <w:p w:rsidR="00AD7633" w:rsidRDefault="00AD7633" w:rsidP="006D56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7633">
        <w:tab/>
        <w:t>1.</w:t>
      </w:r>
      <w:r w:rsidRPr="00AD7633">
        <w:tab/>
        <w:t>Достигнутый прогресс в области создания механизма сотрудничества для</w:t>
      </w:r>
      <w:r w:rsidR="00C76D71">
        <w:t> </w:t>
      </w:r>
      <w:r w:rsidRPr="00AD7633">
        <w:t>развития евро-азиатских транспортных связей (ЕАТС) (ПД 2.b а))</w:t>
      </w:r>
    </w:p>
    <w:p w:rsidR="006D56AC" w:rsidRPr="006D56AC" w:rsidRDefault="006D56AC" w:rsidP="006D56AC">
      <w:pPr>
        <w:pStyle w:val="SingleTxt"/>
        <w:keepNext/>
        <w:keepLines/>
        <w:spacing w:after="0" w:line="120" w:lineRule="exact"/>
        <w:rPr>
          <w:sz w:val="10"/>
        </w:rPr>
      </w:pPr>
    </w:p>
    <w:p w:rsidR="00AD7633" w:rsidRDefault="00AD7633" w:rsidP="006D56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7633">
        <w:tab/>
      </w:r>
      <w:r w:rsidRPr="00AD7633">
        <w:tab/>
        <w:t>Показатели результативности:</w:t>
      </w:r>
    </w:p>
    <w:p w:rsidR="006D56AC" w:rsidRPr="006D56AC" w:rsidRDefault="006D56AC" w:rsidP="006D56AC">
      <w:pPr>
        <w:pStyle w:val="SingleTxt"/>
        <w:keepNext/>
        <w:keepLines/>
        <w:spacing w:after="0" w:line="120" w:lineRule="exact"/>
        <w:rPr>
          <w:sz w:val="10"/>
        </w:rPr>
      </w:pPr>
    </w:p>
    <w:p w:rsidR="00AD7633" w:rsidRPr="00AD7633" w:rsidRDefault="00AD7633" w:rsidP="006D56AC">
      <w:pPr>
        <w:pStyle w:val="SingleTxt"/>
        <w:keepNext/>
        <w:keepLines/>
      </w:pPr>
      <w:r w:rsidRPr="00AD7633">
        <w:t>Исходные показатели за 2013 год: создание Группы экспертов по ЕАТС</w:t>
      </w:r>
      <w:r w:rsidR="006D56AC">
        <w:t>.</w:t>
      </w:r>
    </w:p>
    <w:p w:rsidR="00AD7633" w:rsidRPr="00AD7633" w:rsidRDefault="00AD7633" w:rsidP="00AD7633">
      <w:pPr>
        <w:pStyle w:val="SingleTxt"/>
      </w:pPr>
      <w:r w:rsidRPr="00AD7633">
        <w:t>Целевые показатели на 2014–2015 годы: реализация проекта на этапе III</w:t>
      </w:r>
      <w:r w:rsidR="006D56AC">
        <w:t>.</w:t>
      </w:r>
    </w:p>
    <w:p w:rsidR="00AD7633" w:rsidRDefault="00AD7633" w:rsidP="00AD7633">
      <w:pPr>
        <w:pStyle w:val="SingleTxt"/>
        <w:rPr>
          <w:b/>
          <w:bCs/>
        </w:rPr>
      </w:pPr>
      <w:r w:rsidRPr="00AD7633">
        <w:rPr>
          <w:b/>
          <w:bCs/>
        </w:rPr>
        <w:t>Фактические показатели за 2014–2015 годы: переход к этапу III и реализ</w:t>
      </w:r>
      <w:r w:rsidRPr="00AD7633">
        <w:rPr>
          <w:b/>
          <w:bCs/>
        </w:rPr>
        <w:t>а</w:t>
      </w:r>
      <w:r w:rsidRPr="00AD7633">
        <w:rPr>
          <w:b/>
          <w:bCs/>
        </w:rPr>
        <w:t>ция проекта на этапе III</w:t>
      </w:r>
      <w:r w:rsidR="006D56AC">
        <w:rPr>
          <w:b/>
          <w:bCs/>
        </w:rPr>
        <w:t>.</w:t>
      </w:r>
    </w:p>
    <w:p w:rsidR="006D56AC" w:rsidRPr="006D56AC" w:rsidRDefault="006D56AC" w:rsidP="006D56AC">
      <w:pPr>
        <w:pStyle w:val="SingleTxt"/>
        <w:spacing w:after="0" w:line="120" w:lineRule="exact"/>
        <w:rPr>
          <w:b/>
          <w:bCs/>
          <w:sz w:val="10"/>
        </w:rPr>
      </w:pPr>
    </w:p>
    <w:p w:rsidR="006D56AC" w:rsidRPr="006D56AC" w:rsidRDefault="006D56AC" w:rsidP="006D56AC">
      <w:pPr>
        <w:pStyle w:val="SingleTxt"/>
        <w:spacing w:after="0" w:line="120" w:lineRule="exact"/>
        <w:rPr>
          <w:b/>
          <w:bCs/>
          <w:sz w:val="10"/>
        </w:rPr>
      </w:pPr>
    </w:p>
    <w:p w:rsidR="00AD7633" w:rsidRDefault="00AD7633" w:rsidP="006D56A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7633">
        <w:tab/>
        <w:t>C.</w:t>
      </w:r>
      <w:r w:rsidRPr="00AD7633">
        <w:tab/>
        <w:t>Оценка результативности</w:t>
      </w:r>
    </w:p>
    <w:p w:rsidR="006D56AC" w:rsidRPr="006D56AC" w:rsidRDefault="006D56AC" w:rsidP="006D56AC">
      <w:pPr>
        <w:pStyle w:val="SingleTxt"/>
        <w:spacing w:after="0" w:line="120" w:lineRule="exact"/>
        <w:rPr>
          <w:sz w:val="10"/>
        </w:rPr>
      </w:pPr>
    </w:p>
    <w:p w:rsidR="006D56AC" w:rsidRPr="006D56AC" w:rsidRDefault="006D56AC" w:rsidP="006D56AC">
      <w:pPr>
        <w:pStyle w:val="SingleTxt"/>
        <w:spacing w:after="0" w:line="120" w:lineRule="exact"/>
        <w:rPr>
          <w:sz w:val="10"/>
        </w:rPr>
      </w:pPr>
    </w:p>
    <w:p w:rsidR="00AD7633" w:rsidRPr="00AD7633" w:rsidRDefault="00AD7633" w:rsidP="00AD7633">
      <w:pPr>
        <w:pStyle w:val="SingleTxt"/>
      </w:pPr>
      <w:r w:rsidRPr="00AD7633">
        <w:t>15.</w:t>
      </w:r>
      <w:r w:rsidRPr="00AD7633">
        <w:tab/>
        <w:t xml:space="preserve">Второе Совещание министров стран-участниц ЕАТС было проведено 26 февраля 2013 года и положило начало </w:t>
      </w:r>
      <w:r w:rsidR="006D56AC">
        <w:t>этапу III ЕАТС (2013−2015 годы),</w:t>
      </w:r>
      <w:r w:rsidRPr="00AD7633">
        <w:t xml:space="preserve"> цель </w:t>
      </w:r>
      <w:r w:rsidR="006D56AC">
        <w:t xml:space="preserve">которого </w:t>
      </w:r>
      <w:r w:rsidRPr="00AD7633">
        <w:t xml:space="preserve">состоит в </w:t>
      </w:r>
      <w:proofErr w:type="spellStart"/>
      <w:r w:rsidRPr="00AD7633">
        <w:t>операционализации</w:t>
      </w:r>
      <w:proofErr w:type="spellEnd"/>
      <w:r w:rsidRPr="00AD7633">
        <w:t xml:space="preserve"> выбранных маршрутов ЕАТС. Группа экспертов по ЕАТС определила грузы, которые могут перевозиться по суше. </w:t>
      </w:r>
      <w:r w:rsidR="006D56AC">
        <w:t>Речь идет о</w:t>
      </w:r>
      <w:r w:rsidRPr="00AD7633">
        <w:t xml:space="preserve"> груз</w:t>
      </w:r>
      <w:r w:rsidR="006D56AC">
        <w:t>ах</w:t>
      </w:r>
      <w:r w:rsidRPr="00AD7633">
        <w:t xml:space="preserve">, которые </w:t>
      </w:r>
      <w:r w:rsidR="003473EA">
        <w:t>могут</w:t>
      </w:r>
      <w:r w:rsidRPr="00AD7633">
        <w:t xml:space="preserve"> </w:t>
      </w:r>
      <w:r w:rsidR="003473EA">
        <w:t>перевозиться</w:t>
      </w:r>
      <w:r w:rsidRPr="00AD7633">
        <w:t xml:space="preserve"> в контейнерах, имеют относительно высокую стоимость и должны быть оперативно доставлены в место назначения. Продолжается работа над вопросами, связанными с графиками и затратами для маршрутов ЕАТС. </w:t>
      </w:r>
      <w:r w:rsidR="006D56AC">
        <w:t>Это же касается и снятия</w:t>
      </w:r>
      <w:r w:rsidRPr="00AD7633">
        <w:t xml:space="preserve"> искусственных барьеров для перев</w:t>
      </w:r>
      <w:r w:rsidRPr="00AD7633">
        <w:t>о</w:t>
      </w:r>
      <w:r w:rsidRPr="00AD7633">
        <w:t>зок и торговли.</w:t>
      </w:r>
    </w:p>
    <w:p w:rsidR="00AD7633" w:rsidRPr="00AD7633" w:rsidRDefault="00AD7633" w:rsidP="00AD7633">
      <w:pPr>
        <w:pStyle w:val="SingleTxt"/>
      </w:pPr>
      <w:r w:rsidRPr="00AD7633">
        <w:t>16.</w:t>
      </w:r>
      <w:r w:rsidRPr="00AD7633">
        <w:tab/>
      </w:r>
      <w:r w:rsidR="006D56AC">
        <w:t>Такие м</w:t>
      </w:r>
      <w:r w:rsidRPr="00AD7633">
        <w:t xml:space="preserve">еждународные межправительственные организации, </w:t>
      </w:r>
      <w:r w:rsidR="006D56AC">
        <w:t>как</w:t>
      </w:r>
      <w:r w:rsidRPr="00AD7633">
        <w:t xml:space="preserve"> Организ</w:t>
      </w:r>
      <w:r w:rsidRPr="00AD7633">
        <w:t>а</w:t>
      </w:r>
      <w:r w:rsidRPr="00AD7633">
        <w:t>ция по безопасности и сотрудничеству в Европе (ОБСЕ), Тюркский совет и ОСЖД, принимали активное участие в совещаниях экспертов</w:t>
      </w:r>
      <w:r w:rsidR="006D56AC">
        <w:t>, которые</w:t>
      </w:r>
      <w:r w:rsidRPr="00AD7633">
        <w:t xml:space="preserve"> послуж</w:t>
      </w:r>
      <w:r w:rsidRPr="00AD7633">
        <w:t>и</w:t>
      </w:r>
      <w:r w:rsidRPr="00AD7633">
        <w:t>ли платформой для более активного привлечения их стран-членов и распростр</w:t>
      </w:r>
      <w:r w:rsidRPr="00AD7633">
        <w:t>а</w:t>
      </w:r>
      <w:r w:rsidRPr="00AD7633">
        <w:t>нения информации, собранной в процессе реализации проекта ЕАТС. Греческий институт транспорта также внес вклад в работу Группы экспертов по ЕАТС.</w:t>
      </w:r>
    </w:p>
    <w:p w:rsidR="00AD7633" w:rsidRPr="00AD7633" w:rsidRDefault="00AD7633" w:rsidP="00AD7633">
      <w:pPr>
        <w:pStyle w:val="SingleTxt"/>
      </w:pPr>
      <w:r w:rsidRPr="00AD7633">
        <w:t>17.</w:t>
      </w:r>
      <w:r w:rsidRPr="00AD7633">
        <w:tab/>
        <w:t>Разнообразие и объем работы Группы экспертов по ЕАТС были таковы, что она оказалась не в состоянии выполнить возложенную на нее задачу в устано</w:t>
      </w:r>
      <w:r w:rsidRPr="00AD7633">
        <w:t>в</w:t>
      </w:r>
      <w:r w:rsidRPr="00AD7633">
        <w:t>ленный срок (2013–2015 годы). Группа обратилась с просьбой о продлении ее мандата сроком еще на один год. В настоящее время в этой связи принимаются соответствующие административные меры. Ожидается, что просьба о продлении мандата на один год будет в официальном порядке удовлетворена весной 2016</w:t>
      </w:r>
      <w:r w:rsidR="003473EA">
        <w:t> </w:t>
      </w:r>
      <w:r w:rsidRPr="00AD7633">
        <w:t xml:space="preserve">года после </w:t>
      </w:r>
      <w:r w:rsidR="006D56AC">
        <w:t xml:space="preserve">ее </w:t>
      </w:r>
      <w:r w:rsidRPr="00AD7633">
        <w:t>одобрения Исполнительным комитетом и КВТ.</w:t>
      </w:r>
    </w:p>
    <w:p w:rsidR="00AD7633" w:rsidRDefault="00AD7633" w:rsidP="00AD7633">
      <w:pPr>
        <w:pStyle w:val="SingleTxt"/>
      </w:pPr>
      <w:r w:rsidRPr="00AD7633">
        <w:t>18.</w:t>
      </w:r>
      <w:r w:rsidRPr="00AD7633">
        <w:tab/>
        <w:t>В ожидании официального продления мандата Группа экспертов по ЕАТС продолжила свою работу на неофициальной основе. Тюркский совет организовал первое неофициально</w:t>
      </w:r>
      <w:r w:rsidR="006D56AC">
        <w:t xml:space="preserve">е совещание Группы (Стамбул, 20 и </w:t>
      </w:r>
      <w:r w:rsidRPr="00AD7633">
        <w:t>21 октября 2015 года), а ОБСЕ выступит принимающей стороной второго неофициального совещания (Вена, 2</w:t>
      </w:r>
      <w:r w:rsidR="006D56AC">
        <w:t xml:space="preserve"> и </w:t>
      </w:r>
      <w:r w:rsidRPr="00AD7633">
        <w:t>3 февраля 2016 года).</w:t>
      </w:r>
    </w:p>
    <w:p w:rsidR="006D56AC" w:rsidRPr="006D56AC" w:rsidRDefault="006D56AC" w:rsidP="006D56AC">
      <w:pPr>
        <w:pStyle w:val="SingleTxt"/>
        <w:spacing w:after="0" w:line="120" w:lineRule="exact"/>
        <w:rPr>
          <w:sz w:val="10"/>
        </w:rPr>
      </w:pPr>
    </w:p>
    <w:p w:rsidR="006D56AC" w:rsidRPr="006D56AC" w:rsidRDefault="006D56AC" w:rsidP="006D56AC">
      <w:pPr>
        <w:pStyle w:val="SingleTxt"/>
        <w:spacing w:after="0" w:line="120" w:lineRule="exact"/>
        <w:rPr>
          <w:sz w:val="10"/>
        </w:rPr>
      </w:pPr>
    </w:p>
    <w:p w:rsidR="00AD7633" w:rsidRDefault="00AD7633" w:rsidP="006D56A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7633">
        <w:tab/>
        <w:t>D.</w:t>
      </w:r>
      <w:r w:rsidRPr="00AD7633">
        <w:tab/>
        <w:t>Извлеченные уроки/области, в которых необходимы улучшения</w:t>
      </w:r>
    </w:p>
    <w:p w:rsidR="006D56AC" w:rsidRPr="006D56AC" w:rsidRDefault="006D56AC" w:rsidP="006D56AC">
      <w:pPr>
        <w:pStyle w:val="SingleTxt"/>
        <w:spacing w:after="0" w:line="120" w:lineRule="exact"/>
        <w:rPr>
          <w:sz w:val="10"/>
        </w:rPr>
      </w:pPr>
    </w:p>
    <w:p w:rsidR="006D56AC" w:rsidRPr="006D56AC" w:rsidRDefault="006D56AC" w:rsidP="006D56AC">
      <w:pPr>
        <w:pStyle w:val="SingleTxt"/>
        <w:spacing w:after="0" w:line="120" w:lineRule="exact"/>
        <w:rPr>
          <w:sz w:val="10"/>
        </w:rPr>
      </w:pPr>
    </w:p>
    <w:p w:rsidR="00AD7633" w:rsidRPr="00AD7633" w:rsidRDefault="00AD7633" w:rsidP="00AD7633">
      <w:pPr>
        <w:pStyle w:val="SingleTxt"/>
      </w:pPr>
      <w:r w:rsidRPr="00AD7633">
        <w:t>19.</w:t>
      </w:r>
      <w:r w:rsidRPr="00AD7633">
        <w:tab/>
        <w:t xml:space="preserve">Проект ЕАТС привлекает к себе все больший интерес и находит поддержку со стороны </w:t>
      </w:r>
      <w:r w:rsidR="00525C9E">
        <w:t>некоторых</w:t>
      </w:r>
      <w:r w:rsidRPr="00AD7633">
        <w:t xml:space="preserve"> международных межправительственных организаций. Это способствовало повышению осведомленности об этом проекте и отдачи от него. Проект ЕАТС реализуется за счет внебюджетных средств. Средства для участия делегатов от стран СНГ были предоставлены правительством Российской Фед</w:t>
      </w:r>
      <w:r w:rsidRPr="00AD7633">
        <w:t>е</w:t>
      </w:r>
      <w:r w:rsidRPr="00AD7633">
        <w:t>рации. Хотя реализация проекта ЕАТС в той его части, которая связана с геогр</w:t>
      </w:r>
      <w:r w:rsidRPr="00AD7633">
        <w:t>а</w:t>
      </w:r>
      <w:r w:rsidRPr="00AD7633">
        <w:t>фической информационной системой (ГИС), представляет важное достижение и</w:t>
      </w:r>
      <w:r w:rsidR="00E15401">
        <w:t>,</w:t>
      </w:r>
      <w:r w:rsidRPr="00AD7633">
        <w:t xml:space="preserve"> несмотря на </w:t>
      </w:r>
      <w:r w:rsidR="00525C9E">
        <w:t>потребность</w:t>
      </w:r>
      <w:r w:rsidRPr="00AD7633">
        <w:t xml:space="preserve"> в этой системе и спрос на нее, дальнейшая работа в </w:t>
      </w:r>
      <w:r w:rsidRPr="00AD7633">
        <w:lastRenderedPageBreak/>
        <w:t xml:space="preserve">этой области не </w:t>
      </w:r>
      <w:r w:rsidR="00525C9E">
        <w:t>проводилась</w:t>
      </w:r>
      <w:r w:rsidRPr="00AD7633">
        <w:t xml:space="preserve"> из-за нехватки финансовых ресурсов. Для продо</w:t>
      </w:r>
      <w:r w:rsidRPr="00AD7633">
        <w:t>л</w:t>
      </w:r>
      <w:r w:rsidRPr="00AD7633">
        <w:t>жения работы над частью проекта ЕАТС, связанной с ГИС, необходима поддер</w:t>
      </w:r>
      <w:r w:rsidRPr="00AD7633">
        <w:t>ж</w:t>
      </w:r>
      <w:r w:rsidRPr="00AD7633">
        <w:t xml:space="preserve">ка спонсоров. </w:t>
      </w:r>
    </w:p>
    <w:p w:rsidR="00AD7633" w:rsidRDefault="00AD7633" w:rsidP="00AD7633">
      <w:pPr>
        <w:pStyle w:val="SingleTxt"/>
      </w:pPr>
      <w:r w:rsidRPr="00AD7633">
        <w:t>20.</w:t>
      </w:r>
      <w:r w:rsidRPr="00AD7633">
        <w:tab/>
        <w:t xml:space="preserve">Деятельность Группы экспертов опирается на результаты </w:t>
      </w:r>
      <w:r w:rsidR="00525C9E">
        <w:t>текущих</w:t>
      </w:r>
      <w:r w:rsidRPr="00AD7633">
        <w:t xml:space="preserve"> и буд</w:t>
      </w:r>
      <w:r w:rsidRPr="00AD7633">
        <w:t>у</w:t>
      </w:r>
      <w:r w:rsidRPr="00AD7633">
        <w:t xml:space="preserve">щих исследований, проводимых </w:t>
      </w:r>
      <w:r w:rsidR="00525C9E">
        <w:t>соответствующими</w:t>
      </w:r>
      <w:r w:rsidRPr="00AD7633">
        <w:t xml:space="preserve"> научно-исследовательскими учреждениями. Ожидается, что продление мандата сроком еще на один год по</w:t>
      </w:r>
      <w:r w:rsidRPr="00AD7633">
        <w:t>з</w:t>
      </w:r>
      <w:r w:rsidRPr="00AD7633">
        <w:t>волит завершить работу по этапу III проекта ЕАТС.</w:t>
      </w:r>
    </w:p>
    <w:p w:rsidR="00525C9E" w:rsidRPr="00525C9E" w:rsidRDefault="00525C9E" w:rsidP="00525C9E">
      <w:pPr>
        <w:pStyle w:val="SingleTxt"/>
        <w:spacing w:after="0" w:line="120" w:lineRule="exact"/>
        <w:rPr>
          <w:sz w:val="10"/>
        </w:rPr>
      </w:pPr>
    </w:p>
    <w:p w:rsidR="00525C9E" w:rsidRPr="00525C9E" w:rsidRDefault="00525C9E" w:rsidP="00525C9E">
      <w:pPr>
        <w:pStyle w:val="SingleTxt"/>
        <w:spacing w:after="0" w:line="120" w:lineRule="exact"/>
        <w:rPr>
          <w:sz w:val="10"/>
        </w:rPr>
      </w:pPr>
    </w:p>
    <w:p w:rsidR="00AD7633" w:rsidRDefault="00AD7633" w:rsidP="00525C9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7633">
        <w:tab/>
      </w:r>
      <w:r w:rsidRPr="00AD7633">
        <w:tab/>
        <w:t>Направление деятельности 3</w:t>
      </w:r>
      <w:r w:rsidRPr="00AD7633">
        <w:br/>
        <w:t>Согласование правил в области транспортных средств</w:t>
      </w:r>
    </w:p>
    <w:p w:rsidR="00525C9E" w:rsidRPr="00525C9E" w:rsidRDefault="00525C9E" w:rsidP="00525C9E">
      <w:pPr>
        <w:pStyle w:val="SingleTxt"/>
        <w:spacing w:after="0" w:line="120" w:lineRule="exact"/>
        <w:rPr>
          <w:sz w:val="10"/>
        </w:rPr>
      </w:pPr>
    </w:p>
    <w:p w:rsidR="00525C9E" w:rsidRPr="00525C9E" w:rsidRDefault="00525C9E" w:rsidP="00525C9E">
      <w:pPr>
        <w:pStyle w:val="SingleTxt"/>
        <w:spacing w:after="0" w:line="120" w:lineRule="exact"/>
        <w:rPr>
          <w:sz w:val="10"/>
        </w:rPr>
      </w:pPr>
    </w:p>
    <w:p w:rsidR="00AD7633" w:rsidRDefault="00AD7633" w:rsidP="00525C9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7633">
        <w:tab/>
        <w:t>A.</w:t>
      </w:r>
      <w:r w:rsidRPr="00AD7633">
        <w:tab/>
        <w:t>Ожидаемое достижение (ОД 3.)</w:t>
      </w:r>
    </w:p>
    <w:p w:rsidR="00525C9E" w:rsidRPr="00525C9E" w:rsidRDefault="00525C9E" w:rsidP="00525C9E">
      <w:pPr>
        <w:pStyle w:val="SingleTxt"/>
        <w:spacing w:after="0" w:line="120" w:lineRule="exact"/>
        <w:rPr>
          <w:sz w:val="10"/>
        </w:rPr>
      </w:pPr>
    </w:p>
    <w:p w:rsidR="00525C9E" w:rsidRPr="00525C9E" w:rsidRDefault="00525C9E" w:rsidP="00525C9E">
      <w:pPr>
        <w:pStyle w:val="SingleTxt"/>
        <w:spacing w:after="0" w:line="120" w:lineRule="exact"/>
        <w:rPr>
          <w:sz w:val="10"/>
        </w:rPr>
      </w:pPr>
    </w:p>
    <w:p w:rsidR="00AD7633" w:rsidRDefault="00AD7633" w:rsidP="00AD7633">
      <w:pPr>
        <w:pStyle w:val="SingleTxt"/>
      </w:pPr>
      <w:r w:rsidRPr="00AD7633">
        <w:t>21.</w:t>
      </w:r>
      <w:r w:rsidRPr="00AD7633">
        <w:tab/>
      </w:r>
      <w:r w:rsidR="00525C9E">
        <w:t>Разработка</w:t>
      </w:r>
      <w:r w:rsidRPr="00AD7633">
        <w:t xml:space="preserve"> новых правил и поправок к существующим правилам для тран</w:t>
      </w:r>
      <w:r w:rsidRPr="00AD7633">
        <w:t>с</w:t>
      </w:r>
      <w:r w:rsidRPr="00AD7633">
        <w:t xml:space="preserve">портных средств в целях повышения их безопасности и </w:t>
      </w:r>
      <w:proofErr w:type="spellStart"/>
      <w:r w:rsidRPr="00AD7633">
        <w:t>экологичности</w:t>
      </w:r>
      <w:proofErr w:type="spellEnd"/>
      <w:r w:rsidR="00525C9E">
        <w:t>.</w:t>
      </w:r>
    </w:p>
    <w:p w:rsidR="00525C9E" w:rsidRPr="00525C9E" w:rsidRDefault="00525C9E" w:rsidP="00525C9E">
      <w:pPr>
        <w:pStyle w:val="SingleTxt"/>
        <w:spacing w:after="0" w:line="120" w:lineRule="exact"/>
        <w:rPr>
          <w:sz w:val="10"/>
        </w:rPr>
      </w:pPr>
    </w:p>
    <w:p w:rsidR="00525C9E" w:rsidRPr="00525C9E" w:rsidRDefault="00525C9E" w:rsidP="00525C9E">
      <w:pPr>
        <w:pStyle w:val="SingleTxt"/>
        <w:spacing w:after="0" w:line="120" w:lineRule="exact"/>
        <w:rPr>
          <w:sz w:val="10"/>
        </w:rPr>
      </w:pPr>
    </w:p>
    <w:p w:rsidR="00AD7633" w:rsidRDefault="00AD7633" w:rsidP="00525C9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7633">
        <w:tab/>
        <w:t>B.</w:t>
      </w:r>
      <w:r w:rsidRPr="00AD7633">
        <w:tab/>
        <w:t>Показатели достижения</w:t>
      </w:r>
    </w:p>
    <w:p w:rsidR="00525C9E" w:rsidRPr="00525C9E" w:rsidRDefault="00525C9E" w:rsidP="00525C9E">
      <w:pPr>
        <w:pStyle w:val="SingleTxt"/>
        <w:spacing w:after="0" w:line="120" w:lineRule="exact"/>
        <w:rPr>
          <w:sz w:val="10"/>
        </w:rPr>
      </w:pPr>
    </w:p>
    <w:p w:rsidR="00525C9E" w:rsidRPr="00525C9E" w:rsidRDefault="00525C9E" w:rsidP="00525C9E">
      <w:pPr>
        <w:pStyle w:val="SingleTxt"/>
        <w:spacing w:after="0" w:line="120" w:lineRule="exact"/>
        <w:rPr>
          <w:sz w:val="10"/>
        </w:rPr>
      </w:pPr>
    </w:p>
    <w:p w:rsidR="00AD7633" w:rsidRPr="00AD7633" w:rsidRDefault="00AD7633" w:rsidP="00525C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7633">
        <w:tab/>
        <w:t>1.</w:t>
      </w:r>
      <w:r w:rsidRPr="00AD7633">
        <w:tab/>
        <w:t>Принятие новых правил в области транспортных средств (правил ООН и</w:t>
      </w:r>
      <w:r w:rsidR="003473EA">
        <w:t xml:space="preserve"> </w:t>
      </w:r>
      <w:r w:rsidRPr="00AD7633">
        <w:t>ГТП ООН) и предписаний ООН, а также принятие поправок к ним (ПД 3. a))</w:t>
      </w:r>
    </w:p>
    <w:p w:rsidR="00525C9E" w:rsidRPr="00525C9E" w:rsidRDefault="00525C9E" w:rsidP="00525C9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AD7633" w:rsidRDefault="00525C9E" w:rsidP="00525C9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AD7633" w:rsidRPr="00AD7633">
        <w:tab/>
        <w:t>Показатели результативности:</w:t>
      </w:r>
    </w:p>
    <w:p w:rsidR="00525C9E" w:rsidRPr="00525C9E" w:rsidRDefault="00525C9E" w:rsidP="00525C9E">
      <w:pPr>
        <w:pStyle w:val="SingleTxt"/>
        <w:spacing w:after="0" w:line="120" w:lineRule="exact"/>
        <w:rPr>
          <w:sz w:val="10"/>
        </w:rPr>
      </w:pPr>
    </w:p>
    <w:p w:rsidR="00AD7633" w:rsidRPr="00AD7633" w:rsidRDefault="00AD7633" w:rsidP="00AD7633">
      <w:pPr>
        <w:pStyle w:val="SingleTxt"/>
      </w:pPr>
      <w:r w:rsidRPr="00AD7633">
        <w:t>Исходные показатели за 2012–2013 го</w:t>
      </w:r>
      <w:r w:rsidR="00525C9E">
        <w:t>ды: 214 поправок и новых правил.</w:t>
      </w:r>
    </w:p>
    <w:p w:rsidR="00AD7633" w:rsidRPr="00AD7633" w:rsidRDefault="00AD7633" w:rsidP="00AD7633">
      <w:pPr>
        <w:pStyle w:val="SingleTxt"/>
      </w:pPr>
      <w:r w:rsidRPr="00AD7633">
        <w:t>Целевые показатели на 2014–2015 годы: 100 поправок и новых правил</w:t>
      </w:r>
      <w:r w:rsidR="00525C9E">
        <w:t>.</w:t>
      </w:r>
    </w:p>
    <w:p w:rsidR="00AD7633" w:rsidRDefault="00AD7633" w:rsidP="00AD7633">
      <w:pPr>
        <w:pStyle w:val="SingleTxt"/>
        <w:rPr>
          <w:b/>
          <w:bCs/>
        </w:rPr>
      </w:pPr>
      <w:r w:rsidRPr="00AD7633">
        <w:rPr>
          <w:b/>
          <w:bCs/>
        </w:rPr>
        <w:t>Фактические показатели за 2014–2015 годы: приняты 161 поправка и новое правило</w:t>
      </w:r>
      <w:r w:rsidR="00525C9E">
        <w:rPr>
          <w:b/>
          <w:bCs/>
        </w:rPr>
        <w:t>.</w:t>
      </w:r>
    </w:p>
    <w:p w:rsidR="00525C9E" w:rsidRPr="00525C9E" w:rsidRDefault="00525C9E" w:rsidP="00525C9E">
      <w:pPr>
        <w:pStyle w:val="SingleTxt"/>
        <w:spacing w:after="0" w:line="120" w:lineRule="exact"/>
        <w:rPr>
          <w:b/>
          <w:bCs/>
          <w:sz w:val="10"/>
        </w:rPr>
      </w:pPr>
    </w:p>
    <w:p w:rsidR="00AD7633" w:rsidRDefault="00AD7633" w:rsidP="00525C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7633">
        <w:tab/>
        <w:t>2.</w:t>
      </w:r>
      <w:r w:rsidRPr="00AD7633">
        <w:tab/>
        <w:t>Публикация на тему «Защитные шлемы для водителей мотоциклов» и</w:t>
      </w:r>
      <w:r w:rsidR="00525C9E">
        <w:t> </w:t>
      </w:r>
      <w:r w:rsidRPr="00AD7633">
        <w:t>брошюры по детским удерживающим системам (ДУС) (ПД 3. b))</w:t>
      </w:r>
    </w:p>
    <w:p w:rsidR="00525C9E" w:rsidRPr="00525C9E" w:rsidRDefault="00525C9E" w:rsidP="00525C9E">
      <w:pPr>
        <w:pStyle w:val="SingleTxt"/>
        <w:spacing w:after="0" w:line="120" w:lineRule="exact"/>
        <w:rPr>
          <w:sz w:val="10"/>
        </w:rPr>
      </w:pPr>
    </w:p>
    <w:p w:rsidR="00AD7633" w:rsidRDefault="00AD7633" w:rsidP="00525C9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7633">
        <w:tab/>
      </w:r>
      <w:r w:rsidRPr="00AD7633">
        <w:tab/>
        <w:t>Показатели результативности:</w:t>
      </w:r>
    </w:p>
    <w:p w:rsidR="00525C9E" w:rsidRPr="00525C9E" w:rsidRDefault="00525C9E" w:rsidP="00525C9E">
      <w:pPr>
        <w:pStyle w:val="SingleTxt"/>
        <w:spacing w:after="0" w:line="120" w:lineRule="exact"/>
        <w:rPr>
          <w:sz w:val="10"/>
        </w:rPr>
      </w:pPr>
    </w:p>
    <w:p w:rsidR="00AD7633" w:rsidRPr="00AD7633" w:rsidRDefault="00AD7633" w:rsidP="00AD7633">
      <w:pPr>
        <w:pStyle w:val="SingleTxt"/>
      </w:pPr>
      <w:r w:rsidRPr="00AD7633">
        <w:t xml:space="preserve">Исходные показатели за 2012−2013 годы: </w:t>
      </w:r>
      <w:r w:rsidR="00E15401">
        <w:t>1</w:t>
      </w:r>
      <w:r w:rsidRPr="00AD7633">
        <w:t xml:space="preserve"> публикация по WP.29</w:t>
      </w:r>
      <w:r w:rsidR="00525C9E">
        <w:t>.</w:t>
      </w:r>
    </w:p>
    <w:p w:rsidR="00AD7633" w:rsidRPr="00AD7633" w:rsidRDefault="00AD7633" w:rsidP="00AD7633">
      <w:pPr>
        <w:pStyle w:val="SingleTxt"/>
      </w:pPr>
      <w:r w:rsidRPr="00AD7633">
        <w:t xml:space="preserve">Целевые показатели на 2014−2015 годы: </w:t>
      </w:r>
      <w:r w:rsidR="00E15401">
        <w:t>1</w:t>
      </w:r>
      <w:r w:rsidRPr="00AD7633">
        <w:t xml:space="preserve"> публикация по шлемам и </w:t>
      </w:r>
      <w:r w:rsidR="00E15401">
        <w:t>1</w:t>
      </w:r>
      <w:r w:rsidRPr="00AD7633">
        <w:t xml:space="preserve"> брошюра по ДУС</w:t>
      </w:r>
      <w:r w:rsidR="00525C9E">
        <w:t>.</w:t>
      </w:r>
    </w:p>
    <w:p w:rsidR="00AD7633" w:rsidRDefault="00AD7633" w:rsidP="00AD7633">
      <w:pPr>
        <w:pStyle w:val="SingleTxt"/>
        <w:rPr>
          <w:b/>
          <w:bCs/>
        </w:rPr>
      </w:pPr>
      <w:r w:rsidRPr="00AD7633">
        <w:rPr>
          <w:b/>
          <w:bCs/>
        </w:rPr>
        <w:t xml:space="preserve">Фактические показатели за 2014–2015 годы: </w:t>
      </w:r>
      <w:r w:rsidR="00E15401">
        <w:rPr>
          <w:b/>
          <w:bCs/>
        </w:rPr>
        <w:t>1</w:t>
      </w:r>
      <w:r w:rsidRPr="00AD7633">
        <w:rPr>
          <w:b/>
          <w:bCs/>
        </w:rPr>
        <w:t xml:space="preserve"> публикация по теме «Защи</w:t>
      </w:r>
      <w:r w:rsidRPr="00AD7633">
        <w:rPr>
          <w:b/>
          <w:bCs/>
        </w:rPr>
        <w:t>т</w:t>
      </w:r>
      <w:r w:rsidRPr="00AD7633">
        <w:rPr>
          <w:b/>
          <w:bCs/>
        </w:rPr>
        <w:t>ные шлемы для водителей мотоциклов» и брошюра по детским удержива</w:t>
      </w:r>
      <w:r w:rsidRPr="00AD7633">
        <w:rPr>
          <w:b/>
          <w:bCs/>
        </w:rPr>
        <w:t>ю</w:t>
      </w:r>
      <w:r w:rsidRPr="00AD7633">
        <w:rPr>
          <w:b/>
          <w:bCs/>
        </w:rPr>
        <w:t>щим системам (ДУС)</w:t>
      </w:r>
      <w:r w:rsidR="00525C9E">
        <w:rPr>
          <w:b/>
          <w:bCs/>
        </w:rPr>
        <w:t>.</w:t>
      </w:r>
    </w:p>
    <w:p w:rsidR="00525C9E" w:rsidRPr="00525C9E" w:rsidRDefault="00525C9E" w:rsidP="00525C9E">
      <w:pPr>
        <w:pStyle w:val="SingleTxt"/>
        <w:spacing w:after="0" w:line="120" w:lineRule="exact"/>
        <w:rPr>
          <w:b/>
          <w:bCs/>
          <w:sz w:val="10"/>
        </w:rPr>
      </w:pPr>
    </w:p>
    <w:p w:rsidR="00525C9E" w:rsidRPr="00525C9E" w:rsidRDefault="00525C9E" w:rsidP="00525C9E">
      <w:pPr>
        <w:pStyle w:val="SingleTxt"/>
        <w:spacing w:after="0" w:line="120" w:lineRule="exact"/>
        <w:rPr>
          <w:b/>
          <w:bCs/>
          <w:sz w:val="10"/>
        </w:rPr>
      </w:pPr>
    </w:p>
    <w:p w:rsidR="00AD7633" w:rsidRDefault="00AD7633" w:rsidP="00525C9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7633">
        <w:tab/>
        <w:t>C.</w:t>
      </w:r>
      <w:r w:rsidRPr="00AD7633">
        <w:tab/>
        <w:t>Оценка результативности</w:t>
      </w:r>
    </w:p>
    <w:p w:rsidR="00525C9E" w:rsidRPr="00525C9E" w:rsidRDefault="00525C9E" w:rsidP="00525C9E">
      <w:pPr>
        <w:pStyle w:val="SingleTxt"/>
        <w:spacing w:after="0" w:line="120" w:lineRule="exact"/>
        <w:rPr>
          <w:sz w:val="10"/>
        </w:rPr>
      </w:pPr>
    </w:p>
    <w:p w:rsidR="00525C9E" w:rsidRPr="00525C9E" w:rsidRDefault="00525C9E" w:rsidP="00525C9E">
      <w:pPr>
        <w:pStyle w:val="SingleTxt"/>
        <w:spacing w:after="0" w:line="120" w:lineRule="exact"/>
        <w:rPr>
          <w:sz w:val="10"/>
        </w:rPr>
      </w:pPr>
    </w:p>
    <w:p w:rsidR="00AD7633" w:rsidRPr="00AD7633" w:rsidRDefault="00AD7633" w:rsidP="00AD7633">
      <w:pPr>
        <w:pStyle w:val="SingleTxt"/>
      </w:pPr>
      <w:r w:rsidRPr="00AD7633">
        <w:t>22.</w:t>
      </w:r>
      <w:r w:rsidRPr="00AD7633">
        <w:tab/>
        <w:t>Всемирный форум для согласования правил в области транспортных средств (WР.29) продолжил работу по обновлению правил в области транспор</w:t>
      </w:r>
      <w:r w:rsidRPr="00AD7633">
        <w:t>т</w:t>
      </w:r>
      <w:r w:rsidRPr="00AD7633">
        <w:t xml:space="preserve">ных средств в рамках соглашений 1958 и 1998 годов. В течение двухгодичного периода было принято </w:t>
      </w:r>
      <w:r w:rsidR="00525C9E">
        <w:t>четыре набора новых правил</w:t>
      </w:r>
      <w:r w:rsidRPr="00AD7633">
        <w:t xml:space="preserve"> Организации Объединенных Наций, прилагаемых к Соглашению 1958 года и призванных повысить безопа</w:t>
      </w:r>
      <w:r w:rsidRPr="00AD7633">
        <w:t>с</w:t>
      </w:r>
      <w:r w:rsidRPr="00AD7633">
        <w:t xml:space="preserve">ность и </w:t>
      </w:r>
      <w:proofErr w:type="spellStart"/>
      <w:r w:rsidRPr="00AD7633">
        <w:t>экологичность</w:t>
      </w:r>
      <w:proofErr w:type="spellEnd"/>
      <w:r w:rsidRPr="00AD7633">
        <w:t xml:space="preserve"> транспортных средств. Новые правила ООН, касающиеся транспортных средств, работающих на водороде и топливных элементах (ТСВТЭ), содержат требования о безопасной эксплуатации ТСВТЭ с учетом установленных на них систем хранения компримированного водорода. Новые правила ООН, касающиеся бокового удара о столб (БУС), содержат более жес</w:t>
      </w:r>
      <w:r w:rsidRPr="00AD7633">
        <w:t>т</w:t>
      </w:r>
      <w:r w:rsidRPr="00AD7633">
        <w:lastRenderedPageBreak/>
        <w:t>кие требования в отношении характеристик безопасности транспортных средств в случае бокового удара о столб. Новые правила ООН, касающиеся двухколесных транспортных средств, работающих на электрическом приводе – электрических транспортных средств категории L (ЭТС-L), – содержат требования о безопасной эксплуатации ЭТС-L с учетом установленных на них систем хранения электрич</w:t>
      </w:r>
      <w:r w:rsidRPr="00AD7633">
        <w:t>е</w:t>
      </w:r>
      <w:r w:rsidRPr="00AD7633">
        <w:t xml:space="preserve">ской энергии. И наконец, новые Правила ООН, касающиеся лобового удара, с </w:t>
      </w:r>
      <w:proofErr w:type="spellStart"/>
      <w:r w:rsidRPr="00AD7633">
        <w:t>уделением</w:t>
      </w:r>
      <w:proofErr w:type="spellEnd"/>
      <w:r w:rsidRPr="00AD7633">
        <w:t xml:space="preserve"> особого внимания удерживающей системе (ЛCУС), содержат более жесткие требования в отношении характеристик безопасности транспортных средств в случае лобового столкновения</w:t>
      </w:r>
      <w:r w:rsidR="00525C9E">
        <w:t xml:space="preserve"> о барьер безопасности со </w:t>
      </w:r>
      <w:r w:rsidR="003473EA">
        <w:t>стопроцен</w:t>
      </w:r>
      <w:r w:rsidR="003473EA">
        <w:t>т</w:t>
      </w:r>
      <w:r w:rsidR="00525C9E">
        <w:t>н</w:t>
      </w:r>
      <w:r w:rsidRPr="00AD7633">
        <w:t>ым перекрытием.</w:t>
      </w:r>
    </w:p>
    <w:p w:rsidR="00AD7633" w:rsidRPr="00AD7633" w:rsidRDefault="00AD7633" w:rsidP="00AD7633">
      <w:pPr>
        <w:pStyle w:val="SingleTxt"/>
      </w:pPr>
      <w:r w:rsidRPr="00AD7633">
        <w:t>23.</w:t>
      </w:r>
      <w:r w:rsidRPr="00AD7633">
        <w:tab/>
        <w:t>Было также принято два</w:t>
      </w:r>
      <w:r w:rsidR="00525C9E">
        <w:t xml:space="preserve"> набора</w:t>
      </w:r>
      <w:r w:rsidRPr="00AD7633">
        <w:t xml:space="preserve"> новых глобальных технических правил ООН (ГТП ООН). Новые ГТП ООН, касающиеся всемирных согласованных пр</w:t>
      </w:r>
      <w:r w:rsidRPr="00AD7633">
        <w:t>о</w:t>
      </w:r>
      <w:r w:rsidRPr="00AD7633">
        <w:t>цедур испытания транспортных средств малой грузоподъемности (ВПИМ), предусматривают более продолжительный переходный цикл испытаний и</w:t>
      </w:r>
      <w:r w:rsidR="00525C9E">
        <w:t>,</w:t>
      </w:r>
      <w:r w:rsidRPr="00AD7633">
        <w:t xml:space="preserve"> таким образом</w:t>
      </w:r>
      <w:r w:rsidR="00525C9E">
        <w:t>,</w:t>
      </w:r>
      <w:r w:rsidRPr="00AD7633">
        <w:t xml:space="preserve"> лучше соответствуют фактическим условиям вождения. ВПИМ обесп</w:t>
      </w:r>
      <w:r w:rsidRPr="00AD7633">
        <w:t>е</w:t>
      </w:r>
      <w:r w:rsidRPr="00AD7633">
        <w:t>чива</w:t>
      </w:r>
      <w:r w:rsidR="00525C9E">
        <w:t>ю</w:t>
      </w:r>
      <w:r w:rsidRPr="00AD7633">
        <w:t>т основу для проведения более реалистичных испытаний для определения уровня выбросов CO</w:t>
      </w:r>
      <w:r w:rsidRPr="00AD7633">
        <w:rPr>
          <w:vertAlign w:val="subscript"/>
        </w:rPr>
        <w:t>2</w:t>
      </w:r>
      <w:r w:rsidRPr="00AD7633">
        <w:t xml:space="preserve">, а также выбросов других токсичных веществ, в частности CO, </w:t>
      </w:r>
      <w:r w:rsidR="004B5410">
        <w:t>НС</w:t>
      </w:r>
      <w:r w:rsidRPr="00AD7633">
        <w:t xml:space="preserve"> и </w:t>
      </w:r>
      <w:proofErr w:type="spellStart"/>
      <w:r w:rsidRPr="00AD7633">
        <w:t>NO</w:t>
      </w:r>
      <w:r w:rsidRPr="00AD7633">
        <w:rPr>
          <w:vertAlign w:val="subscript"/>
        </w:rPr>
        <w:t>x</w:t>
      </w:r>
      <w:proofErr w:type="spellEnd"/>
      <w:r w:rsidRPr="00AD7633">
        <w:t>. Новые ГТП ООН, касающиеся шин, обеспечивают согласованную на гл</w:t>
      </w:r>
      <w:r w:rsidR="004B5410">
        <w:t xml:space="preserve">обальном уровне сертификацию и </w:t>
      </w:r>
      <w:proofErr w:type="spellStart"/>
      <w:r w:rsidRPr="00AD7633">
        <w:t>омологацию</w:t>
      </w:r>
      <w:proofErr w:type="spellEnd"/>
      <w:r w:rsidRPr="00AD7633">
        <w:t xml:space="preserve">. </w:t>
      </w:r>
    </w:p>
    <w:p w:rsidR="00AD7633" w:rsidRPr="00AD7633" w:rsidRDefault="00AD7633" w:rsidP="00AD7633">
      <w:pPr>
        <w:pStyle w:val="SingleTxt"/>
      </w:pPr>
      <w:r w:rsidRPr="00AD7633">
        <w:t>24.</w:t>
      </w:r>
      <w:r w:rsidRPr="00AD7633">
        <w:tab/>
        <w:t>В дополнение к этим новым правилам Всемирный форум принял 161 п</w:t>
      </w:r>
      <w:r w:rsidRPr="00AD7633">
        <w:t>о</w:t>
      </w:r>
      <w:r w:rsidRPr="00AD7633">
        <w:t xml:space="preserve">правку к существующим правилам, приведя их к наивысшему технологическому стандарту и установив более строгие ограничения для повышения безопасности и </w:t>
      </w:r>
      <w:proofErr w:type="spellStart"/>
      <w:r w:rsidRPr="00AD7633">
        <w:t>экологичности</w:t>
      </w:r>
      <w:proofErr w:type="spellEnd"/>
      <w:r w:rsidRPr="00AD7633">
        <w:t xml:space="preserve"> транспортных средств.</w:t>
      </w:r>
    </w:p>
    <w:p w:rsidR="00AD7633" w:rsidRPr="00AD7633" w:rsidRDefault="00AD7633" w:rsidP="00AD7633">
      <w:pPr>
        <w:pStyle w:val="SingleTxt"/>
      </w:pPr>
      <w:r w:rsidRPr="00AD7633">
        <w:t>25.</w:t>
      </w:r>
      <w:r w:rsidRPr="00AD7633">
        <w:tab/>
        <w:t>Всемирный форум WР.29 принял также Общую резолюцию № 2 (ОР.2) по соглашениям 1958 и 1998 годов, содержащую определения силовых установок транспортных средств (ОСУТС), необходимые для оценки соответствия коле</w:t>
      </w:r>
      <w:r w:rsidRPr="00AD7633">
        <w:t>с</w:t>
      </w:r>
      <w:r w:rsidRPr="00AD7633">
        <w:t>ных транспортных средств, предметов оборудования и частей техническим пре</w:t>
      </w:r>
      <w:r w:rsidRPr="00AD7633">
        <w:t>д</w:t>
      </w:r>
      <w:r w:rsidRPr="00AD7633">
        <w:t>писаниям, указанным в правилах ООН и глобальных технических правилах ООН.</w:t>
      </w:r>
    </w:p>
    <w:p w:rsidR="00AD7633" w:rsidRPr="00AD7633" w:rsidRDefault="00AD7633" w:rsidP="00AD7633">
      <w:pPr>
        <w:pStyle w:val="SingleTxt"/>
      </w:pPr>
      <w:r w:rsidRPr="00AD7633">
        <w:t>26.</w:t>
      </w:r>
      <w:r w:rsidRPr="00AD7633">
        <w:tab/>
        <w:t>WP.29 также утвердил наименования для различных типов сельскохозя</w:t>
      </w:r>
      <w:r w:rsidRPr="00AD7633">
        <w:t>й</w:t>
      </w:r>
      <w:r w:rsidRPr="00AD7633">
        <w:t>ственных транспортных средств и требования к качеству топлива. Эти принц</w:t>
      </w:r>
      <w:r w:rsidRPr="00AD7633">
        <w:t>и</w:t>
      </w:r>
      <w:r w:rsidRPr="00AD7633">
        <w:t xml:space="preserve">пы, закрепленные в Сводной резолюции о конструкции транспортных средств (СР.3), </w:t>
      </w:r>
      <w:r w:rsidR="004B5410">
        <w:t>должны быть</w:t>
      </w:r>
      <w:r w:rsidRPr="00AD7633">
        <w:t xml:space="preserve"> принят</w:t>
      </w:r>
      <w:r w:rsidR="004B5410">
        <w:t>ы</w:t>
      </w:r>
      <w:r w:rsidRPr="00AD7633">
        <w:t xml:space="preserve"> во внимание при включении положений о сельск</w:t>
      </w:r>
      <w:r w:rsidRPr="00AD7633">
        <w:t>о</w:t>
      </w:r>
      <w:r w:rsidRPr="00AD7633">
        <w:t>хозяйственных транспортных средствах в правила, разработанные Всемирным форумом.</w:t>
      </w:r>
    </w:p>
    <w:p w:rsidR="00AD7633" w:rsidRPr="00AD7633" w:rsidRDefault="00AD7633" w:rsidP="00AD7633">
      <w:pPr>
        <w:pStyle w:val="SingleTxt"/>
      </w:pPr>
      <w:r w:rsidRPr="00AD7633">
        <w:t>27.</w:t>
      </w:r>
      <w:r w:rsidRPr="00AD7633">
        <w:tab/>
        <w:t>Всемирный форум выступил инициатором разработки международной с</w:t>
      </w:r>
      <w:r w:rsidRPr="00AD7633">
        <w:t>и</w:t>
      </w:r>
      <w:r w:rsidRPr="00AD7633">
        <w:t>стемы официального утверждения типа комплектного транспортного средства (МОУТКТС) в рамках Соглашения 1958 года в целях взаимного признания транспортных средств официально утвержденного типа по всему миру. Эта де</w:t>
      </w:r>
      <w:r w:rsidRPr="00AD7633">
        <w:t>я</w:t>
      </w:r>
      <w:r w:rsidRPr="00AD7633">
        <w:t>тельность предполагает пересмотр Соглашения 1958 года таким образом, чтобы оно включало МОУТКТС. Кроме того, в пересмотренное Соглашение 1958 года войдут новые положения, которые сделают его более привлекательным для стран с формирующимся рынком, поскольку эти положения позволят утверждать тип транспортных средств и систем в соответствии с предыдущими версиями правил ООН. Кроме того, в рамках ЕЭК необходимо создать базу данных об официал</w:t>
      </w:r>
      <w:r w:rsidRPr="00AD7633">
        <w:t>ь</w:t>
      </w:r>
      <w:r w:rsidRPr="00AD7633">
        <w:t>ных утверждениях типа ООН для поддержки функционирования системы в б</w:t>
      </w:r>
      <w:r w:rsidRPr="00AD7633">
        <w:t>у</w:t>
      </w:r>
      <w:r w:rsidRPr="00AD7633">
        <w:t>дущем.</w:t>
      </w:r>
    </w:p>
    <w:p w:rsidR="00AD7633" w:rsidRPr="00AD7633" w:rsidRDefault="00AD7633" w:rsidP="00AD7633">
      <w:pPr>
        <w:pStyle w:val="SingleTxt"/>
        <w:rPr>
          <w:b/>
        </w:rPr>
      </w:pPr>
      <w:r w:rsidRPr="00AD7633">
        <w:t>28.</w:t>
      </w:r>
      <w:r w:rsidRPr="00AD7633">
        <w:tab/>
        <w:t xml:space="preserve">С учетом важности периодических технических осмотров и Соглашения 1997 года </w:t>
      </w:r>
      <w:r w:rsidR="004B5410">
        <w:t>для</w:t>
      </w:r>
      <w:r w:rsidRPr="00AD7633">
        <w:t xml:space="preserve"> обеспечения безопасности дорожного движения и охраны окруж</w:t>
      </w:r>
      <w:r w:rsidRPr="00AD7633">
        <w:t>а</w:t>
      </w:r>
      <w:r w:rsidRPr="00AD7633">
        <w:t>ющей среды WP.29 с учетом последних достижений приступил к работе по вв</w:t>
      </w:r>
      <w:r w:rsidRPr="00AD7633">
        <w:t>е</w:t>
      </w:r>
      <w:r w:rsidRPr="00AD7633">
        <w:t>дению согласованных правил, связанных с испытательным оборудованием, кв</w:t>
      </w:r>
      <w:r w:rsidRPr="00AD7633">
        <w:t>а</w:t>
      </w:r>
      <w:r w:rsidRPr="00AD7633">
        <w:lastRenderedPageBreak/>
        <w:t xml:space="preserve">лификацией, </w:t>
      </w:r>
      <w:r w:rsidR="004B5410">
        <w:t xml:space="preserve">профессиональной </w:t>
      </w:r>
      <w:r w:rsidRPr="00AD7633">
        <w:t xml:space="preserve">подготовкой и сертификацией инспекторов, а также надзором. С этой целью </w:t>
      </w:r>
      <w:r w:rsidR="004B5410">
        <w:t>учреждена</w:t>
      </w:r>
      <w:r w:rsidRPr="00AD7633">
        <w:t xml:space="preserve"> новая неофициальная рабочая группа по периодическим техническим осмотрам (НРГ по ПТО).</w:t>
      </w:r>
    </w:p>
    <w:p w:rsidR="00AD7633" w:rsidRDefault="00AD7633" w:rsidP="00AD7633">
      <w:pPr>
        <w:pStyle w:val="SingleTxt"/>
      </w:pPr>
      <w:r w:rsidRPr="00AD7633">
        <w:t>29.</w:t>
      </w:r>
      <w:r w:rsidRPr="00AD7633">
        <w:tab/>
        <w:t>WP.29 продолжил разработку эксплуатационных требований, касающихся интеллектуальных транспортных систем и систем помощи водителю автоматиз</w:t>
      </w:r>
      <w:r w:rsidRPr="00AD7633">
        <w:t>и</w:t>
      </w:r>
      <w:r w:rsidRPr="00AD7633">
        <w:t>рованного транспортного средства, заложив таким образом основу для произво</w:t>
      </w:r>
      <w:r w:rsidRPr="00AD7633">
        <w:t>д</w:t>
      </w:r>
      <w:r w:rsidRPr="00AD7633">
        <w:t xml:space="preserve">ства будущих автономных транспортных средств. </w:t>
      </w:r>
      <w:r w:rsidR="004B5410">
        <w:t>Для этого</w:t>
      </w:r>
      <w:r w:rsidRPr="00AD7633">
        <w:t xml:space="preserve"> WP.29 решил пер</w:t>
      </w:r>
      <w:r w:rsidRPr="00AD7633">
        <w:t>е</w:t>
      </w:r>
      <w:r w:rsidRPr="00AD7633">
        <w:t>ориентировать некоторую часть своей деятельности в рамках неофициальной р</w:t>
      </w:r>
      <w:r w:rsidRPr="00AD7633">
        <w:t>а</w:t>
      </w:r>
      <w:r w:rsidRPr="00AD7633">
        <w:t xml:space="preserve">бочей группы по ИТС/автономному вождению (ИТС/АВ) для надлежащего учета и </w:t>
      </w:r>
      <w:r w:rsidR="004B5410">
        <w:t xml:space="preserve">эффективного </w:t>
      </w:r>
      <w:r w:rsidRPr="00AD7633">
        <w:t xml:space="preserve">решения вопросов, связанных со стремительным техническим прогрессом в этой области. Что касается элементов активной безопасности, то в настоящее время WP.29 обсуждает необходимые поправки к правилам ООН, а также новые требования, касающиеся функций автоматического вождения при маневрах на малой скорости, в частности при использовании услуг </w:t>
      </w:r>
      <w:proofErr w:type="spellStart"/>
      <w:r w:rsidRPr="00AD7633">
        <w:t>парковщика</w:t>
      </w:r>
      <w:proofErr w:type="spellEnd"/>
      <w:r w:rsidRPr="00AD7633">
        <w:t xml:space="preserve"> или управлении в условиях дорожных заторов, а также при применении автоп</w:t>
      </w:r>
      <w:r w:rsidRPr="00AD7633">
        <w:t>и</w:t>
      </w:r>
      <w:r w:rsidRPr="00AD7633">
        <w:t>лота на шоссе/дорогах для скоростного вождения.</w:t>
      </w:r>
    </w:p>
    <w:p w:rsidR="004B5410" w:rsidRPr="004B5410" w:rsidRDefault="004B5410" w:rsidP="004B5410">
      <w:pPr>
        <w:pStyle w:val="SingleTxt"/>
        <w:spacing w:after="0" w:line="120" w:lineRule="exact"/>
        <w:rPr>
          <w:sz w:val="10"/>
        </w:rPr>
      </w:pPr>
    </w:p>
    <w:p w:rsidR="004B5410" w:rsidRPr="004B5410" w:rsidRDefault="004B5410" w:rsidP="004B5410">
      <w:pPr>
        <w:pStyle w:val="SingleTxt"/>
        <w:spacing w:after="0" w:line="120" w:lineRule="exact"/>
        <w:rPr>
          <w:sz w:val="10"/>
        </w:rPr>
      </w:pPr>
    </w:p>
    <w:p w:rsidR="00AD7633" w:rsidRDefault="00AD7633" w:rsidP="004B541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7633">
        <w:tab/>
        <w:t>D.</w:t>
      </w:r>
      <w:r w:rsidRPr="00AD7633">
        <w:tab/>
        <w:t>Извлеченные уроки/области, в которых необходимы улучшения</w:t>
      </w:r>
    </w:p>
    <w:p w:rsidR="004B5410" w:rsidRPr="004B5410" w:rsidRDefault="004B5410" w:rsidP="004B5410">
      <w:pPr>
        <w:pStyle w:val="SingleTxt"/>
        <w:spacing w:after="0" w:line="120" w:lineRule="exact"/>
        <w:rPr>
          <w:sz w:val="10"/>
        </w:rPr>
      </w:pPr>
    </w:p>
    <w:p w:rsidR="004B5410" w:rsidRPr="004B5410" w:rsidRDefault="004B5410" w:rsidP="004B5410">
      <w:pPr>
        <w:pStyle w:val="SingleTxt"/>
        <w:spacing w:after="0" w:line="120" w:lineRule="exact"/>
        <w:rPr>
          <w:sz w:val="10"/>
        </w:rPr>
      </w:pPr>
    </w:p>
    <w:p w:rsidR="00AD7633" w:rsidRDefault="00AD7633" w:rsidP="00AD7633">
      <w:pPr>
        <w:pStyle w:val="SingleTxt"/>
      </w:pPr>
      <w:r w:rsidRPr="00AD7633">
        <w:t>30.</w:t>
      </w:r>
      <w:r w:rsidRPr="00AD7633">
        <w:tab/>
        <w:t>Результаты, достигнутые в течение двухгодичного периода, превзошли ожидания в результате ускоренного развития новых технологий в области тран</w:t>
      </w:r>
      <w:r w:rsidRPr="00AD7633">
        <w:t>с</w:t>
      </w:r>
      <w:r w:rsidRPr="00AD7633">
        <w:t>портных средств и необходимости оперативного учета этих технологий в рамках существующей системы правил. Подготовка секретариатом необходимых попр</w:t>
      </w:r>
      <w:r w:rsidRPr="00AD7633">
        <w:t>а</w:t>
      </w:r>
      <w:r w:rsidRPr="00AD7633">
        <w:t>вок и новых правил, а также высокий технический уровень документации по</w:t>
      </w:r>
      <w:r w:rsidRPr="00AD7633">
        <w:t>д</w:t>
      </w:r>
      <w:r w:rsidRPr="00AD7633">
        <w:t>тверждают, что с подобной работой могут с</w:t>
      </w:r>
      <w:r w:rsidR="004B5410">
        <w:t>правиться только специалисты. В </w:t>
      </w:r>
      <w:r w:rsidRPr="00AD7633">
        <w:t>подготовке сводных текстов различных вариантов правил ООН, сопряженной с решением многочисленных технических и административных задач, особенно для сотрудников категории общего обслуживания, задействованы практически все имеющиеся кадровые ресурсы. Кроме того, для размещения и функционир</w:t>
      </w:r>
      <w:r w:rsidRPr="00AD7633">
        <w:t>о</w:t>
      </w:r>
      <w:r w:rsidRPr="00AD7633">
        <w:t>вания базы данных об официальных утверждениях типа ООН на базе ЕЭК потр</w:t>
      </w:r>
      <w:r w:rsidRPr="00AD7633">
        <w:t>е</w:t>
      </w:r>
      <w:r w:rsidRPr="00AD7633">
        <w:t>буются дополнительные бюджетные ресурсы.</w:t>
      </w:r>
    </w:p>
    <w:p w:rsidR="004B5410" w:rsidRPr="004B5410" w:rsidRDefault="004B5410" w:rsidP="004B5410">
      <w:pPr>
        <w:pStyle w:val="SingleTxt"/>
        <w:spacing w:after="0" w:line="120" w:lineRule="exact"/>
        <w:rPr>
          <w:sz w:val="10"/>
        </w:rPr>
      </w:pPr>
    </w:p>
    <w:p w:rsidR="004B5410" w:rsidRPr="004B5410" w:rsidRDefault="004B5410" w:rsidP="004B5410">
      <w:pPr>
        <w:pStyle w:val="SingleTxt"/>
        <w:spacing w:after="0" w:line="120" w:lineRule="exact"/>
        <w:rPr>
          <w:sz w:val="10"/>
        </w:rPr>
      </w:pPr>
    </w:p>
    <w:p w:rsidR="00AD7633" w:rsidRDefault="00AD7633" w:rsidP="004B541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7633">
        <w:tab/>
      </w:r>
      <w:r w:rsidRPr="00AD7633">
        <w:tab/>
        <w:t>Направление деятельности 4.a</w:t>
      </w:r>
      <w:r w:rsidRPr="00AD7633">
        <w:br/>
        <w:t xml:space="preserve">Железнодорожный транспорт </w:t>
      </w:r>
    </w:p>
    <w:p w:rsidR="004B5410" w:rsidRPr="004B5410" w:rsidRDefault="004B5410" w:rsidP="004B5410">
      <w:pPr>
        <w:pStyle w:val="SingleTxt"/>
        <w:spacing w:after="0" w:line="120" w:lineRule="exact"/>
        <w:rPr>
          <w:sz w:val="10"/>
        </w:rPr>
      </w:pPr>
    </w:p>
    <w:p w:rsidR="004B5410" w:rsidRPr="004B5410" w:rsidRDefault="004B5410" w:rsidP="004B5410">
      <w:pPr>
        <w:pStyle w:val="SingleTxt"/>
        <w:spacing w:after="0" w:line="120" w:lineRule="exact"/>
        <w:rPr>
          <w:sz w:val="10"/>
        </w:rPr>
      </w:pPr>
    </w:p>
    <w:p w:rsidR="00AD7633" w:rsidRDefault="00AD7633" w:rsidP="004B541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7633">
        <w:tab/>
        <w:t>A.</w:t>
      </w:r>
      <w:r w:rsidRPr="00AD7633">
        <w:tab/>
        <w:t>Ожидаемое достижение (ОД 4.а)</w:t>
      </w:r>
    </w:p>
    <w:p w:rsidR="004B5410" w:rsidRPr="004B5410" w:rsidRDefault="004B5410" w:rsidP="004B5410">
      <w:pPr>
        <w:pStyle w:val="SingleTxt"/>
        <w:spacing w:after="0" w:line="120" w:lineRule="exact"/>
        <w:rPr>
          <w:sz w:val="10"/>
        </w:rPr>
      </w:pPr>
    </w:p>
    <w:p w:rsidR="004B5410" w:rsidRPr="004B5410" w:rsidRDefault="004B5410" w:rsidP="004B5410">
      <w:pPr>
        <w:pStyle w:val="SingleTxt"/>
        <w:spacing w:after="0" w:line="120" w:lineRule="exact"/>
        <w:rPr>
          <w:sz w:val="10"/>
        </w:rPr>
      </w:pPr>
    </w:p>
    <w:p w:rsidR="00AD7633" w:rsidRDefault="00AD7633" w:rsidP="00AD7633">
      <w:pPr>
        <w:pStyle w:val="SingleTxt"/>
      </w:pPr>
      <w:r w:rsidRPr="00AD7633">
        <w:t>31.</w:t>
      </w:r>
      <w:r w:rsidRPr="00AD7633">
        <w:tab/>
        <w:t>Более четкое понимание особенностей железнодорожных перевозок и пол</w:t>
      </w:r>
      <w:r w:rsidRPr="00AD7633">
        <w:t>и</w:t>
      </w:r>
      <w:r w:rsidRPr="00AD7633">
        <w:t>тики в области железнодорожного транспорта в регионе, включая инфраструкт</w:t>
      </w:r>
      <w:r w:rsidRPr="00AD7633">
        <w:t>у</w:t>
      </w:r>
      <w:r w:rsidRPr="00AD7633">
        <w:t>ру, пересечение границ, эксплуатационную совместимость, мониторинг и обно</w:t>
      </w:r>
      <w:r w:rsidRPr="00AD7633">
        <w:t>в</w:t>
      </w:r>
      <w:r w:rsidRPr="00AD7633">
        <w:t>ление соответствующих нормативных документов, а также укрепление сотрудн</w:t>
      </w:r>
      <w:r w:rsidRPr="00AD7633">
        <w:t>и</w:t>
      </w:r>
      <w:r w:rsidRPr="00AD7633">
        <w:t>чества стран ЕЭК ООН в рассмотрении этих вопросов.</w:t>
      </w:r>
    </w:p>
    <w:p w:rsidR="004B5410" w:rsidRPr="004B5410" w:rsidRDefault="004B5410" w:rsidP="004B5410">
      <w:pPr>
        <w:pStyle w:val="SingleTxt"/>
        <w:spacing w:after="0" w:line="120" w:lineRule="exact"/>
        <w:rPr>
          <w:sz w:val="10"/>
        </w:rPr>
      </w:pPr>
    </w:p>
    <w:p w:rsidR="004B5410" w:rsidRPr="004B5410" w:rsidRDefault="004B5410" w:rsidP="004B5410">
      <w:pPr>
        <w:pStyle w:val="SingleTxt"/>
        <w:spacing w:after="0" w:line="120" w:lineRule="exact"/>
        <w:rPr>
          <w:sz w:val="10"/>
        </w:rPr>
      </w:pPr>
    </w:p>
    <w:p w:rsidR="00343E61" w:rsidRPr="00DF0070" w:rsidRDefault="00E15401" w:rsidP="00343E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43E61" w:rsidRPr="00DF0070">
        <w:t>B.</w:t>
      </w:r>
      <w:r w:rsidR="00343E61" w:rsidRPr="00DF0070">
        <w:tab/>
        <w:t>Показатели достижения</w:t>
      </w:r>
    </w:p>
    <w:p w:rsidR="00343E61" w:rsidRPr="00DF0070" w:rsidRDefault="00343E61" w:rsidP="00343E61">
      <w:pPr>
        <w:pStyle w:val="SingleTxt"/>
        <w:spacing w:after="0" w:line="120" w:lineRule="exact"/>
        <w:rPr>
          <w:b/>
          <w:sz w:val="10"/>
        </w:rPr>
      </w:pPr>
    </w:p>
    <w:p w:rsidR="00343E61" w:rsidRPr="00DF0070" w:rsidRDefault="00343E61" w:rsidP="00343E61">
      <w:pPr>
        <w:pStyle w:val="SingleTxt"/>
        <w:spacing w:after="0" w:line="120" w:lineRule="exact"/>
        <w:rPr>
          <w:b/>
          <w:sz w:val="10"/>
        </w:rPr>
      </w:pPr>
    </w:p>
    <w:p w:rsidR="00343E61" w:rsidRPr="00DF0070" w:rsidRDefault="00343E61" w:rsidP="00343E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t>1.</w:t>
      </w:r>
      <w:r w:rsidRPr="00DF0070">
        <w:tab/>
        <w:t>Число стран, МПО и НПО, участвующих в обеих ежегодных сессиях Рабочей группы по железнодорожному транспорту и проекту ТЕЖ, и степень удовлетворенности по итогам обследований (ПД 4.a. а))</w:t>
      </w:r>
    </w:p>
    <w:p w:rsidR="00343E61" w:rsidRPr="00DF0070" w:rsidRDefault="00343E61" w:rsidP="00343E61">
      <w:pPr>
        <w:pStyle w:val="SingleTxt"/>
        <w:spacing w:after="0" w:line="120" w:lineRule="exact"/>
        <w:rPr>
          <w:i/>
          <w:sz w:val="10"/>
        </w:rPr>
      </w:pPr>
    </w:p>
    <w:p w:rsidR="00343E61" w:rsidRPr="00DF0070" w:rsidRDefault="00343E61" w:rsidP="00343E6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r>
      <w:r w:rsidRPr="00DF0070">
        <w:tab/>
        <w:t>Показатели результативности:</w:t>
      </w:r>
    </w:p>
    <w:p w:rsidR="00343E61" w:rsidRPr="00DF0070" w:rsidRDefault="00343E61" w:rsidP="00343E61">
      <w:pPr>
        <w:pStyle w:val="SingleTxt"/>
        <w:spacing w:after="0" w:line="120" w:lineRule="exact"/>
        <w:rPr>
          <w:sz w:val="10"/>
        </w:rPr>
      </w:pPr>
    </w:p>
    <w:p w:rsidR="00343E61" w:rsidRPr="00DF0070" w:rsidRDefault="00343E61" w:rsidP="00343E61">
      <w:pPr>
        <w:pStyle w:val="SingleTxt"/>
      </w:pPr>
      <w:r w:rsidRPr="00DF0070">
        <w:t>Исходные показатели за 2012−2013 годы: 30</w:t>
      </w:r>
      <w:r>
        <w:t>.</w:t>
      </w:r>
    </w:p>
    <w:p w:rsidR="00343E61" w:rsidRPr="00DF0070" w:rsidRDefault="00343E61" w:rsidP="00343E61">
      <w:pPr>
        <w:pStyle w:val="SingleTxt"/>
      </w:pPr>
      <w:r w:rsidRPr="00DF0070">
        <w:lastRenderedPageBreak/>
        <w:t>Целевые показатели на 2014–2015 годы: 40</w:t>
      </w:r>
      <w:r>
        <w:t>.</w:t>
      </w:r>
    </w:p>
    <w:p w:rsidR="00343E61" w:rsidRPr="00DF0070" w:rsidRDefault="00343E61" w:rsidP="00343E61">
      <w:pPr>
        <w:pStyle w:val="SingleTxt"/>
        <w:rPr>
          <w:b/>
          <w:bCs/>
        </w:rPr>
      </w:pPr>
      <w:r w:rsidRPr="00DF0070">
        <w:rPr>
          <w:b/>
          <w:bCs/>
        </w:rPr>
        <w:t>Фактические показатели за 2014–2015 годы: 80</w:t>
      </w:r>
      <w:r w:rsidRPr="00DF0070">
        <w:t>.</w:t>
      </w:r>
    </w:p>
    <w:p w:rsidR="00343E61" w:rsidRPr="00DF0070" w:rsidRDefault="00343E61" w:rsidP="00343E61">
      <w:pPr>
        <w:pStyle w:val="SingleTxt"/>
        <w:spacing w:after="0" w:line="120" w:lineRule="exact"/>
        <w:rPr>
          <w:b/>
          <w:sz w:val="10"/>
        </w:rPr>
      </w:pPr>
    </w:p>
    <w:p w:rsidR="00343E61" w:rsidRPr="00DF0070" w:rsidRDefault="00343E61" w:rsidP="00343E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t>2.</w:t>
      </w:r>
      <w:r w:rsidRPr="00DF0070">
        <w:tab/>
        <w:t xml:space="preserve">Число поправок к Европейскому соглашению о международных магистральных железнодорожных линиях (СМЖЛ), а также обновленных </w:t>
      </w:r>
      <w:r>
        <w:br/>
      </w:r>
      <w:r w:rsidRPr="00DF0070">
        <w:t>и измененных линий в приложении I к этому Соглашению, принятых Рабочей группой (ПД 4.а. b))</w:t>
      </w:r>
    </w:p>
    <w:p w:rsidR="00343E61" w:rsidRPr="00DF0070" w:rsidRDefault="00343E61" w:rsidP="00343E61">
      <w:pPr>
        <w:pStyle w:val="SingleTxt"/>
        <w:spacing w:after="0" w:line="120" w:lineRule="exact"/>
        <w:rPr>
          <w:i/>
          <w:sz w:val="10"/>
        </w:rPr>
      </w:pPr>
    </w:p>
    <w:p w:rsidR="00343E61" w:rsidRPr="00DF0070" w:rsidRDefault="00343E61" w:rsidP="00343E6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Показатели результативности:</w:t>
      </w:r>
    </w:p>
    <w:p w:rsidR="00343E61" w:rsidRPr="00DF0070" w:rsidRDefault="00343E61" w:rsidP="00343E61">
      <w:pPr>
        <w:pStyle w:val="SingleTxt"/>
        <w:spacing w:after="0" w:line="120" w:lineRule="exact"/>
        <w:rPr>
          <w:sz w:val="10"/>
        </w:rPr>
      </w:pPr>
    </w:p>
    <w:p w:rsidR="00343E61" w:rsidRPr="00DF0070" w:rsidRDefault="00343E61" w:rsidP="00343E61">
      <w:pPr>
        <w:pStyle w:val="SingleTxt"/>
      </w:pPr>
      <w:r w:rsidRPr="00DF0070">
        <w:t>Исходные показатели за 2012–2013 годы: 1</w:t>
      </w:r>
      <w:r>
        <w:t>.</w:t>
      </w:r>
    </w:p>
    <w:p w:rsidR="00343E61" w:rsidRPr="00DF0070" w:rsidRDefault="00343E61" w:rsidP="00343E61">
      <w:pPr>
        <w:pStyle w:val="SingleTxt"/>
      </w:pPr>
      <w:r w:rsidRPr="00DF0070">
        <w:t>Целевые показатели на 2014–2015 годы: 1</w:t>
      </w:r>
      <w:r>
        <w:t>.</w:t>
      </w:r>
    </w:p>
    <w:p w:rsidR="00343E61" w:rsidRPr="00DF0070" w:rsidRDefault="00343E61" w:rsidP="00343E61">
      <w:pPr>
        <w:pStyle w:val="SingleTxt"/>
        <w:rPr>
          <w:b/>
          <w:bCs/>
        </w:rPr>
      </w:pPr>
      <w:r w:rsidRPr="00DF0070">
        <w:rPr>
          <w:b/>
          <w:bCs/>
        </w:rPr>
        <w:t>Фактические показатели за 2014–2015 годы: 2</w:t>
      </w:r>
      <w:r w:rsidRPr="00F76CB6">
        <w:t>.</w:t>
      </w:r>
    </w:p>
    <w:p w:rsidR="00343E61" w:rsidRPr="00DF0070" w:rsidRDefault="00343E61" w:rsidP="00343E61">
      <w:pPr>
        <w:pStyle w:val="SingleTxt"/>
        <w:spacing w:after="0" w:line="120" w:lineRule="exact"/>
        <w:rPr>
          <w:b/>
          <w:sz w:val="10"/>
        </w:rPr>
      </w:pPr>
    </w:p>
    <w:p w:rsidR="00343E61" w:rsidRPr="00DF0070" w:rsidRDefault="00343E61" w:rsidP="00343E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t>3.</w:t>
      </w:r>
      <w:r w:rsidRPr="00DF0070">
        <w:tab/>
        <w:t>Число организованных тематических рабочих совещаний/семинаров и число их участников (ПД 4.a. c))</w:t>
      </w:r>
    </w:p>
    <w:p w:rsidR="00343E61" w:rsidRPr="00DF0070" w:rsidRDefault="00343E61" w:rsidP="00343E61">
      <w:pPr>
        <w:pStyle w:val="SingleTxt"/>
        <w:spacing w:after="0" w:line="120" w:lineRule="exact"/>
        <w:rPr>
          <w:i/>
          <w:sz w:val="10"/>
        </w:rPr>
      </w:pPr>
    </w:p>
    <w:p w:rsidR="00343E61" w:rsidRPr="00DF0070" w:rsidRDefault="00343E61" w:rsidP="00343E6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r>
      <w:r w:rsidRPr="00DF0070">
        <w:tab/>
        <w:t>Показатели результативности:</w:t>
      </w:r>
    </w:p>
    <w:p w:rsidR="00343E61" w:rsidRPr="00DF0070" w:rsidRDefault="00343E61" w:rsidP="00343E61">
      <w:pPr>
        <w:pStyle w:val="SingleTxt"/>
        <w:spacing w:after="0" w:line="120" w:lineRule="exact"/>
        <w:rPr>
          <w:sz w:val="10"/>
        </w:rPr>
      </w:pPr>
    </w:p>
    <w:p w:rsidR="00343E61" w:rsidRPr="00DF0070" w:rsidRDefault="00343E61" w:rsidP="00343E61">
      <w:pPr>
        <w:pStyle w:val="SingleTxt"/>
      </w:pPr>
      <w:r w:rsidRPr="00DF0070">
        <w:t>Исходные показатели за 2012−2013 годы: 2</w:t>
      </w:r>
      <w:r>
        <w:t>.</w:t>
      </w:r>
    </w:p>
    <w:p w:rsidR="00343E61" w:rsidRPr="00DF0070" w:rsidRDefault="00343E61" w:rsidP="00343E61">
      <w:pPr>
        <w:pStyle w:val="SingleTxt"/>
      </w:pPr>
      <w:r w:rsidRPr="00DF0070">
        <w:t>Целевые показатели на 2014−2015 годы: 2</w:t>
      </w:r>
      <w:r>
        <w:t>.</w:t>
      </w:r>
    </w:p>
    <w:p w:rsidR="00343E61" w:rsidRPr="00DF0070" w:rsidRDefault="00343E61" w:rsidP="00343E61">
      <w:pPr>
        <w:pStyle w:val="SingleTxt"/>
        <w:rPr>
          <w:b/>
          <w:bCs/>
        </w:rPr>
      </w:pPr>
      <w:r w:rsidRPr="00DF0070">
        <w:rPr>
          <w:b/>
          <w:bCs/>
        </w:rPr>
        <w:t>Фактические показатели за 2014–2015 годы: 2</w:t>
      </w:r>
      <w:r w:rsidRPr="00E00434">
        <w:t>.</w:t>
      </w:r>
    </w:p>
    <w:p w:rsidR="00343E61" w:rsidRPr="00E00434" w:rsidRDefault="00343E61" w:rsidP="00343E61">
      <w:pPr>
        <w:pStyle w:val="SingleTxt"/>
        <w:spacing w:after="0" w:line="120" w:lineRule="exact"/>
        <w:rPr>
          <w:b/>
          <w:sz w:val="10"/>
        </w:rPr>
      </w:pPr>
    </w:p>
    <w:p w:rsidR="00343E61" w:rsidRPr="00DF0070" w:rsidRDefault="00343E61" w:rsidP="00343E61">
      <w:pPr>
        <w:pStyle w:val="SingleTxt"/>
        <w:spacing w:after="0" w:line="120" w:lineRule="exact"/>
        <w:rPr>
          <w:b/>
          <w:sz w:val="10"/>
        </w:rPr>
      </w:pPr>
    </w:p>
    <w:p w:rsidR="00343E61" w:rsidRPr="00DF0070" w:rsidRDefault="00343E61" w:rsidP="00343E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t>C.</w:t>
      </w:r>
      <w:r w:rsidRPr="00DF0070">
        <w:tab/>
        <w:t>Оценка результативности</w:t>
      </w:r>
    </w:p>
    <w:p w:rsidR="00343E61" w:rsidRPr="00E00434" w:rsidRDefault="00343E61" w:rsidP="00343E61">
      <w:pPr>
        <w:pStyle w:val="SingleTxt"/>
        <w:spacing w:after="0" w:line="120" w:lineRule="exact"/>
        <w:rPr>
          <w:sz w:val="10"/>
        </w:rPr>
      </w:pPr>
    </w:p>
    <w:p w:rsidR="00343E61" w:rsidRPr="00DF0070" w:rsidRDefault="00343E61" w:rsidP="00343E61">
      <w:pPr>
        <w:pStyle w:val="SingleTxt"/>
        <w:spacing w:after="0" w:line="120" w:lineRule="exact"/>
        <w:rPr>
          <w:sz w:val="10"/>
        </w:rPr>
      </w:pPr>
    </w:p>
    <w:p w:rsidR="00343E61" w:rsidRPr="00DF0070" w:rsidRDefault="00343E61" w:rsidP="00343E61">
      <w:pPr>
        <w:pStyle w:val="SingleTxt"/>
      </w:pPr>
      <w:r w:rsidRPr="00DF0070">
        <w:t>32.</w:t>
      </w:r>
      <w:r w:rsidRPr="00DF0070">
        <w:tab/>
        <w:t>Основными целями Рабочей группы по железнодорожному транспо</w:t>
      </w:r>
      <w:r w:rsidRPr="00DF0070">
        <w:t>р</w:t>
      </w:r>
      <w:r w:rsidRPr="00DF0070">
        <w:t>ту</w:t>
      </w:r>
      <w:r>
        <w:t> </w:t>
      </w:r>
      <w:r w:rsidRPr="00DF0070">
        <w:t>(SC.2) и секретариата на двухгодичный период 2014−2015 годов были актив</w:t>
      </w:r>
      <w:r w:rsidRPr="00DF0070">
        <w:t>и</w:t>
      </w:r>
      <w:r w:rsidRPr="00DF0070">
        <w:t>зация деятельности Рабочей группы и увеличение числа стран-участниц посре</w:t>
      </w:r>
      <w:r w:rsidRPr="00DF0070">
        <w:t>д</w:t>
      </w:r>
      <w:r w:rsidRPr="00DF0070">
        <w:t>ством включения новых актуальных пунктов повестки дня по вопросам сущ</w:t>
      </w:r>
      <w:r w:rsidRPr="00DF0070">
        <w:t>е</w:t>
      </w:r>
      <w:r w:rsidRPr="00DF0070">
        <w:t xml:space="preserve">ства. В период 2014–2015 годов число стран, участвующих в сессии Рабочей группы, увеличилось на 50% (в среднем за последнее десятилетие в сессиях SC.2 участвовало 10 стран, тогда как в период 2014–2015 годов в них приняло участие 43 страны). Целевой показатель по числу стран, МПО и НПО, участвующих в ежегодной сессии Рабочей группы по железнодорожному транспорту, на 2014−2015 годы составлял 40, однако </w:t>
      </w:r>
      <w:r>
        <w:t xml:space="preserve">в конечном итоге </w:t>
      </w:r>
      <w:r w:rsidRPr="00DF0070">
        <w:t>достиг 80, т.е. увеличил</w:t>
      </w:r>
      <w:r>
        <w:t>ся</w:t>
      </w:r>
      <w:r w:rsidRPr="00DF0070">
        <w:t xml:space="preserve"> на 50%. </w:t>
      </w:r>
      <w:r>
        <w:t>Число</w:t>
      </w:r>
      <w:r w:rsidRPr="00DF0070">
        <w:t xml:space="preserve"> участников также увеличилось на 50% (в среднем за последнее десятилетие на сессиях SC.2 присутствовали 35 участников, тогда как в 2014 г</w:t>
      </w:r>
      <w:r w:rsidRPr="00DF0070">
        <w:t>о</w:t>
      </w:r>
      <w:r w:rsidRPr="00DF0070">
        <w:t xml:space="preserve">ду их число достигло 77, а в 2015 году − 79). В повестку дня было включено шесть </w:t>
      </w:r>
      <w:r>
        <w:t xml:space="preserve">таких </w:t>
      </w:r>
      <w:r w:rsidRPr="00DF0070">
        <w:t>новых интересных пунктов, как финансирование железнодорожной инфраструктуры, высокоскоростные поезда, интеллектуальные транспортные с</w:t>
      </w:r>
      <w:r w:rsidRPr="00DF0070">
        <w:t>и</w:t>
      </w:r>
      <w:r w:rsidRPr="00DF0070">
        <w:t>стемы, реформа на железнодорожном транспорте, публикация по обзору полож</w:t>
      </w:r>
      <w:r w:rsidRPr="00DF0070">
        <w:t>е</w:t>
      </w:r>
      <w:r w:rsidRPr="00DF0070">
        <w:t xml:space="preserve">ния на железнодорожном транспорте, изменение климата и железные дороги. Кроме того, была активизирована и рационализирована работа над </w:t>
      </w:r>
      <w:r>
        <w:t xml:space="preserve">такими </w:t>
      </w:r>
      <w:r w:rsidRPr="00DF0070">
        <w:t>пр</w:t>
      </w:r>
      <w:r w:rsidRPr="00DF0070">
        <w:t>о</w:t>
      </w:r>
      <w:r w:rsidRPr="00DF0070">
        <w:t xml:space="preserve">чими – традиционными – пунктами повестки дня, как: </w:t>
      </w:r>
    </w:p>
    <w:p w:rsidR="00343E61" w:rsidRPr="00DF0070" w:rsidRDefault="00343E61" w:rsidP="00343E61">
      <w:pPr>
        <w:pStyle w:val="SingleTxt"/>
      </w:pPr>
      <w:r>
        <w:tab/>
      </w:r>
      <w:r w:rsidRPr="00DF0070">
        <w:t>a)</w:t>
      </w:r>
      <w:r w:rsidRPr="00DF0070">
        <w:tab/>
        <w:t xml:space="preserve">железнодорожная безопасность, </w:t>
      </w:r>
    </w:p>
    <w:p w:rsidR="00343E61" w:rsidRPr="00DF0070" w:rsidRDefault="00343E61" w:rsidP="00343E61">
      <w:pPr>
        <w:pStyle w:val="SingleTxt"/>
      </w:pPr>
      <w:r>
        <w:tab/>
      </w:r>
      <w:r w:rsidRPr="00DF0070">
        <w:t>b)</w:t>
      </w:r>
      <w:r w:rsidRPr="00DF0070">
        <w:tab/>
        <w:t>эффективность работы железнодорожного транспорта. Показатели б</w:t>
      </w:r>
      <w:r w:rsidRPr="00DF0070">
        <w:t>ы</w:t>
      </w:r>
      <w:r w:rsidRPr="00DF0070">
        <w:t xml:space="preserve">ли установлены секретариатом, который впервые применил для этого карты и ввел опросный лист для сбора данных непосредственно от правительств, вместо того чтобы использовать только сведения МСЖД; </w:t>
      </w:r>
    </w:p>
    <w:p w:rsidR="00343E61" w:rsidRPr="00DF0070" w:rsidRDefault="00343E61" w:rsidP="00343E61">
      <w:pPr>
        <w:pStyle w:val="SingleTxt"/>
      </w:pPr>
      <w:r>
        <w:tab/>
      </w:r>
      <w:r w:rsidRPr="00DF0070">
        <w:t>c)</w:t>
      </w:r>
      <w:r w:rsidRPr="00DF0070">
        <w:tab/>
        <w:t>облегчение пересечения границ в ходе железнодорожных перевозок и осуществление приложения 9. Предложение создать план действий для монит</w:t>
      </w:r>
      <w:r w:rsidRPr="00DF0070">
        <w:t>о</w:t>
      </w:r>
      <w:r w:rsidRPr="00DF0070">
        <w:t xml:space="preserve">ринга осуществления приложения 9 было тепло встречено правительствами. </w:t>
      </w:r>
    </w:p>
    <w:p w:rsidR="00343E61" w:rsidRPr="00DF0070" w:rsidRDefault="00343E61" w:rsidP="00343E61">
      <w:pPr>
        <w:pStyle w:val="SingleTxt"/>
      </w:pPr>
      <w:r w:rsidRPr="00DF0070">
        <w:lastRenderedPageBreak/>
        <w:t>33.</w:t>
      </w:r>
      <w:r w:rsidRPr="00DF0070">
        <w:tab/>
        <w:t>Укрепились отношения с Европейской комиссией, в частности в ходе подг</w:t>
      </w:r>
      <w:r w:rsidRPr="00DF0070">
        <w:t>о</w:t>
      </w:r>
      <w:r w:rsidRPr="00DF0070">
        <w:t>товки первого неофициального документа о деятельности ЕС в сфере железнод</w:t>
      </w:r>
      <w:r w:rsidRPr="00DF0070">
        <w:t>о</w:t>
      </w:r>
      <w:r w:rsidRPr="00DF0070">
        <w:t>рожного транспорта. Эту инициативу положительно отметил представитель ЕС, который также внес свой вклад в подготовку указанного документа. Кроме того, разработка единого железнодорожного права требует огромных усилий и имеет стратегическое значение как для Отдела устойчивого транспорта, так и для ж</w:t>
      </w:r>
      <w:r w:rsidRPr="00DF0070">
        <w:t>е</w:t>
      </w:r>
      <w:r w:rsidRPr="00DF0070">
        <w:t>лезных дорог в целом. Рабочая группа при поддержке Группы экспертов подгот</w:t>
      </w:r>
      <w:r w:rsidRPr="00DF0070">
        <w:t>о</w:t>
      </w:r>
      <w:r w:rsidRPr="00DF0070">
        <w:t xml:space="preserve">вила правовые положения для создания единого железнодорожного права. </w:t>
      </w:r>
    </w:p>
    <w:p w:rsidR="00343E61" w:rsidRPr="00DF0070" w:rsidRDefault="00343E61" w:rsidP="00343E61">
      <w:pPr>
        <w:pStyle w:val="SingleTxt"/>
      </w:pPr>
      <w:r w:rsidRPr="00DF0070">
        <w:t>34.</w:t>
      </w:r>
      <w:r w:rsidRPr="00DF0070">
        <w:tab/>
        <w:t>В 2014 и 2015 годах в ходе сессий SC.2 было проведено два рабочих сов</w:t>
      </w:r>
      <w:r w:rsidRPr="00DF0070">
        <w:t>е</w:t>
      </w:r>
      <w:r w:rsidRPr="00DF0070">
        <w:t>щания. Первое рабочее совещание, состоявшееся в ходе сессии 2014 года, было посвящено повышению конкурентоспособности железных дорог. Согласно отз</w:t>
      </w:r>
      <w:r w:rsidRPr="00DF0070">
        <w:t>ы</w:t>
      </w:r>
      <w:r w:rsidRPr="00DF0070">
        <w:t>вам участников и стран, это рабочее совещание оказалось весьма успешным, п</w:t>
      </w:r>
      <w:r w:rsidRPr="00DF0070">
        <w:t>о</w:t>
      </w:r>
      <w:r w:rsidRPr="00DF0070">
        <w:t>скольку они смогли подготовить конкретные выводы и рекомендации. В резул</w:t>
      </w:r>
      <w:r w:rsidRPr="00DF0070">
        <w:t>ь</w:t>
      </w:r>
      <w:r w:rsidRPr="00DF0070">
        <w:t>тате было принято решение о том, чтобы Рабочая группа продолжила работу по этому вопросу и рассмотрела указанные рекомендации в рамках своей повестки дня. Второе рабочее совещание, приуроченное к сессии 2015 года, было посв</w:t>
      </w:r>
      <w:r w:rsidRPr="00DF0070">
        <w:t>я</w:t>
      </w:r>
      <w:r w:rsidRPr="00DF0070">
        <w:t>щено безопасности на железнодорожном транспорте и организовано при участии МСЖД. Это рабочее совещание и вынесенные на нем рекомендации также пол</w:t>
      </w:r>
      <w:r w:rsidRPr="00DF0070">
        <w:t>у</w:t>
      </w:r>
      <w:r w:rsidRPr="00DF0070">
        <w:t>чили высокую оценку всех участников, и секретариату было предложено пре</w:t>
      </w:r>
      <w:r w:rsidRPr="00DF0070">
        <w:t>д</w:t>
      </w:r>
      <w:r w:rsidRPr="00DF0070">
        <w:t xml:space="preserve">принять конкретные шаги в связи с сессией 2016 года. </w:t>
      </w:r>
    </w:p>
    <w:p w:rsidR="00343E61" w:rsidRPr="00DF0070" w:rsidRDefault="00343E61" w:rsidP="00343E61">
      <w:pPr>
        <w:pStyle w:val="SingleTxt"/>
      </w:pPr>
      <w:r w:rsidRPr="00DF0070">
        <w:t>35.</w:t>
      </w:r>
      <w:r w:rsidRPr="00DF0070">
        <w:tab/>
        <w:t>Председатель и заместитель Председателя РГ, а также неко</w:t>
      </w:r>
      <w:r>
        <w:t>торые</w:t>
      </w:r>
      <w:r w:rsidRPr="00DF0070">
        <w:t xml:space="preserve"> участник</w:t>
      </w:r>
      <w:r>
        <w:t>и</w:t>
      </w:r>
      <w:r w:rsidRPr="00DF0070">
        <w:t xml:space="preserve"> высоко оценили работу, проделанную секретариатом, и предпринимаемые в настоящее время усилия по ее активизации. </w:t>
      </w:r>
    </w:p>
    <w:p w:rsidR="00343E61" w:rsidRPr="00DF0070" w:rsidRDefault="00343E61" w:rsidP="00343E61">
      <w:pPr>
        <w:pStyle w:val="SingleTxt"/>
      </w:pPr>
      <w:r w:rsidRPr="00DF0070">
        <w:t>36.</w:t>
      </w:r>
      <w:r w:rsidRPr="00DF0070">
        <w:tab/>
        <w:t xml:space="preserve">Что касается Административного комитета СМЖЛ, его подготовительной работы и достижения целевого показателя (одна поправка), то следует отметить следующее: </w:t>
      </w:r>
    </w:p>
    <w:p w:rsidR="00343E61" w:rsidRPr="00DF0070" w:rsidRDefault="00343E61" w:rsidP="00343E61">
      <w:pPr>
        <w:pStyle w:val="SingleTxt"/>
      </w:pPr>
      <w:r>
        <w:tab/>
      </w:r>
      <w:r w:rsidRPr="00DF0070">
        <w:t>a)</w:t>
      </w:r>
      <w:r w:rsidRPr="00DF0070">
        <w:tab/>
        <w:t>Соглашение СМЖЛ представляет собой соглашение о железнодоро</w:t>
      </w:r>
      <w:r w:rsidRPr="00DF0070">
        <w:t>ж</w:t>
      </w:r>
      <w:r w:rsidRPr="00DF0070">
        <w:t>ной инфраструктуре, и согласование поправок к подобному соглашению – сло</w:t>
      </w:r>
      <w:r w:rsidRPr="00DF0070">
        <w:t>ж</w:t>
      </w:r>
      <w:r w:rsidRPr="00DF0070">
        <w:t xml:space="preserve">ная задача; </w:t>
      </w:r>
    </w:p>
    <w:p w:rsidR="00343E61" w:rsidRPr="00DF0070" w:rsidRDefault="00343E61" w:rsidP="00343E61">
      <w:pPr>
        <w:pStyle w:val="SingleTxt"/>
      </w:pPr>
      <w:r>
        <w:tab/>
      </w:r>
      <w:r w:rsidRPr="00DF0070">
        <w:t>b)</w:t>
      </w:r>
      <w:r w:rsidRPr="00DF0070">
        <w:tab/>
        <w:t>в ходе последних двух сессий обсуждались и были приняты два пре</w:t>
      </w:r>
      <w:r w:rsidRPr="00DF0070">
        <w:t>д</w:t>
      </w:r>
      <w:r w:rsidRPr="00DF0070">
        <w:t>ложения о поправках. Первое касается корректировки линий железнодорожных и комбинированных перевозок между Данией, Германией и Швецией. Второе кас</w:t>
      </w:r>
      <w:r w:rsidRPr="00DF0070">
        <w:t>а</w:t>
      </w:r>
      <w:r w:rsidRPr="00DF0070">
        <w:t xml:space="preserve">лось соответствия Техническим требованиям ЕС (ТТЭС); </w:t>
      </w:r>
    </w:p>
    <w:p w:rsidR="00343E61" w:rsidRPr="00DF0070" w:rsidRDefault="00343E61" w:rsidP="00343E61">
      <w:pPr>
        <w:pStyle w:val="SingleTxt"/>
      </w:pPr>
      <w:r>
        <w:tab/>
      </w:r>
      <w:r w:rsidRPr="00DF0070">
        <w:t>c)</w:t>
      </w:r>
      <w:r w:rsidRPr="00DF0070">
        <w:tab/>
        <w:t>секретариат принял</w:t>
      </w:r>
      <w:r>
        <w:t xml:space="preserve"> некоторые</w:t>
      </w:r>
      <w:r w:rsidRPr="00DF0070">
        <w:t xml:space="preserve"> мер</w:t>
      </w:r>
      <w:r>
        <w:t>ы</w:t>
      </w:r>
      <w:r w:rsidRPr="00DF0070">
        <w:t xml:space="preserve"> для содействия достижению д</w:t>
      </w:r>
      <w:r w:rsidRPr="00DF0070">
        <w:t>о</w:t>
      </w:r>
      <w:r w:rsidRPr="00DF0070">
        <w:t>говоренности и привлечения новых договаривающихся сторон посредством уч</w:t>
      </w:r>
      <w:r w:rsidRPr="00DF0070">
        <w:t>а</w:t>
      </w:r>
      <w:r w:rsidRPr="00DF0070">
        <w:t>стия в нескольких рабочих совещаниях/семинарах и представления информации о Соглашении путем подготовки сравнительных карт, на которых показано, какие страны являются членами СМЖЛ и Европейского соглашения о важнейших л</w:t>
      </w:r>
      <w:r w:rsidRPr="00DF0070">
        <w:t>и</w:t>
      </w:r>
      <w:r w:rsidRPr="00DF0070">
        <w:t>ниях международных комбинированных перевозок и соответствующих объектах (СЛКП), а какие − членами проектов ТЕЖ и ЕАТС, с тем чтобы обратить на это внимание стран, не являющихся участниками СМЖЛ.</w:t>
      </w:r>
    </w:p>
    <w:p w:rsidR="00343E61" w:rsidRPr="00F76CB6" w:rsidRDefault="00343E61" w:rsidP="00343E61">
      <w:pPr>
        <w:pStyle w:val="SingleTxt"/>
        <w:spacing w:after="0" w:line="120" w:lineRule="exact"/>
        <w:rPr>
          <w:b/>
          <w:sz w:val="10"/>
        </w:rPr>
      </w:pPr>
    </w:p>
    <w:p w:rsidR="00343E61" w:rsidRPr="00F76CB6" w:rsidRDefault="00343E61" w:rsidP="00343E61">
      <w:pPr>
        <w:pStyle w:val="SingleTxt"/>
        <w:spacing w:after="0" w:line="120" w:lineRule="exact"/>
        <w:rPr>
          <w:b/>
          <w:sz w:val="10"/>
        </w:rPr>
      </w:pPr>
    </w:p>
    <w:p w:rsidR="00343E61" w:rsidRPr="00DF0070" w:rsidRDefault="00343E61" w:rsidP="00343E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t>D.</w:t>
      </w:r>
      <w:r w:rsidRPr="00DF0070">
        <w:tab/>
        <w:t>Извлеченные уроки/области, в которых необходимы улучшения</w:t>
      </w:r>
    </w:p>
    <w:p w:rsidR="00343E61" w:rsidRPr="00F76CB6" w:rsidRDefault="00343E61" w:rsidP="00343E61">
      <w:pPr>
        <w:pStyle w:val="SingleTxt"/>
        <w:spacing w:after="0" w:line="120" w:lineRule="exact"/>
        <w:rPr>
          <w:sz w:val="10"/>
        </w:rPr>
      </w:pPr>
    </w:p>
    <w:p w:rsidR="00343E61" w:rsidRPr="00F76CB6" w:rsidRDefault="00343E61" w:rsidP="00343E61">
      <w:pPr>
        <w:pStyle w:val="SingleTxt"/>
        <w:spacing w:after="0" w:line="120" w:lineRule="exact"/>
        <w:rPr>
          <w:sz w:val="10"/>
        </w:rPr>
      </w:pPr>
    </w:p>
    <w:p w:rsidR="00343E61" w:rsidRPr="00DF0070" w:rsidRDefault="00343E61" w:rsidP="00343E61">
      <w:pPr>
        <w:pStyle w:val="SingleTxt"/>
      </w:pPr>
      <w:r w:rsidRPr="00DF0070">
        <w:t>37.</w:t>
      </w:r>
      <w:r w:rsidRPr="00DF0070">
        <w:tab/>
        <w:t xml:space="preserve">По итогам деятельности в период 2014–2015 годов была отмечена важность: </w:t>
      </w:r>
    </w:p>
    <w:p w:rsidR="00343E61" w:rsidRPr="00DF0070" w:rsidRDefault="00343E61" w:rsidP="00C76D71">
      <w:pPr>
        <w:pStyle w:val="Bullet1"/>
        <w:ind w:left="1743" w:hanging="130"/>
      </w:pPr>
      <w:r w:rsidRPr="00DF0070">
        <w:t>своевременной и эффективной организации и обслуживания ежегодной се</w:t>
      </w:r>
      <w:r w:rsidRPr="00DF0070">
        <w:t>с</w:t>
      </w:r>
      <w:r w:rsidRPr="00DF0070">
        <w:t xml:space="preserve">сии Рабочей группы и ее Группы экспертов; </w:t>
      </w:r>
    </w:p>
    <w:p w:rsidR="00343E61" w:rsidRPr="00DF0070" w:rsidRDefault="00343E61" w:rsidP="00C76D71">
      <w:pPr>
        <w:pStyle w:val="Bullet1"/>
        <w:ind w:left="1743" w:hanging="130"/>
      </w:pPr>
      <w:r w:rsidRPr="00DF0070">
        <w:t>постоянного сотрудничества с представителями делегаций-участниц, обе</w:t>
      </w:r>
      <w:r w:rsidRPr="00DF0070">
        <w:t>с</w:t>
      </w:r>
      <w:r w:rsidRPr="00DF0070">
        <w:t xml:space="preserve">печения их вовлеченности в работу и </w:t>
      </w:r>
      <w:proofErr w:type="spellStart"/>
      <w:r w:rsidRPr="00DF0070">
        <w:t>уделения</w:t>
      </w:r>
      <w:proofErr w:type="spellEnd"/>
      <w:r w:rsidRPr="00DF0070">
        <w:t xml:space="preserve"> внимания их потребностям; </w:t>
      </w:r>
    </w:p>
    <w:p w:rsidR="00343E61" w:rsidRPr="00DF0070" w:rsidRDefault="00343E61" w:rsidP="00C76D71">
      <w:pPr>
        <w:pStyle w:val="Bullet1"/>
        <w:ind w:left="1743" w:hanging="130"/>
      </w:pPr>
      <w:r w:rsidRPr="00DF0070">
        <w:lastRenderedPageBreak/>
        <w:t xml:space="preserve">высококачественной повестки дня по вопросам существа, своевременного представления документов и докладов; </w:t>
      </w:r>
    </w:p>
    <w:p w:rsidR="00343E61" w:rsidRPr="00DF0070" w:rsidRDefault="00343E61" w:rsidP="00C76D71">
      <w:pPr>
        <w:pStyle w:val="Bullet1"/>
        <w:ind w:left="1743" w:hanging="130"/>
      </w:pPr>
      <w:r w:rsidRPr="00DF0070">
        <w:t xml:space="preserve">проведения всех запланированных мероприятий и реализации программы работы к удовлетворению правительств; </w:t>
      </w:r>
    </w:p>
    <w:p w:rsidR="00343E61" w:rsidRPr="00DF0070" w:rsidRDefault="00343E61" w:rsidP="00C76D71">
      <w:pPr>
        <w:pStyle w:val="Bullet1"/>
        <w:ind w:left="1743" w:hanging="130"/>
      </w:pPr>
      <w:r w:rsidRPr="00DF0070">
        <w:t>эффективного и своевременного проведения совещаний без жалоб от пр</w:t>
      </w:r>
      <w:r w:rsidRPr="00DF0070">
        <w:t>а</w:t>
      </w:r>
      <w:r w:rsidRPr="00DF0070">
        <w:t>вительств;</w:t>
      </w:r>
    </w:p>
    <w:p w:rsidR="00343E61" w:rsidRPr="00DF0070" w:rsidRDefault="00343E61" w:rsidP="00C76D71">
      <w:pPr>
        <w:pStyle w:val="Bullet1"/>
        <w:ind w:left="1743" w:hanging="130"/>
      </w:pPr>
      <w:r w:rsidRPr="00DF0070">
        <w:t>своевременной подготовки и высокого качества документов совещаний;</w:t>
      </w:r>
    </w:p>
    <w:p w:rsidR="00343E61" w:rsidRPr="00DF0070" w:rsidRDefault="00343E61" w:rsidP="00C76D71">
      <w:pPr>
        <w:pStyle w:val="Bullet1"/>
        <w:ind w:left="1743" w:hanging="130"/>
      </w:pPr>
      <w:r w:rsidRPr="00DF0070">
        <w:t>подготовки докладов о работе совещаний в течение четырех недель после проведения совещания;</w:t>
      </w:r>
    </w:p>
    <w:p w:rsidR="00343E61" w:rsidRPr="00DF0070" w:rsidRDefault="00343E61" w:rsidP="00C76D71">
      <w:pPr>
        <w:pStyle w:val="Bullet1"/>
        <w:ind w:left="1743" w:hanging="130"/>
      </w:pPr>
      <w:r w:rsidRPr="00DF0070">
        <w:t>обеспечения эффективной последующей деятельности;</w:t>
      </w:r>
    </w:p>
    <w:p w:rsidR="00343E61" w:rsidRPr="00C76D71" w:rsidRDefault="00343E61" w:rsidP="00C76D71">
      <w:pPr>
        <w:pStyle w:val="Bullet1"/>
        <w:ind w:left="1743" w:hanging="130"/>
      </w:pPr>
      <w:r w:rsidRPr="00DF0070">
        <w:t>успешной совместной деятельности с соответствующими организациями, такими как МКЖД, ОСЖД, ОТИФ и МСЖД.</w:t>
      </w:r>
    </w:p>
    <w:p w:rsidR="00343E61" w:rsidRPr="00F76CB6" w:rsidRDefault="00343E61" w:rsidP="00343E61">
      <w:pPr>
        <w:pStyle w:val="SingleTxt"/>
        <w:spacing w:after="0" w:line="120" w:lineRule="exact"/>
        <w:rPr>
          <w:sz w:val="10"/>
        </w:rPr>
      </w:pPr>
    </w:p>
    <w:p w:rsidR="00343E61" w:rsidRPr="00F76CB6" w:rsidRDefault="00343E61" w:rsidP="00343E61">
      <w:pPr>
        <w:pStyle w:val="SingleTxt"/>
        <w:spacing w:after="0" w:line="120" w:lineRule="exact"/>
        <w:rPr>
          <w:sz w:val="10"/>
        </w:rPr>
      </w:pPr>
    </w:p>
    <w:p w:rsidR="00343E61" w:rsidRPr="00DF0070" w:rsidRDefault="00343E61" w:rsidP="00343E6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r>
      <w:r w:rsidRPr="00DF0070">
        <w:tab/>
        <w:t>Направление деятельности 4.b</w:t>
      </w:r>
      <w:r w:rsidRPr="00DF0070">
        <w:br/>
        <w:t>Проект Трансъевропейской железнодорожной магистрали (ТЕЖ)</w:t>
      </w:r>
    </w:p>
    <w:p w:rsidR="00343E61" w:rsidRPr="00F76CB6" w:rsidRDefault="00343E61" w:rsidP="00343E61">
      <w:pPr>
        <w:pStyle w:val="SingleTxt"/>
        <w:spacing w:after="0" w:line="120" w:lineRule="exact"/>
        <w:rPr>
          <w:b/>
          <w:sz w:val="10"/>
        </w:rPr>
      </w:pPr>
    </w:p>
    <w:p w:rsidR="00343E61" w:rsidRPr="00F76CB6" w:rsidRDefault="00343E61" w:rsidP="00343E61">
      <w:pPr>
        <w:pStyle w:val="SingleTxt"/>
        <w:spacing w:after="0" w:line="120" w:lineRule="exact"/>
        <w:rPr>
          <w:b/>
          <w:sz w:val="10"/>
        </w:rPr>
      </w:pPr>
    </w:p>
    <w:p w:rsidR="00343E61" w:rsidRPr="00DF0070" w:rsidRDefault="00343E61" w:rsidP="00343E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t>A.</w:t>
      </w:r>
      <w:r w:rsidRPr="00DF0070">
        <w:tab/>
        <w:t>Ожидаемое достижение (ОД 4.b)</w:t>
      </w:r>
    </w:p>
    <w:p w:rsidR="00343E61" w:rsidRPr="00F76CB6" w:rsidRDefault="00343E61" w:rsidP="00343E61">
      <w:pPr>
        <w:pStyle w:val="SingleTxt"/>
        <w:spacing w:after="0" w:line="120" w:lineRule="exact"/>
        <w:rPr>
          <w:sz w:val="10"/>
        </w:rPr>
      </w:pPr>
    </w:p>
    <w:p w:rsidR="00343E61" w:rsidRPr="00F76CB6" w:rsidRDefault="00343E61" w:rsidP="00343E61">
      <w:pPr>
        <w:pStyle w:val="SingleTxt"/>
        <w:spacing w:after="0" w:line="120" w:lineRule="exact"/>
        <w:rPr>
          <w:sz w:val="10"/>
        </w:rPr>
      </w:pPr>
    </w:p>
    <w:p w:rsidR="00343E61" w:rsidRPr="00DF0070" w:rsidRDefault="00343E61" w:rsidP="00343E61">
      <w:pPr>
        <w:pStyle w:val="SingleTxt"/>
      </w:pPr>
      <w:r w:rsidRPr="00DF0070">
        <w:t>38.</w:t>
      </w:r>
      <w:r w:rsidRPr="00DF0070">
        <w:tab/>
        <w:t xml:space="preserve">Укрепление потенциала стран ЕЭК, участвующих в проекте ТЕЖ. </w:t>
      </w:r>
    </w:p>
    <w:p w:rsidR="00343E61" w:rsidRPr="00F76CB6" w:rsidRDefault="00343E61" w:rsidP="00343E61">
      <w:pPr>
        <w:pStyle w:val="SingleTxt"/>
        <w:spacing w:after="0" w:line="120" w:lineRule="exact"/>
        <w:rPr>
          <w:b/>
          <w:sz w:val="10"/>
        </w:rPr>
      </w:pPr>
    </w:p>
    <w:p w:rsidR="00343E61" w:rsidRPr="00F76CB6" w:rsidRDefault="00343E61" w:rsidP="00343E61">
      <w:pPr>
        <w:pStyle w:val="SingleTxt"/>
        <w:spacing w:after="0" w:line="120" w:lineRule="exact"/>
        <w:rPr>
          <w:b/>
          <w:sz w:val="10"/>
        </w:rPr>
      </w:pPr>
    </w:p>
    <w:p w:rsidR="00343E61" w:rsidRPr="00DF0070" w:rsidRDefault="00343E61" w:rsidP="00343E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t>B.</w:t>
      </w:r>
      <w:r w:rsidRPr="00DF0070">
        <w:tab/>
        <w:t>Показатели достижения</w:t>
      </w:r>
    </w:p>
    <w:p w:rsidR="00343E61" w:rsidRPr="00F76CB6" w:rsidRDefault="00343E61" w:rsidP="00343E61">
      <w:pPr>
        <w:pStyle w:val="SingleTxt"/>
        <w:spacing w:after="0" w:line="120" w:lineRule="exact"/>
        <w:rPr>
          <w:b/>
          <w:sz w:val="10"/>
        </w:rPr>
      </w:pPr>
    </w:p>
    <w:p w:rsidR="00343E61" w:rsidRPr="00F76CB6" w:rsidRDefault="00343E61" w:rsidP="00343E61">
      <w:pPr>
        <w:pStyle w:val="SingleTxt"/>
        <w:spacing w:after="0" w:line="120" w:lineRule="exact"/>
        <w:rPr>
          <w:b/>
          <w:sz w:val="10"/>
        </w:rPr>
      </w:pPr>
    </w:p>
    <w:p w:rsidR="00343E61" w:rsidRPr="00DF0070" w:rsidRDefault="00343E61" w:rsidP="00343E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t>1.</w:t>
      </w:r>
      <w:r w:rsidRPr="00DF0070">
        <w:tab/>
        <w:t>Число стран ЕЭК ООН, участвующих в проекте ТЕЖ (ПД 3/6 a))</w:t>
      </w:r>
    </w:p>
    <w:p w:rsidR="00343E61" w:rsidRPr="00F76CB6" w:rsidRDefault="00343E61" w:rsidP="00343E61">
      <w:pPr>
        <w:pStyle w:val="SingleTxt"/>
        <w:spacing w:after="0" w:line="120" w:lineRule="exact"/>
        <w:rPr>
          <w:i/>
          <w:iCs/>
          <w:sz w:val="10"/>
        </w:rPr>
      </w:pPr>
    </w:p>
    <w:p w:rsidR="00343E61" w:rsidRPr="00DF0070" w:rsidRDefault="00343E61" w:rsidP="00343E6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DF0070">
        <w:t>Показатели результативности:</w:t>
      </w:r>
    </w:p>
    <w:p w:rsidR="00343E61" w:rsidRPr="00F76CB6" w:rsidRDefault="00343E61" w:rsidP="00343E61">
      <w:pPr>
        <w:pStyle w:val="SingleTxt"/>
        <w:spacing w:after="0" w:line="120" w:lineRule="exact"/>
        <w:rPr>
          <w:sz w:val="10"/>
        </w:rPr>
      </w:pPr>
    </w:p>
    <w:p w:rsidR="00343E61" w:rsidRPr="00DF0070" w:rsidRDefault="00343E61" w:rsidP="00343E61">
      <w:pPr>
        <w:pStyle w:val="SingleTxt"/>
      </w:pPr>
      <w:r w:rsidRPr="00DF0070">
        <w:t>Исходные показатели за 2012–2013 годы: 14 стран</w:t>
      </w:r>
      <w:r>
        <w:t>.</w:t>
      </w:r>
    </w:p>
    <w:p w:rsidR="00343E61" w:rsidRPr="00DF0070" w:rsidRDefault="00343E61" w:rsidP="00343E61">
      <w:pPr>
        <w:pStyle w:val="SingleTxt"/>
      </w:pPr>
      <w:r w:rsidRPr="00DF0070">
        <w:t>Целевые показатели на 2014–2015 годы: 14 стран</w:t>
      </w:r>
      <w:r>
        <w:t>.</w:t>
      </w:r>
    </w:p>
    <w:p w:rsidR="00343E61" w:rsidRPr="00DF0070" w:rsidRDefault="00343E61" w:rsidP="00343E61">
      <w:pPr>
        <w:pStyle w:val="SingleTxt"/>
        <w:rPr>
          <w:b/>
          <w:bCs/>
        </w:rPr>
      </w:pPr>
      <w:r w:rsidRPr="00DF0070">
        <w:rPr>
          <w:b/>
          <w:bCs/>
        </w:rPr>
        <w:t>Фактические показатели за 2014–2015 годы: 14 стран</w:t>
      </w:r>
      <w:r w:rsidRPr="00F76CB6">
        <w:t>.</w:t>
      </w:r>
    </w:p>
    <w:p w:rsidR="00343E61" w:rsidRPr="00F76CB6" w:rsidRDefault="00343E61" w:rsidP="00343E61">
      <w:pPr>
        <w:pStyle w:val="SingleTxt"/>
        <w:spacing w:after="0" w:line="120" w:lineRule="exact"/>
        <w:rPr>
          <w:b/>
          <w:sz w:val="10"/>
        </w:rPr>
      </w:pPr>
    </w:p>
    <w:p w:rsidR="00343E61" w:rsidRPr="00F76CB6" w:rsidRDefault="00343E61" w:rsidP="00343E61">
      <w:pPr>
        <w:pStyle w:val="SingleTxt"/>
        <w:spacing w:after="0" w:line="120" w:lineRule="exact"/>
        <w:rPr>
          <w:b/>
          <w:sz w:val="10"/>
        </w:rPr>
      </w:pPr>
    </w:p>
    <w:p w:rsidR="00343E61" w:rsidRPr="00DF0070" w:rsidRDefault="00343E61" w:rsidP="00343E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t>C.</w:t>
      </w:r>
      <w:r w:rsidRPr="00DF0070">
        <w:tab/>
        <w:t>Оценка результативности</w:t>
      </w:r>
    </w:p>
    <w:p w:rsidR="00343E61" w:rsidRPr="00F76CB6" w:rsidRDefault="00343E61" w:rsidP="00343E61">
      <w:pPr>
        <w:pStyle w:val="SingleTxt"/>
        <w:spacing w:after="0" w:line="120" w:lineRule="exact"/>
        <w:rPr>
          <w:sz w:val="10"/>
        </w:rPr>
      </w:pPr>
    </w:p>
    <w:p w:rsidR="00343E61" w:rsidRPr="00F76CB6" w:rsidRDefault="00343E61" w:rsidP="00343E61">
      <w:pPr>
        <w:pStyle w:val="SingleTxt"/>
        <w:spacing w:after="0" w:line="120" w:lineRule="exact"/>
        <w:rPr>
          <w:sz w:val="10"/>
        </w:rPr>
      </w:pPr>
    </w:p>
    <w:p w:rsidR="00343E61" w:rsidRPr="00DF0070" w:rsidRDefault="00343E61" w:rsidP="00343E61">
      <w:pPr>
        <w:pStyle w:val="SingleTxt"/>
      </w:pPr>
      <w:r w:rsidRPr="00DF0070">
        <w:t>39.</w:t>
      </w:r>
      <w:r w:rsidRPr="00DF0070">
        <w:tab/>
        <w:t xml:space="preserve">Фактический показатель за период 2014–2015 годов характеризует число стран, внесших вклад </w:t>
      </w:r>
      <w:r>
        <w:t>в деятельность по Соглашению о Ц</w:t>
      </w:r>
      <w:r w:rsidRPr="00DF0070">
        <w:t>елевом фонде ТЕЖ. Число стран, которые участвовали в заседаниях Руководящего комитета прое</w:t>
      </w:r>
      <w:r w:rsidRPr="00DF0070">
        <w:t>к</w:t>
      </w:r>
      <w:r w:rsidRPr="00DF0070">
        <w:t>та</w:t>
      </w:r>
      <w:r>
        <w:t> </w:t>
      </w:r>
      <w:r w:rsidRPr="00DF0070">
        <w:t xml:space="preserve">(4), </w:t>
      </w:r>
      <w:r>
        <w:t>составило</w:t>
      </w:r>
      <w:r w:rsidRPr="00DF0070">
        <w:t xml:space="preserve"> 29. </w:t>
      </w:r>
    </w:p>
    <w:p w:rsidR="00343E61" w:rsidRPr="00DF0070" w:rsidRDefault="00343E61" w:rsidP="00343E61">
      <w:pPr>
        <w:pStyle w:val="SingleTxt"/>
      </w:pPr>
      <w:r w:rsidRPr="00DF0070">
        <w:t>40.</w:t>
      </w:r>
      <w:r w:rsidRPr="00DF0070">
        <w:tab/>
        <w:t>В течение рассматриваемого периода укрепилось взаимодействие между проектом ТЕЖ и Рабочей группой по железнодорожному транспорту. Особое внимание уделялось разработке Генерального плана для высокоскоростных пое</w:t>
      </w:r>
      <w:r w:rsidRPr="00DF0070">
        <w:t>з</w:t>
      </w:r>
      <w:r w:rsidRPr="00DF0070">
        <w:t>дов для ТЕЖ и региона ЕЭК. Было достигнуто соглашение по методологии, к</w:t>
      </w:r>
      <w:r w:rsidRPr="00DF0070">
        <w:t>о</w:t>
      </w:r>
      <w:r w:rsidRPr="00DF0070">
        <w:t xml:space="preserve">торую предстоит использовать, и проводимым мероприятиям. </w:t>
      </w:r>
    </w:p>
    <w:p w:rsidR="00343E61" w:rsidRPr="00DF0070" w:rsidRDefault="00343E61" w:rsidP="00343E61">
      <w:pPr>
        <w:pStyle w:val="SingleTxt"/>
      </w:pPr>
      <w:r w:rsidRPr="00DF0070">
        <w:t>41.</w:t>
      </w:r>
      <w:r w:rsidRPr="00DF0070">
        <w:tab/>
        <w:t xml:space="preserve">Кроме того, </w:t>
      </w:r>
      <w:r>
        <w:t>совещание</w:t>
      </w:r>
      <w:r w:rsidRPr="00DF0070">
        <w:t xml:space="preserve"> Руководящего комитета, состоявшееся в Женеве в ноябре 2015 года, оказалось весьма важным для проекта ТЕЖ, поскольку делег</w:t>
      </w:r>
      <w:r w:rsidRPr="00DF0070">
        <w:t>а</w:t>
      </w:r>
      <w:r w:rsidRPr="00DF0070">
        <w:t>ты согласовали конкретный план действий на предстоящий период. По предл</w:t>
      </w:r>
      <w:r w:rsidRPr="00DF0070">
        <w:t>о</w:t>
      </w:r>
      <w:r w:rsidRPr="00DF0070">
        <w:t>жению правительс</w:t>
      </w:r>
      <w:r>
        <w:t>тва Российской Федерации новым У</w:t>
      </w:r>
      <w:r w:rsidRPr="00DF0070">
        <w:t xml:space="preserve">правляющим проекта был назначен опытный дипломат, специализирующийся на железных дорогах, </w:t>
      </w:r>
      <w:r>
        <w:br/>
      </w:r>
      <w:r w:rsidRPr="00DF0070">
        <w:t xml:space="preserve">г-н Бессонов. Новым заместителем управляющего проектом по предложению </w:t>
      </w:r>
      <w:r w:rsidRPr="00DF0070">
        <w:lastRenderedPageBreak/>
        <w:t xml:space="preserve">правительства Австрии стал старший эксперт по железным дорогам г-н </w:t>
      </w:r>
      <w:proofErr w:type="spellStart"/>
      <w:r w:rsidRPr="00DF0070">
        <w:t>Циммер</w:t>
      </w:r>
      <w:proofErr w:type="spellEnd"/>
      <w:r>
        <w:t>, с которым пока окончательно не заключен контракт</w:t>
      </w:r>
      <w:r w:rsidRPr="00DF0070">
        <w:t xml:space="preserve">. </w:t>
      </w:r>
    </w:p>
    <w:p w:rsidR="00343E61" w:rsidRPr="00DF0070" w:rsidRDefault="00343E61" w:rsidP="00343E61">
      <w:pPr>
        <w:pStyle w:val="SingleTxt"/>
      </w:pPr>
      <w:r w:rsidRPr="00DF0070">
        <w:t>42.</w:t>
      </w:r>
      <w:r w:rsidRPr="00DF0070">
        <w:tab/>
      </w:r>
      <w:r>
        <w:t>П</w:t>
      </w:r>
      <w:r w:rsidRPr="00DF0070">
        <w:t>одготов</w:t>
      </w:r>
      <w:r>
        <w:t>лен</w:t>
      </w:r>
      <w:r w:rsidRPr="00DF0070">
        <w:t xml:space="preserve"> нов</w:t>
      </w:r>
      <w:r>
        <w:t>ый</w:t>
      </w:r>
      <w:r w:rsidRPr="00DF0070">
        <w:t xml:space="preserve"> план работы на 2016 год, в котором отражены значимые проекты и конкретные результаты, что будет </w:t>
      </w:r>
      <w:r>
        <w:t>одобрено</w:t>
      </w:r>
      <w:r w:rsidRPr="00DF0070">
        <w:t xml:space="preserve"> правительствами, учас</w:t>
      </w:r>
      <w:r w:rsidRPr="00DF0070">
        <w:t>т</w:t>
      </w:r>
      <w:r w:rsidRPr="00DF0070">
        <w:t>вующими в проекте.</w:t>
      </w:r>
    </w:p>
    <w:p w:rsidR="00343E61" w:rsidRPr="00F76CB6" w:rsidRDefault="00343E61" w:rsidP="00343E61">
      <w:pPr>
        <w:pStyle w:val="SingleTxt"/>
        <w:spacing w:after="0" w:line="120" w:lineRule="exact"/>
        <w:rPr>
          <w:b/>
          <w:sz w:val="10"/>
        </w:rPr>
      </w:pPr>
    </w:p>
    <w:p w:rsidR="00343E61" w:rsidRPr="00F76CB6" w:rsidRDefault="00343E61" w:rsidP="00343E61">
      <w:pPr>
        <w:pStyle w:val="SingleTxt"/>
        <w:spacing w:after="0" w:line="120" w:lineRule="exact"/>
        <w:rPr>
          <w:b/>
          <w:sz w:val="10"/>
        </w:rPr>
      </w:pPr>
    </w:p>
    <w:p w:rsidR="00343E61" w:rsidRPr="00DF0070" w:rsidRDefault="00343E61" w:rsidP="00343E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t>D.</w:t>
      </w:r>
      <w:r w:rsidRPr="00DF0070">
        <w:tab/>
        <w:t>Извлеченные уроки/области, в которых необходимы улучшения</w:t>
      </w:r>
    </w:p>
    <w:p w:rsidR="00343E61" w:rsidRPr="00F76CB6" w:rsidRDefault="00343E61" w:rsidP="00343E61">
      <w:pPr>
        <w:pStyle w:val="SingleTxt"/>
        <w:spacing w:after="0" w:line="120" w:lineRule="exact"/>
        <w:rPr>
          <w:sz w:val="10"/>
        </w:rPr>
      </w:pPr>
    </w:p>
    <w:p w:rsidR="00343E61" w:rsidRPr="00F76CB6" w:rsidRDefault="00343E61" w:rsidP="00343E61">
      <w:pPr>
        <w:pStyle w:val="SingleTxt"/>
        <w:spacing w:after="0" w:line="120" w:lineRule="exact"/>
        <w:rPr>
          <w:sz w:val="10"/>
        </w:rPr>
      </w:pPr>
    </w:p>
    <w:p w:rsidR="00343E61" w:rsidRPr="00DF0070" w:rsidRDefault="00343E61" w:rsidP="00343E61">
      <w:pPr>
        <w:pStyle w:val="SingleTxt"/>
      </w:pPr>
      <w:r w:rsidRPr="00DF0070">
        <w:t>43.</w:t>
      </w:r>
      <w:r w:rsidRPr="00DF0070">
        <w:tab/>
        <w:t>Тесное сотрудничество с участвующими странами-членами и поддержка со стороны крупных международных финансовых организаций, а также железнод</w:t>
      </w:r>
      <w:r w:rsidRPr="00DF0070">
        <w:t>о</w:t>
      </w:r>
      <w:r w:rsidRPr="00DF0070">
        <w:t>рожных предприятий в странах, принимающих участие в проекте ТЕЖ, сыграют ключевую роль в реализации инвестиционных планов и приоритетных проектов, указанных в пересмотренном Генеральном плане ТЕЖ. Необходимо активизир</w:t>
      </w:r>
      <w:r w:rsidRPr="00DF0070">
        <w:t>о</w:t>
      </w:r>
      <w:r w:rsidRPr="00DF0070">
        <w:t>вать работу по проекту и наметить новые мероприятия и проекты, способные принести конкретную практическую пользу и привлечь правительства нынешних государств-участников и новых стран. Новый Управляющий проектом и его з</w:t>
      </w:r>
      <w:r w:rsidRPr="00DF0070">
        <w:t>а</w:t>
      </w:r>
      <w:r w:rsidRPr="00DF0070">
        <w:t>меститель должны сыграть ключевую роль в достижении этой стратегической цели.</w:t>
      </w:r>
    </w:p>
    <w:p w:rsidR="00343E61" w:rsidRPr="00F76CB6" w:rsidRDefault="00343E61" w:rsidP="00343E61">
      <w:pPr>
        <w:pStyle w:val="SingleTxt"/>
        <w:spacing w:after="0" w:line="120" w:lineRule="exact"/>
        <w:rPr>
          <w:b/>
          <w:sz w:val="10"/>
        </w:rPr>
      </w:pPr>
    </w:p>
    <w:p w:rsidR="00343E61" w:rsidRPr="00F76CB6" w:rsidRDefault="00343E61" w:rsidP="00343E61">
      <w:pPr>
        <w:pStyle w:val="SingleTxt"/>
        <w:spacing w:after="0" w:line="120" w:lineRule="exact"/>
        <w:rPr>
          <w:b/>
          <w:sz w:val="10"/>
        </w:rPr>
      </w:pPr>
    </w:p>
    <w:p w:rsidR="00343E61" w:rsidRPr="00DF0070" w:rsidRDefault="00343E61" w:rsidP="00343E6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r>
      <w:r w:rsidRPr="00DF0070">
        <w:tab/>
        <w:t>Направление деятельности 5</w:t>
      </w:r>
      <w:r w:rsidRPr="00DF0070">
        <w:br/>
        <w:t>Внутренний водный транспорт</w:t>
      </w:r>
    </w:p>
    <w:p w:rsidR="00343E61" w:rsidRPr="00F76CB6" w:rsidRDefault="00343E61" w:rsidP="00343E61">
      <w:pPr>
        <w:pStyle w:val="SingleTxt"/>
        <w:spacing w:after="0" w:line="120" w:lineRule="exact"/>
        <w:rPr>
          <w:b/>
          <w:sz w:val="10"/>
        </w:rPr>
      </w:pPr>
    </w:p>
    <w:p w:rsidR="00343E61" w:rsidRPr="00F76CB6" w:rsidRDefault="00343E61" w:rsidP="00343E61">
      <w:pPr>
        <w:pStyle w:val="SingleTxt"/>
        <w:spacing w:after="0" w:line="120" w:lineRule="exact"/>
        <w:rPr>
          <w:b/>
          <w:sz w:val="10"/>
        </w:rPr>
      </w:pPr>
    </w:p>
    <w:p w:rsidR="00343E61" w:rsidRPr="00DF0070" w:rsidRDefault="00343E61" w:rsidP="00343E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t>A.</w:t>
      </w:r>
      <w:r w:rsidRPr="00DF0070">
        <w:tab/>
        <w:t>Ожидаемое достижение (ОД 5.)</w:t>
      </w:r>
    </w:p>
    <w:p w:rsidR="00343E61" w:rsidRPr="00F76CB6" w:rsidRDefault="00343E61" w:rsidP="00343E61">
      <w:pPr>
        <w:pStyle w:val="SingleTxt"/>
        <w:spacing w:after="0" w:line="120" w:lineRule="exact"/>
        <w:rPr>
          <w:sz w:val="10"/>
        </w:rPr>
      </w:pPr>
    </w:p>
    <w:p w:rsidR="00343E61" w:rsidRPr="00F76CB6" w:rsidRDefault="00343E61" w:rsidP="00343E61">
      <w:pPr>
        <w:pStyle w:val="SingleTxt"/>
        <w:spacing w:after="0" w:line="120" w:lineRule="exact"/>
        <w:rPr>
          <w:sz w:val="10"/>
        </w:rPr>
      </w:pPr>
    </w:p>
    <w:p w:rsidR="00343E61" w:rsidRPr="00DF0070" w:rsidRDefault="00343E61" w:rsidP="00343E61">
      <w:pPr>
        <w:pStyle w:val="SingleTxt"/>
      </w:pPr>
      <w:r w:rsidRPr="00DF0070">
        <w:t>44.</w:t>
      </w:r>
      <w:r w:rsidRPr="00DF0070">
        <w:tab/>
        <w:t>Усовершенствование и обновление нормативных рамок для инфраструктуры внутреннего водного транспорта и судов внутреннего плавания в регионе ЕЭК ООН.</w:t>
      </w:r>
    </w:p>
    <w:p w:rsidR="00343E61" w:rsidRPr="00F76CB6" w:rsidRDefault="00343E61" w:rsidP="00343E61">
      <w:pPr>
        <w:pStyle w:val="SingleTxt"/>
        <w:spacing w:after="0" w:line="120" w:lineRule="exact"/>
        <w:rPr>
          <w:b/>
          <w:sz w:val="10"/>
        </w:rPr>
      </w:pPr>
    </w:p>
    <w:p w:rsidR="00343E61" w:rsidRPr="00F76CB6" w:rsidRDefault="00343E61" w:rsidP="00343E61">
      <w:pPr>
        <w:pStyle w:val="SingleTxt"/>
        <w:spacing w:after="0" w:line="120" w:lineRule="exact"/>
        <w:rPr>
          <w:b/>
          <w:sz w:val="10"/>
        </w:rPr>
      </w:pPr>
    </w:p>
    <w:p w:rsidR="00343E61" w:rsidRPr="00DF0070" w:rsidRDefault="00343E61" w:rsidP="00343E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t>B.</w:t>
      </w:r>
      <w:r w:rsidRPr="00DF0070">
        <w:tab/>
        <w:t>Показатели достижения</w:t>
      </w:r>
    </w:p>
    <w:p w:rsidR="00343E61" w:rsidRPr="00F76CB6" w:rsidRDefault="00343E61" w:rsidP="00343E61">
      <w:pPr>
        <w:pStyle w:val="SingleTxt"/>
        <w:spacing w:after="0" w:line="120" w:lineRule="exact"/>
        <w:rPr>
          <w:b/>
          <w:sz w:val="10"/>
        </w:rPr>
      </w:pPr>
    </w:p>
    <w:p w:rsidR="00343E61" w:rsidRPr="00F76CB6" w:rsidRDefault="00343E61" w:rsidP="00343E61">
      <w:pPr>
        <w:pStyle w:val="SingleTxt"/>
        <w:spacing w:after="0" w:line="120" w:lineRule="exact"/>
        <w:rPr>
          <w:b/>
          <w:sz w:val="10"/>
        </w:rPr>
      </w:pPr>
    </w:p>
    <w:p w:rsidR="00343E61" w:rsidRPr="00DF0070" w:rsidRDefault="00343E61" w:rsidP="00343E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t>1.</w:t>
      </w:r>
      <w:r w:rsidRPr="00DF0070">
        <w:tab/>
        <w:t xml:space="preserve">Стимулирование работы по подготовке второго издания Синей книги ЕЭК </w:t>
      </w:r>
      <w:r>
        <w:br/>
      </w:r>
      <w:r w:rsidRPr="00DF0070">
        <w:t>и обновление на этой основе Европейского соглашения о важнейших внутренних водных путях международного значения (СМВП) и других соответствующих документов ЕЭК ООН (ПД 5. a))</w:t>
      </w:r>
    </w:p>
    <w:p w:rsidR="00343E61" w:rsidRPr="00F76CB6" w:rsidRDefault="00343E61" w:rsidP="00343E61">
      <w:pPr>
        <w:pStyle w:val="SingleTxt"/>
        <w:spacing w:after="0" w:line="120" w:lineRule="exact"/>
        <w:rPr>
          <w:i/>
          <w:sz w:val="10"/>
        </w:rPr>
      </w:pPr>
    </w:p>
    <w:p w:rsidR="00343E61" w:rsidRPr="00DF0070" w:rsidRDefault="00343E61" w:rsidP="00343E6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r>
      <w:r w:rsidRPr="00DF0070">
        <w:tab/>
        <w:t>Показатели результативности</w:t>
      </w:r>
    </w:p>
    <w:p w:rsidR="00343E61" w:rsidRPr="00F76CB6" w:rsidRDefault="00343E61" w:rsidP="00343E61">
      <w:pPr>
        <w:pStyle w:val="SingleTxt"/>
        <w:spacing w:after="0" w:line="120" w:lineRule="exact"/>
        <w:rPr>
          <w:sz w:val="10"/>
        </w:rPr>
      </w:pPr>
    </w:p>
    <w:p w:rsidR="00343E61" w:rsidRPr="00DF0070" w:rsidRDefault="00343E61" w:rsidP="00343E61">
      <w:pPr>
        <w:pStyle w:val="SingleTxt"/>
      </w:pPr>
      <w:r w:rsidRPr="00DF0070">
        <w:t>Исходные показатели за 2011 год: принятие второго издания Синей книги ЕЭК ООН</w:t>
      </w:r>
      <w:r>
        <w:t>.</w:t>
      </w:r>
    </w:p>
    <w:p w:rsidR="00343E61" w:rsidRPr="00DF0070" w:rsidRDefault="00343E61" w:rsidP="00343E61">
      <w:pPr>
        <w:pStyle w:val="SingleTxt"/>
      </w:pPr>
      <w:r w:rsidRPr="00DF0070">
        <w:t xml:space="preserve">Целевые показатели на 2012–2013 годы: принятие поправок к СМВП и </w:t>
      </w:r>
      <w:r>
        <w:t xml:space="preserve">к таким </w:t>
      </w:r>
      <w:r w:rsidRPr="00DF0070">
        <w:t>другим соответствующим правовым документам ЕЭК по транспортной инфр</w:t>
      </w:r>
      <w:r w:rsidRPr="00DF0070">
        <w:t>а</w:t>
      </w:r>
      <w:r w:rsidRPr="00DF0070">
        <w:t>структуре, как Протокол о комбинированных перевозках по внутренним водным путям к Европейскому соглашению о важнейших линиях международных комб</w:t>
      </w:r>
      <w:r w:rsidRPr="00DF0070">
        <w:t>и</w:t>
      </w:r>
      <w:r w:rsidRPr="00DF0070">
        <w:t>нированных перевозок и соответствующих объектах (СЛКП).</w:t>
      </w:r>
    </w:p>
    <w:p w:rsidR="00343E61" w:rsidRPr="00DF0070" w:rsidRDefault="00343E61" w:rsidP="00343E61">
      <w:pPr>
        <w:pStyle w:val="SingleTxt"/>
      </w:pPr>
      <w:r w:rsidRPr="00DF0070">
        <w:t>Целевые показатели на 2014–2015 годы: опубликование третьего пересмотренн</w:t>
      </w:r>
      <w:r w:rsidRPr="00DF0070">
        <w:t>о</w:t>
      </w:r>
      <w:r w:rsidRPr="00DF0070">
        <w:t>го издания СМВП (в печатном виде и онлайн).</w:t>
      </w:r>
    </w:p>
    <w:p w:rsidR="00343E61" w:rsidRPr="00DF0070" w:rsidRDefault="00343E61" w:rsidP="00343E61">
      <w:pPr>
        <w:pStyle w:val="SingleTxt"/>
        <w:rPr>
          <w:b/>
          <w:bCs/>
        </w:rPr>
      </w:pPr>
      <w:r w:rsidRPr="00DF0070">
        <w:rPr>
          <w:b/>
          <w:bCs/>
        </w:rPr>
        <w:t>Фактические показатели за 2014–2015 годы:</w:t>
      </w:r>
    </w:p>
    <w:p w:rsidR="00343E61" w:rsidRPr="00DF0070" w:rsidRDefault="00343E61" w:rsidP="00343E61">
      <w:pPr>
        <w:pStyle w:val="SingleTxt"/>
      </w:pPr>
      <w:r>
        <w:tab/>
      </w:r>
      <w:r w:rsidRPr="00DF0070">
        <w:t>a)</w:t>
      </w:r>
      <w:r w:rsidRPr="00DF0070">
        <w:tab/>
        <w:t xml:space="preserve">Поправки к СМВП (ECE/TRANS/SC.3/193/Add.1) вступили в силу 7 ноября 2014 года (уведомление депозитария C.N.517.2014, TREATIES-XI.D.5) и третье пересмотренное издание СМВП (ECE/TRANS/120/Rev.3) размещено на </w:t>
      </w:r>
      <w:r w:rsidRPr="00DF0070">
        <w:lastRenderedPageBreak/>
        <w:t>веб-сайте ЕЭК в ноябре 2014 года по адресу</w:t>
      </w:r>
      <w:r>
        <w:t xml:space="preserve"> </w:t>
      </w:r>
      <w:hyperlink r:id="rId15" w:history="1">
        <w:r w:rsidRPr="008224C7">
          <w:rPr>
            <w:rStyle w:val="Hyperlink"/>
            <w:color w:val="auto"/>
            <w:u w:val="none"/>
          </w:rPr>
          <w:t xml:space="preserve">http://www.unece.org/ </w:t>
        </w:r>
        <w:proofErr w:type="spellStart"/>
        <w:r w:rsidRPr="008224C7">
          <w:rPr>
            <w:rStyle w:val="Hyperlink"/>
            <w:color w:val="auto"/>
            <w:u w:val="none"/>
          </w:rPr>
          <w:t>fileadmin</w:t>
        </w:r>
        <w:proofErr w:type="spellEnd"/>
        <w:r w:rsidRPr="008224C7">
          <w:rPr>
            <w:rStyle w:val="Hyperlink"/>
            <w:color w:val="auto"/>
            <w:u w:val="none"/>
          </w:rPr>
          <w:t>/ DAM/</w:t>
        </w:r>
        <w:proofErr w:type="spellStart"/>
        <w:r w:rsidRPr="008224C7">
          <w:rPr>
            <w:rStyle w:val="Hyperlink"/>
            <w:color w:val="auto"/>
            <w:u w:val="none"/>
          </w:rPr>
          <w:t>trans</w:t>
        </w:r>
        <w:proofErr w:type="spellEnd"/>
        <w:r w:rsidRPr="008224C7">
          <w:rPr>
            <w:rStyle w:val="Hyperlink"/>
            <w:color w:val="auto"/>
            <w:u w:val="none"/>
          </w:rPr>
          <w:t>/</w:t>
        </w:r>
        <w:proofErr w:type="spellStart"/>
        <w:r w:rsidRPr="008224C7">
          <w:rPr>
            <w:rStyle w:val="Hyperlink"/>
            <w:color w:val="auto"/>
            <w:u w:val="none"/>
          </w:rPr>
          <w:t>doc</w:t>
        </w:r>
        <w:proofErr w:type="spellEnd"/>
        <w:r w:rsidRPr="008224C7">
          <w:rPr>
            <w:rStyle w:val="Hyperlink"/>
            <w:color w:val="auto"/>
            <w:u w:val="none"/>
          </w:rPr>
          <w:t>/2014/sc3wp3/ECE-TRANS-120r3efr.pdf</w:t>
        </w:r>
      </w:hyperlink>
      <w:r>
        <w:t>.</w:t>
      </w:r>
    </w:p>
    <w:p w:rsidR="00343E61" w:rsidRPr="00DF0070" w:rsidRDefault="00343E61" w:rsidP="00343E61">
      <w:pPr>
        <w:pStyle w:val="SingleTxt"/>
      </w:pPr>
      <w:r>
        <w:tab/>
      </w:r>
      <w:r w:rsidRPr="00DF0070">
        <w:t>b)</w:t>
      </w:r>
      <w:r w:rsidRPr="00DF0070">
        <w:tab/>
        <w:t>Поправки к Синей книге были приняты SC.3 на пятьдесят седьмой сессии в ноябре 2014 года в качестве второго добавления ко второму пересмо</w:t>
      </w:r>
      <w:r w:rsidRPr="00DF0070">
        <w:t>т</w:t>
      </w:r>
      <w:r w:rsidRPr="00DF0070">
        <w:t xml:space="preserve">ренному изданию Синей книги (ECE/TRANS/SC.3/144/Rev.2/Add.2) и размещены на веб-сайте ЕЭК по адресу </w:t>
      </w:r>
      <w:hyperlink r:id="rId16" w:history="1">
        <w:r w:rsidRPr="008224C7">
          <w:rPr>
            <w:rStyle w:val="Hyperlink"/>
            <w:color w:val="auto"/>
            <w:u w:val="none"/>
          </w:rPr>
          <w:t>http://www.unece.org/fileadmin/DAM/trans/doc/2015/ sc3wp3/ECE-TRANS-SC3-144-Rev2-Add2e.pdf</w:t>
        </w:r>
      </w:hyperlink>
      <w:r w:rsidRPr="00DF0070">
        <w:t>.</w:t>
      </w:r>
    </w:p>
    <w:p w:rsidR="00343E61" w:rsidRPr="00DF0070" w:rsidRDefault="00343E61" w:rsidP="00343E61">
      <w:pPr>
        <w:pStyle w:val="SingleTxt"/>
      </w:pPr>
      <w:r>
        <w:tab/>
      </w:r>
      <w:r w:rsidRPr="00DF0070">
        <w:t>c)</w:t>
      </w:r>
      <w:r w:rsidRPr="00DF0070">
        <w:tab/>
        <w:t>Была разработана и дополнена информацией о портах категории Е о</w:t>
      </w:r>
      <w:r w:rsidRPr="00DF0070">
        <w:t>н</w:t>
      </w:r>
      <w:r w:rsidRPr="00DF0070">
        <w:t xml:space="preserve">лайновая база данных ЕЭК о сети водных путей категории Е, которая размещена на веб-сайте ЕЭК по адресу </w:t>
      </w:r>
      <w:hyperlink r:id="rId17" w:history="1">
        <w:r w:rsidRPr="008224C7">
          <w:rPr>
            <w:rStyle w:val="Hyperlink"/>
            <w:color w:val="auto"/>
            <w:u w:val="none"/>
          </w:rPr>
          <w:t>http://www.unece.org/trans/main/sc3/bluebook_ database.html</w:t>
        </w:r>
      </w:hyperlink>
      <w:r w:rsidRPr="00DF0070">
        <w:t>.</w:t>
      </w:r>
    </w:p>
    <w:p w:rsidR="00343E61" w:rsidRPr="00DF0070" w:rsidRDefault="00343E61" w:rsidP="00343E61">
      <w:pPr>
        <w:pStyle w:val="SingleTxt"/>
      </w:pPr>
      <w:r>
        <w:tab/>
      </w:r>
      <w:r w:rsidRPr="00DF0070">
        <w:t>d)</w:t>
      </w:r>
      <w:r w:rsidRPr="00DF0070">
        <w:tab/>
        <w:t>В 2014 году SC.3 в предварительном порядке одобрила поправки к р</w:t>
      </w:r>
      <w:r w:rsidRPr="00DF0070">
        <w:t>е</w:t>
      </w:r>
      <w:r w:rsidRPr="00DF0070">
        <w:t>золюции № 49 «Перечень важнейших узких мест и недостающих звеньев в сети водных путей категории Е» (ECE/TRANS/SC.3/2014/3) в ожидании принятия окончательного пакета поправок к резолюции № 49.</w:t>
      </w:r>
    </w:p>
    <w:p w:rsidR="00343E61" w:rsidRPr="00DF0070" w:rsidRDefault="00343E61" w:rsidP="00343E61">
      <w:pPr>
        <w:pStyle w:val="SingleTxt"/>
      </w:pPr>
      <w:r>
        <w:tab/>
      </w:r>
      <w:r w:rsidRPr="00DF0070">
        <w:t>e)</w:t>
      </w:r>
      <w:r w:rsidRPr="00DF0070">
        <w:tab/>
        <w:t>На своей сорок седьмой сессии Рабочая группа по унификации техн</w:t>
      </w:r>
      <w:r w:rsidRPr="00DF0070">
        <w:t>и</w:t>
      </w:r>
      <w:r w:rsidRPr="00DF0070">
        <w:t>ческих предписаний и правил безопасности на внутренних водных путях (д</w:t>
      </w:r>
      <w:r w:rsidRPr="00DF0070">
        <w:t>а</w:t>
      </w:r>
      <w:r w:rsidRPr="00DF0070">
        <w:t>лее − SC.3/WP.3) одобрила предложение по согласованию приложений I и II к Протоколу к СЛКП с пересмотренными приложениями к СМВП (ECE/TRANS/ SC.3/WP.3/82, пункт 12). Это предложение будет обсуждаться на пятьдесят дев</w:t>
      </w:r>
      <w:r w:rsidRPr="00DF0070">
        <w:t>я</w:t>
      </w:r>
      <w:r w:rsidRPr="00DF0070">
        <w:t xml:space="preserve">той сессии SC.3 и на пятьдесят восьмой сессии Рабочей группы по </w:t>
      </w:r>
      <w:proofErr w:type="spellStart"/>
      <w:r w:rsidRPr="00DF0070">
        <w:t>интермодал</w:t>
      </w:r>
      <w:r w:rsidRPr="00DF0070">
        <w:t>ь</w:t>
      </w:r>
      <w:r w:rsidRPr="00DF0070">
        <w:t>ным</w:t>
      </w:r>
      <w:proofErr w:type="spellEnd"/>
      <w:r w:rsidRPr="00DF0070">
        <w:t xml:space="preserve"> перевозкам и логистике (WP.24) (ECE/TRANS/SC.3/2015/3–ECE/TRANS/</w:t>
      </w:r>
      <w:r>
        <w:t xml:space="preserve"> </w:t>
      </w:r>
      <w:r w:rsidRPr="00DF0070">
        <w:t>WP.24/2015/12).</w:t>
      </w:r>
    </w:p>
    <w:p w:rsidR="00343E61" w:rsidRPr="000E60CB" w:rsidRDefault="00343E61" w:rsidP="00343E61">
      <w:pPr>
        <w:pStyle w:val="SingleTxt"/>
        <w:spacing w:after="0" w:line="120" w:lineRule="exact"/>
        <w:rPr>
          <w:b/>
          <w:sz w:val="10"/>
        </w:rPr>
      </w:pPr>
    </w:p>
    <w:p w:rsidR="00343E61" w:rsidRPr="00DF0070" w:rsidRDefault="00343E61" w:rsidP="00343E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t>2.</w:t>
      </w:r>
      <w:r w:rsidRPr="00DF0070">
        <w:tab/>
        <w:t xml:space="preserve">Подготовка и принятие следующего пересмотренного варианта ЕПСВВП </w:t>
      </w:r>
      <w:r>
        <w:br/>
      </w:r>
      <w:r w:rsidRPr="00DF0070">
        <w:t xml:space="preserve">с учетом информации о применении этих правил государствами-членами </w:t>
      </w:r>
      <w:r>
        <w:br/>
      </w:r>
      <w:r w:rsidRPr="00DF0070">
        <w:t>и речными комиссиями (ПД 5. b))</w:t>
      </w:r>
    </w:p>
    <w:p w:rsidR="00343E61" w:rsidRPr="000E60CB" w:rsidRDefault="00343E61" w:rsidP="00343E61">
      <w:pPr>
        <w:pStyle w:val="SingleTxt"/>
        <w:spacing w:after="0" w:line="120" w:lineRule="exact"/>
        <w:rPr>
          <w:i/>
          <w:sz w:val="10"/>
        </w:rPr>
      </w:pPr>
    </w:p>
    <w:p w:rsidR="00343E61" w:rsidRPr="00DF0070" w:rsidRDefault="00343E61" w:rsidP="00343E6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r>
      <w:r w:rsidRPr="00DF0070">
        <w:tab/>
        <w:t>Показатели результативности</w:t>
      </w:r>
    </w:p>
    <w:p w:rsidR="00343E61" w:rsidRPr="000E60CB" w:rsidRDefault="00343E61" w:rsidP="00343E61">
      <w:pPr>
        <w:pStyle w:val="SingleTxt"/>
        <w:spacing w:after="0" w:line="120" w:lineRule="exact"/>
        <w:rPr>
          <w:sz w:val="10"/>
        </w:rPr>
      </w:pPr>
    </w:p>
    <w:p w:rsidR="00343E61" w:rsidRPr="00DF0070" w:rsidRDefault="00343E61" w:rsidP="00343E61">
      <w:pPr>
        <w:pStyle w:val="SingleTxt"/>
      </w:pPr>
      <w:r w:rsidRPr="00DF0070">
        <w:t>Исходные показатели за 2011 год: подготовка документа о статусе ЕПСВВП с информацией о применении ЕПСВВП государствами-членами и речными коми</w:t>
      </w:r>
      <w:r w:rsidRPr="00DF0070">
        <w:t>с</w:t>
      </w:r>
      <w:r w:rsidRPr="00DF0070">
        <w:t>сиями, а также об отступлениях от ЕПСВВП (глава 9) на национальном и реги</w:t>
      </w:r>
      <w:r w:rsidRPr="00DF0070">
        <w:t>о</w:t>
      </w:r>
      <w:r w:rsidRPr="00DF0070">
        <w:t>нальном уровне</w:t>
      </w:r>
      <w:r>
        <w:t>.</w:t>
      </w:r>
    </w:p>
    <w:p w:rsidR="00343E61" w:rsidRPr="00DF0070" w:rsidRDefault="00343E61" w:rsidP="00343E61">
      <w:pPr>
        <w:pStyle w:val="SingleTxt"/>
      </w:pPr>
      <w:r w:rsidRPr="00DF0070">
        <w:t>Целевые показатели на 2012–2013 годы: разработка поправок к ЕПСВВП с целью подготовить их следующий существенный пересмотр</w:t>
      </w:r>
      <w:r>
        <w:t>.</w:t>
      </w:r>
    </w:p>
    <w:p w:rsidR="00343E61" w:rsidRPr="00DF0070" w:rsidRDefault="00343E61" w:rsidP="00343E61">
      <w:pPr>
        <w:pStyle w:val="SingleTxt"/>
      </w:pPr>
      <w:r w:rsidRPr="00DF0070">
        <w:t>Целевые показатели на 2014–2015 годы: подготовка и принятие ЕПСВВП-5 и о</w:t>
      </w:r>
      <w:r w:rsidRPr="00DF0070">
        <w:t>н</w:t>
      </w:r>
      <w:r>
        <w:t>лайновое издание свода этих П</w:t>
      </w:r>
      <w:r w:rsidRPr="00DF0070">
        <w:t>равил.</w:t>
      </w:r>
    </w:p>
    <w:p w:rsidR="00343E61" w:rsidRPr="00DF0070" w:rsidRDefault="00343E61" w:rsidP="00343E61">
      <w:pPr>
        <w:pStyle w:val="SingleTxt"/>
        <w:rPr>
          <w:b/>
          <w:bCs/>
        </w:rPr>
      </w:pPr>
      <w:r w:rsidRPr="00DF0070">
        <w:rPr>
          <w:b/>
          <w:bCs/>
        </w:rPr>
        <w:t>Фактические показатели за 2014–2015 годы:</w:t>
      </w:r>
    </w:p>
    <w:p w:rsidR="00343E61" w:rsidRPr="00DF0070" w:rsidRDefault="00343E61" w:rsidP="00343E61">
      <w:pPr>
        <w:pStyle w:val="SingleTxt"/>
      </w:pPr>
      <w:r w:rsidRPr="00DF0070">
        <w:tab/>
        <w:t>a)</w:t>
      </w:r>
      <w:r w:rsidRPr="00DF0070">
        <w:tab/>
        <w:t>В 2014 году SC.3 приняла сводное предложение по поправкам к рез</w:t>
      </w:r>
      <w:r w:rsidRPr="00DF0070">
        <w:t>о</w:t>
      </w:r>
      <w:r w:rsidRPr="00DF0070">
        <w:t>люции № 24 (ЕПСВВП) в качестве резолюции № 81 (ECE/TRANS/SC.3/197/38).</w:t>
      </w:r>
    </w:p>
    <w:p w:rsidR="00343E61" w:rsidRPr="00DF0070" w:rsidRDefault="00343E61" w:rsidP="00343E61">
      <w:pPr>
        <w:pStyle w:val="SingleTxt"/>
      </w:pPr>
      <w:r w:rsidRPr="00DF0070">
        <w:tab/>
        <w:t>b)</w:t>
      </w:r>
      <w:r w:rsidRPr="00DF0070">
        <w:tab/>
        <w:t>В сентябре 2015 года была опубликована печатная версия ЕПСВВП-5 на трех рабочих языках ЕЭК.</w:t>
      </w:r>
    </w:p>
    <w:p w:rsidR="00343E61" w:rsidRPr="00DF0070" w:rsidRDefault="00343E61" w:rsidP="00343E61">
      <w:pPr>
        <w:pStyle w:val="SingleTxt"/>
      </w:pPr>
      <w:r w:rsidRPr="00DF0070">
        <w:tab/>
        <w:t>c)</w:t>
      </w:r>
      <w:r w:rsidRPr="00DF0070">
        <w:tab/>
        <w:t>Электронные версии ЕПСВВП-5 размещены на веб-сайте ЕЭК:</w:t>
      </w:r>
    </w:p>
    <w:p w:rsidR="00343E61" w:rsidRPr="00DF0070" w:rsidRDefault="00343E61" w:rsidP="00343E61">
      <w:pPr>
        <w:pStyle w:val="SingleTxt"/>
        <w:ind w:left="2218"/>
      </w:pPr>
      <w:r w:rsidRPr="00DF0070">
        <w:t xml:space="preserve">онлайновая версия по адресу: </w:t>
      </w:r>
      <w:hyperlink r:id="rId18" w:history="1">
        <w:r w:rsidRPr="008224C7">
          <w:rPr>
            <w:rStyle w:val="Hyperlink"/>
            <w:color w:val="auto"/>
            <w:u w:val="none"/>
          </w:rPr>
          <w:t>www2.unece.org/wiki/pages/viewpage. action;jsessionid=297496B41ABC4621DBFE021E7C8C569D?pageId= 25265142</w:t>
        </w:r>
      </w:hyperlink>
      <w:r w:rsidRPr="00DF0070">
        <w:t>;</w:t>
      </w:r>
      <w:r w:rsidRPr="00DF0070">
        <w:br/>
        <w:t xml:space="preserve">версию в формате </w:t>
      </w:r>
      <w:r w:rsidRPr="00DF0070">
        <w:rPr>
          <w:lang w:val="en-US"/>
        </w:rPr>
        <w:t>PDF</w:t>
      </w:r>
      <w:r w:rsidRPr="00DF0070">
        <w:t xml:space="preserve"> можно загрузить по адресу</w:t>
      </w:r>
      <w:r w:rsidRPr="00DF0070">
        <w:br/>
      </w:r>
      <w:hyperlink r:id="rId19" w:history="1">
        <w:r w:rsidRPr="008224C7">
          <w:rPr>
            <w:rStyle w:val="Hyperlink"/>
            <w:color w:val="auto"/>
            <w:u w:val="none"/>
          </w:rPr>
          <w:t>http://www.unece.org/fileadmin/DAM/trans/doc/finaldocs/sc3/ECE-TRANS-SC3-115-Rev.5e_WEB.pdf</w:t>
        </w:r>
      </w:hyperlink>
      <w:r w:rsidRPr="00DF0070">
        <w:t>.</w:t>
      </w:r>
    </w:p>
    <w:p w:rsidR="00343E61" w:rsidRPr="00DF0070" w:rsidRDefault="00343E61" w:rsidP="00343E61">
      <w:pPr>
        <w:pStyle w:val="SingleTxt"/>
      </w:pPr>
      <w:r w:rsidRPr="00DF0070">
        <w:lastRenderedPageBreak/>
        <w:tab/>
        <w:t>d)</w:t>
      </w:r>
      <w:r w:rsidRPr="00DF0070">
        <w:tab/>
        <w:t xml:space="preserve">Документ о состоянии ЕПСВВП был опубликован в 2014 году </w:t>
      </w:r>
      <w:r>
        <w:t>к</w:t>
      </w:r>
      <w:r w:rsidRPr="00DF0070">
        <w:t xml:space="preserve"> пят</w:t>
      </w:r>
      <w:r w:rsidRPr="00DF0070">
        <w:t>ь</w:t>
      </w:r>
      <w:r w:rsidRPr="00DF0070">
        <w:t xml:space="preserve">десят восьмой сессии SC.3 (ECE/TRANS/SC.3/2014/5) и в 2015 году − </w:t>
      </w:r>
      <w:r>
        <w:t>к</w:t>
      </w:r>
      <w:r w:rsidRPr="00DF0070">
        <w:t xml:space="preserve"> пятьд</w:t>
      </w:r>
      <w:r w:rsidRPr="00DF0070">
        <w:t>е</w:t>
      </w:r>
      <w:r w:rsidRPr="00DF0070">
        <w:t>сят девятой сессии SC.3 (ECE/TRANS/SC.3/2015/7).</w:t>
      </w:r>
    </w:p>
    <w:p w:rsidR="00343E61" w:rsidRPr="00AF4B2F" w:rsidRDefault="00343E61" w:rsidP="00343E61">
      <w:pPr>
        <w:pStyle w:val="SingleTxt"/>
        <w:spacing w:after="0" w:line="120" w:lineRule="exact"/>
        <w:rPr>
          <w:b/>
          <w:sz w:val="10"/>
        </w:rPr>
      </w:pPr>
    </w:p>
    <w:p w:rsidR="00343E61" w:rsidRPr="00AF4B2F" w:rsidRDefault="00343E61" w:rsidP="00343E61">
      <w:pPr>
        <w:pStyle w:val="SingleTxt"/>
        <w:spacing w:after="0" w:line="120" w:lineRule="exact"/>
        <w:rPr>
          <w:b/>
          <w:sz w:val="10"/>
        </w:rPr>
      </w:pPr>
    </w:p>
    <w:p w:rsidR="00343E61" w:rsidRPr="00DF0070" w:rsidRDefault="00343E61" w:rsidP="00343E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t>C.</w:t>
      </w:r>
      <w:r w:rsidRPr="00DF0070">
        <w:tab/>
        <w:t>Оценка результативности</w:t>
      </w:r>
    </w:p>
    <w:p w:rsidR="00343E61" w:rsidRPr="00AF4B2F" w:rsidRDefault="00343E61" w:rsidP="00343E61">
      <w:pPr>
        <w:pStyle w:val="SingleTxt"/>
        <w:spacing w:after="0" w:line="120" w:lineRule="exact"/>
        <w:rPr>
          <w:sz w:val="10"/>
        </w:rPr>
      </w:pPr>
    </w:p>
    <w:p w:rsidR="00343E61" w:rsidRPr="00AF4B2F" w:rsidRDefault="00343E61" w:rsidP="00343E61">
      <w:pPr>
        <w:pStyle w:val="SingleTxt"/>
        <w:spacing w:after="0" w:line="120" w:lineRule="exact"/>
        <w:rPr>
          <w:sz w:val="10"/>
        </w:rPr>
      </w:pPr>
    </w:p>
    <w:p w:rsidR="00343E61" w:rsidRPr="00DF0070" w:rsidRDefault="00343E61" w:rsidP="00343E61">
      <w:pPr>
        <w:pStyle w:val="SingleTxt"/>
      </w:pPr>
      <w:r w:rsidRPr="00DF0070">
        <w:t>45.</w:t>
      </w:r>
      <w:r w:rsidRPr="00DF0070">
        <w:tab/>
        <w:t>SC.3 провела две сессии (пятьдесят восьмую сессию в ноябре 2014 года и пятьдесят девятую сессию в ноябре 2015 года), а ее вспомогательный орган − SC.3/WP.3 − провел четыре очередных сессии: сорок четвертую и сорок пятую сессии в 2014 году и сорок шестую и сорок седьмую сессии в 2015 году.</w:t>
      </w:r>
    </w:p>
    <w:p w:rsidR="00343E61" w:rsidRPr="00DF0070" w:rsidRDefault="00343E61" w:rsidP="00343E61">
      <w:pPr>
        <w:pStyle w:val="SingleTxt"/>
      </w:pPr>
      <w:r w:rsidRPr="00DF0070">
        <w:t>46.</w:t>
      </w:r>
      <w:r w:rsidRPr="00DF0070">
        <w:tab/>
        <w:t>Рабочая группа действовала в соответствии со стратегическими рекоменд</w:t>
      </w:r>
      <w:r w:rsidRPr="00DF0070">
        <w:t>а</w:t>
      </w:r>
      <w:r w:rsidRPr="00DF0070">
        <w:t>циями Белой книги по эффективному и устойчивому внутреннему водному транспорту в Европе, одобренными КВТ в марте 2011 года. Обзор деятельности по реализации рекомендаций Белой книги опубликован в докуме</w:t>
      </w:r>
      <w:r w:rsidRPr="00DF0070">
        <w:t>н</w:t>
      </w:r>
      <w:r w:rsidRPr="00DF0070">
        <w:t>те</w:t>
      </w:r>
      <w:r>
        <w:t> </w:t>
      </w:r>
      <w:r w:rsidRPr="00DF0070">
        <w:t>ECE/TRANS/SC.3/2015/1.</w:t>
      </w:r>
    </w:p>
    <w:p w:rsidR="00343E61" w:rsidRPr="00DF0070" w:rsidRDefault="00343E61" w:rsidP="00343E61">
      <w:pPr>
        <w:pStyle w:val="SingleTxt"/>
      </w:pPr>
      <w:r w:rsidRPr="00DF0070">
        <w:t>47.</w:t>
      </w:r>
      <w:r w:rsidRPr="00DF0070">
        <w:tab/>
        <w:t>В течение этого периода SC.3 издала восемь официальных публикаций: тр</w:t>
      </w:r>
      <w:r w:rsidRPr="00DF0070">
        <w:t>е</w:t>
      </w:r>
      <w:r w:rsidRPr="00DF0070">
        <w:t>тье пересмотренное издание Европейского соглашения о важнейших внутренних водных путях международного значения (СМВП); пятое издание ЕПСВВП; вт</w:t>
      </w:r>
      <w:r w:rsidRPr="00DF0070">
        <w:t>о</w:t>
      </w:r>
      <w:r w:rsidRPr="00DF0070">
        <w:t>рое добавление ко второму пересмотренному изданию Перечня основных хара</w:t>
      </w:r>
      <w:r w:rsidRPr="00DF0070">
        <w:t>к</w:t>
      </w:r>
      <w:r w:rsidRPr="00DF0070">
        <w:t>теристик и параметров сети водных путей категории Е (Синяя книга); резол</w:t>
      </w:r>
      <w:r w:rsidRPr="00DF0070">
        <w:t>ю</w:t>
      </w:r>
      <w:r w:rsidRPr="00DF0070">
        <w:t>цию № 79 «Международный стандарт для систем электронных судовых сообщ</w:t>
      </w:r>
      <w:r w:rsidRPr="00DF0070">
        <w:t>е</w:t>
      </w:r>
      <w:r w:rsidRPr="00DF0070">
        <w:t>ний во внутреннем судоходстве»; резолюцию № 80 «Международные стандарты, касающиеся извещений судоводителям»; резолюцию № 63 «Международный стандарт для систем обнаружения и отслеживания судов на внутренних водных путях (VTT)»; резолюцию № 48 «Рекомендация, касающаяся системы отображ</w:t>
      </w:r>
      <w:r w:rsidRPr="00DF0070">
        <w:t>е</w:t>
      </w:r>
      <w:r w:rsidRPr="00DF0070">
        <w:t>ния электронных карт и информации для внутреннего судоходства (СОЭНКИ ВС)» (будет опубликована в ноябре 2015 года после ее принятия на пятьдесят д</w:t>
      </w:r>
      <w:r w:rsidRPr="00DF0070">
        <w:t>е</w:t>
      </w:r>
      <w:r w:rsidRPr="00DF0070">
        <w:t>вятой сессии SC.3) и резолюцию № 40, четвертый пересмотренный вариант.</w:t>
      </w:r>
    </w:p>
    <w:p w:rsidR="00343E61" w:rsidRPr="00AF4B2F" w:rsidRDefault="00343E61" w:rsidP="00343E61">
      <w:pPr>
        <w:pStyle w:val="SingleTxt"/>
        <w:spacing w:after="0" w:line="120" w:lineRule="exact"/>
        <w:rPr>
          <w:b/>
          <w:sz w:val="10"/>
        </w:rPr>
      </w:pPr>
    </w:p>
    <w:p w:rsidR="00343E61" w:rsidRPr="00AF4B2F" w:rsidRDefault="00343E61" w:rsidP="00343E61">
      <w:pPr>
        <w:pStyle w:val="SingleTxt"/>
        <w:spacing w:after="0" w:line="120" w:lineRule="exact"/>
        <w:rPr>
          <w:b/>
          <w:sz w:val="10"/>
        </w:rPr>
      </w:pPr>
    </w:p>
    <w:p w:rsidR="00343E61" w:rsidRPr="00DF0070" w:rsidRDefault="00343E61" w:rsidP="00343E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t>D.</w:t>
      </w:r>
      <w:r w:rsidRPr="00DF0070">
        <w:tab/>
        <w:t>Извлеченные уроки/области, в которых необходимы улучшения</w:t>
      </w:r>
    </w:p>
    <w:p w:rsidR="00343E61" w:rsidRPr="00AF4B2F" w:rsidRDefault="00343E61" w:rsidP="00343E61">
      <w:pPr>
        <w:pStyle w:val="SingleTxt"/>
        <w:spacing w:after="0" w:line="120" w:lineRule="exact"/>
        <w:rPr>
          <w:sz w:val="10"/>
        </w:rPr>
      </w:pPr>
    </w:p>
    <w:p w:rsidR="00343E61" w:rsidRPr="00AF4B2F" w:rsidRDefault="00343E61" w:rsidP="00343E61">
      <w:pPr>
        <w:pStyle w:val="SingleTxt"/>
        <w:spacing w:after="0" w:line="120" w:lineRule="exact"/>
        <w:rPr>
          <w:sz w:val="10"/>
        </w:rPr>
      </w:pPr>
    </w:p>
    <w:p w:rsidR="00343E61" w:rsidRPr="00DF0070" w:rsidRDefault="00343E61" w:rsidP="00343E61">
      <w:pPr>
        <w:pStyle w:val="SingleTxt"/>
      </w:pPr>
      <w:r w:rsidRPr="00DF0070">
        <w:t>48.</w:t>
      </w:r>
      <w:r w:rsidRPr="00DF0070">
        <w:tab/>
        <w:t>Рабочая группа по внутреннему водному транспорту и ее вспомогательные органы остаются центром передового опыта, через который осуществляется о</w:t>
      </w:r>
      <w:r w:rsidRPr="00DF0070">
        <w:t>б</w:t>
      </w:r>
      <w:r w:rsidRPr="00DF0070">
        <w:t>мен информацией во всем регионе ЕЭК, и продолжа</w:t>
      </w:r>
      <w:r>
        <w:t>ю</w:t>
      </w:r>
      <w:r w:rsidRPr="00DF0070">
        <w:t>т свою основную деятел</w:t>
      </w:r>
      <w:r w:rsidRPr="00DF0070">
        <w:t>ь</w:t>
      </w:r>
      <w:r w:rsidRPr="00DF0070">
        <w:t xml:space="preserve">ность по обслуживанию различных правовых документов для этого сектора. Уровень </w:t>
      </w:r>
      <w:r>
        <w:t>дискуссии</w:t>
      </w:r>
      <w:r w:rsidRPr="00DF0070">
        <w:t xml:space="preserve"> и участия в этих заседаниях свидетельствует о важно</w:t>
      </w:r>
      <w:r>
        <w:t>м знач</w:t>
      </w:r>
      <w:r>
        <w:t>е</w:t>
      </w:r>
      <w:r>
        <w:t>нии</w:t>
      </w:r>
      <w:r w:rsidRPr="00DF0070">
        <w:t xml:space="preserve"> деятельности Рабочей группы. </w:t>
      </w:r>
      <w:r>
        <w:t>Вместе с тем</w:t>
      </w:r>
      <w:r w:rsidRPr="00DF0070">
        <w:t xml:space="preserve"> в 2015 году в нормативно-правовой среде произошел сдвиг, который обусловил необходимость рассмотр</w:t>
      </w:r>
      <w:r w:rsidRPr="00DF0070">
        <w:t>е</w:t>
      </w:r>
      <w:r w:rsidRPr="00DF0070">
        <w:t>ни</w:t>
      </w:r>
      <w:r>
        <w:t>я</w:t>
      </w:r>
      <w:r w:rsidRPr="00DF0070">
        <w:t xml:space="preserve"> вопроса о наиболее оптимальной переориентации деятельности Рабочей группы. Рабочая группа начала этот обзор с </w:t>
      </w:r>
      <w:r>
        <w:t>обсуждения</w:t>
      </w:r>
      <w:r w:rsidRPr="00DF0070">
        <w:t xml:space="preserve"> документа секретариата, в котором рассматривается будущая стратегия для SC.3</w:t>
      </w:r>
      <w:r>
        <w:t>,</w:t>
      </w:r>
      <w:r w:rsidRPr="00DF0070">
        <w:t xml:space="preserve"> с целью обновления ее круга ведения.</w:t>
      </w:r>
    </w:p>
    <w:p w:rsidR="00343E61" w:rsidRPr="00DF0070" w:rsidRDefault="00343E61" w:rsidP="00343E61">
      <w:pPr>
        <w:pStyle w:val="SingleTxt"/>
      </w:pPr>
      <w:r w:rsidRPr="00DF0070">
        <w:t>49.</w:t>
      </w:r>
      <w:r w:rsidRPr="00DF0070">
        <w:tab/>
        <w:t xml:space="preserve">Сотрудничество и консультации с государствами-членами </w:t>
      </w:r>
      <w:r>
        <w:t>необходимо</w:t>
      </w:r>
      <w:r w:rsidRPr="00DF0070">
        <w:t xml:space="preserve"> ра</w:t>
      </w:r>
      <w:r w:rsidRPr="00DF0070">
        <w:t>с</w:t>
      </w:r>
      <w:r w:rsidRPr="00DF0070">
        <w:t>ширить с учетом того, что недавние и постоянно происходящие в секретариате изменения в течение последних нескольких лет привели к разобщению между секретариатом и его основными партнерами. Секретариат принима</w:t>
      </w:r>
      <w:r>
        <w:t>е</w:t>
      </w:r>
      <w:r w:rsidRPr="00DF0070">
        <w:t>т более а</w:t>
      </w:r>
      <w:r w:rsidRPr="00DF0070">
        <w:t>к</w:t>
      </w:r>
      <w:r w:rsidRPr="00DF0070">
        <w:t>тивное участие в ключевых совещаниях с представителями сектора с целью ст</w:t>
      </w:r>
      <w:r w:rsidRPr="00DF0070">
        <w:t>и</w:t>
      </w:r>
      <w:r w:rsidRPr="00DF0070">
        <w:t>мулирования этого сотрудничества, и эти усилия необходимо продолжать нар</w:t>
      </w:r>
      <w:r w:rsidRPr="00DF0070">
        <w:t>а</w:t>
      </w:r>
      <w:r w:rsidRPr="00DF0070">
        <w:t xml:space="preserve">щивать в ближайшие годы. </w:t>
      </w:r>
    </w:p>
    <w:p w:rsidR="00343E61" w:rsidRPr="00AF4B2F" w:rsidRDefault="00343E61" w:rsidP="00343E61">
      <w:pPr>
        <w:pStyle w:val="SingleTxt"/>
        <w:spacing w:after="0" w:line="120" w:lineRule="exact"/>
        <w:rPr>
          <w:b/>
          <w:sz w:val="10"/>
        </w:rPr>
      </w:pPr>
    </w:p>
    <w:p w:rsidR="00343E61" w:rsidRPr="00AF4B2F" w:rsidRDefault="00343E61" w:rsidP="00343E61">
      <w:pPr>
        <w:pStyle w:val="SingleTxt"/>
        <w:spacing w:after="0" w:line="120" w:lineRule="exact"/>
        <w:rPr>
          <w:b/>
          <w:sz w:val="10"/>
        </w:rPr>
      </w:pPr>
    </w:p>
    <w:p w:rsidR="00343E61" w:rsidRPr="00DF0070" w:rsidRDefault="00343E61" w:rsidP="00343E6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lastRenderedPageBreak/>
        <w:tab/>
      </w:r>
      <w:r w:rsidRPr="00DF0070">
        <w:tab/>
        <w:t>Направление деятельности 6</w:t>
      </w:r>
      <w:r w:rsidRPr="00DF0070">
        <w:br/>
      </w:r>
      <w:proofErr w:type="spellStart"/>
      <w:r w:rsidRPr="00DF0070">
        <w:t>Интермодальные</w:t>
      </w:r>
      <w:proofErr w:type="spellEnd"/>
      <w:r w:rsidRPr="00DF0070">
        <w:t xml:space="preserve"> перевозки и логистика</w:t>
      </w:r>
    </w:p>
    <w:p w:rsidR="00343E61" w:rsidRPr="00AF4B2F" w:rsidRDefault="00343E61" w:rsidP="00343E61">
      <w:pPr>
        <w:pStyle w:val="SingleTxt"/>
        <w:spacing w:after="0" w:line="120" w:lineRule="exact"/>
        <w:rPr>
          <w:b/>
          <w:sz w:val="10"/>
        </w:rPr>
      </w:pPr>
    </w:p>
    <w:p w:rsidR="00343E61" w:rsidRPr="00AF4B2F" w:rsidRDefault="00343E61" w:rsidP="00343E61">
      <w:pPr>
        <w:pStyle w:val="SingleTxt"/>
        <w:spacing w:after="0" w:line="120" w:lineRule="exact"/>
        <w:rPr>
          <w:b/>
          <w:sz w:val="10"/>
        </w:rPr>
      </w:pPr>
    </w:p>
    <w:p w:rsidR="00343E61" w:rsidRPr="00DF0070" w:rsidRDefault="00343E61" w:rsidP="00343E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t>A.</w:t>
      </w:r>
      <w:r w:rsidRPr="00DF0070">
        <w:tab/>
        <w:t>Ожидаемое достижение (ОД 6.)</w:t>
      </w:r>
    </w:p>
    <w:p w:rsidR="00343E61" w:rsidRPr="00AF4B2F" w:rsidRDefault="00343E61" w:rsidP="00343E61">
      <w:pPr>
        <w:pStyle w:val="SingleTxt"/>
        <w:spacing w:after="0" w:line="120" w:lineRule="exact"/>
        <w:rPr>
          <w:sz w:val="10"/>
        </w:rPr>
      </w:pPr>
    </w:p>
    <w:p w:rsidR="00343E61" w:rsidRPr="00AF4B2F" w:rsidRDefault="00343E61" w:rsidP="00343E61">
      <w:pPr>
        <w:pStyle w:val="SingleTxt"/>
        <w:spacing w:after="0" w:line="120" w:lineRule="exact"/>
        <w:rPr>
          <w:sz w:val="10"/>
        </w:rPr>
      </w:pPr>
    </w:p>
    <w:p w:rsidR="00343E61" w:rsidRPr="00DF0070" w:rsidRDefault="00343E61" w:rsidP="00343E61">
      <w:pPr>
        <w:pStyle w:val="SingleTxt"/>
      </w:pPr>
      <w:r w:rsidRPr="00DF0070">
        <w:t>50.</w:t>
      </w:r>
      <w:r w:rsidRPr="00DF0070">
        <w:tab/>
        <w:t xml:space="preserve">Укрепление основы для устойчивых </w:t>
      </w:r>
      <w:proofErr w:type="spellStart"/>
      <w:r w:rsidRPr="00DF0070">
        <w:t>интермодальных</w:t>
      </w:r>
      <w:proofErr w:type="spellEnd"/>
      <w:r w:rsidRPr="00DF0070">
        <w:t xml:space="preserve"> транспортно-логистических операций и стратегий в регионе и развитие сотрудничества стран − членов ЕЭК ООН при решении этих вопросов посредством обмена оп</w:t>
      </w:r>
      <w:r w:rsidRPr="00DF0070">
        <w:t>ы</w:t>
      </w:r>
      <w:r w:rsidRPr="00DF0070">
        <w:t>том и примерами оптимальной практики. Речь идет о вопросах инфраструктуры и пересечения границ, а также о контроле за применением и обновлении соо</w:t>
      </w:r>
      <w:r w:rsidRPr="00DF0070">
        <w:t>т</w:t>
      </w:r>
      <w:r w:rsidRPr="00DF0070">
        <w:t>ветствующих правовых документов (Соглашения СЛКП и Протокола о перево</w:t>
      </w:r>
      <w:r w:rsidRPr="00DF0070">
        <w:t>з</w:t>
      </w:r>
      <w:r w:rsidRPr="00DF0070">
        <w:t>ках по внутренним водным путям к Соглашению).</w:t>
      </w:r>
    </w:p>
    <w:p w:rsidR="00343E61" w:rsidRPr="00AF4B2F" w:rsidRDefault="00343E61" w:rsidP="00343E61">
      <w:pPr>
        <w:pStyle w:val="SingleTxt"/>
        <w:spacing w:after="0" w:line="120" w:lineRule="exact"/>
        <w:rPr>
          <w:b/>
          <w:sz w:val="10"/>
        </w:rPr>
      </w:pPr>
    </w:p>
    <w:p w:rsidR="00343E61" w:rsidRPr="00AF4B2F" w:rsidRDefault="00343E61" w:rsidP="00343E61">
      <w:pPr>
        <w:pStyle w:val="SingleTxt"/>
        <w:spacing w:after="0" w:line="120" w:lineRule="exact"/>
        <w:rPr>
          <w:b/>
          <w:sz w:val="10"/>
        </w:rPr>
      </w:pPr>
    </w:p>
    <w:p w:rsidR="00343E61" w:rsidRPr="00DF0070" w:rsidRDefault="00343E61" w:rsidP="00343E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t>B.</w:t>
      </w:r>
      <w:r w:rsidRPr="00DF0070">
        <w:tab/>
        <w:t>Показатели достижения</w:t>
      </w:r>
    </w:p>
    <w:p w:rsidR="00343E61" w:rsidRPr="00AF4B2F" w:rsidRDefault="00343E61" w:rsidP="00343E61">
      <w:pPr>
        <w:pStyle w:val="SingleTxt"/>
        <w:spacing w:after="0" w:line="120" w:lineRule="exact"/>
        <w:rPr>
          <w:b/>
          <w:sz w:val="10"/>
        </w:rPr>
      </w:pPr>
    </w:p>
    <w:p w:rsidR="00343E61" w:rsidRPr="00AF4B2F" w:rsidRDefault="00343E61" w:rsidP="00343E61">
      <w:pPr>
        <w:pStyle w:val="SingleTxt"/>
        <w:spacing w:after="0" w:line="120" w:lineRule="exact"/>
        <w:rPr>
          <w:b/>
          <w:sz w:val="10"/>
        </w:rPr>
      </w:pPr>
    </w:p>
    <w:p w:rsidR="00343E61" w:rsidRPr="00DF0070" w:rsidRDefault="00343E61" w:rsidP="00343E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t>1.</w:t>
      </w:r>
      <w:r w:rsidRPr="00DF0070">
        <w:tab/>
        <w:t xml:space="preserve">Число стран, МПО и НПО, участвующих в проводимых два раза в год сессиях Рабочей группы по </w:t>
      </w:r>
      <w:proofErr w:type="spellStart"/>
      <w:r w:rsidRPr="00DF0070">
        <w:t>интермодальным</w:t>
      </w:r>
      <w:proofErr w:type="spellEnd"/>
      <w:r w:rsidRPr="00DF0070">
        <w:t xml:space="preserve"> перевозкам и логистике (WP.24) </w:t>
      </w:r>
      <w:r>
        <w:br/>
      </w:r>
      <w:r w:rsidRPr="00DF0070">
        <w:t>(ПД 6. a))</w:t>
      </w:r>
    </w:p>
    <w:p w:rsidR="00343E61" w:rsidRPr="00AF4B2F" w:rsidRDefault="00343E61" w:rsidP="00343E61">
      <w:pPr>
        <w:pStyle w:val="SingleTxt"/>
        <w:spacing w:after="0" w:line="120" w:lineRule="exact"/>
        <w:rPr>
          <w:i/>
          <w:sz w:val="10"/>
        </w:rPr>
      </w:pPr>
    </w:p>
    <w:p w:rsidR="00343E61" w:rsidRPr="00DF0070" w:rsidRDefault="00343E61" w:rsidP="00343E6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r>
      <w:r w:rsidRPr="00DF0070">
        <w:tab/>
        <w:t>Показатели результативности:</w:t>
      </w:r>
    </w:p>
    <w:p w:rsidR="00343E61" w:rsidRPr="00AF4B2F" w:rsidRDefault="00343E61" w:rsidP="00343E61">
      <w:pPr>
        <w:pStyle w:val="SingleTxt"/>
        <w:spacing w:after="0" w:line="120" w:lineRule="exact"/>
        <w:rPr>
          <w:sz w:val="10"/>
        </w:rPr>
      </w:pPr>
    </w:p>
    <w:p w:rsidR="00343E61" w:rsidRPr="00DF0070" w:rsidRDefault="00343E61" w:rsidP="00343E61">
      <w:pPr>
        <w:pStyle w:val="SingleTxt"/>
      </w:pPr>
      <w:r w:rsidRPr="00DF0070">
        <w:t>Исходные показатели за 2012–2013 годы: 26</w:t>
      </w:r>
      <w:r>
        <w:t>.</w:t>
      </w:r>
      <w:r w:rsidRPr="00DF0070">
        <w:t xml:space="preserve"> </w:t>
      </w:r>
    </w:p>
    <w:p w:rsidR="00343E61" w:rsidRPr="00DF0070" w:rsidRDefault="00343E61" w:rsidP="00343E61">
      <w:pPr>
        <w:pStyle w:val="SingleTxt"/>
      </w:pPr>
      <w:r w:rsidRPr="00DF0070">
        <w:t>Целевые показатели на 2014–2015 годы: 30</w:t>
      </w:r>
      <w:r>
        <w:t>.</w:t>
      </w:r>
      <w:r w:rsidRPr="00DF0070">
        <w:t xml:space="preserve"> </w:t>
      </w:r>
    </w:p>
    <w:p w:rsidR="00343E61" w:rsidRPr="00DF0070" w:rsidRDefault="00343E61" w:rsidP="00343E61">
      <w:pPr>
        <w:pStyle w:val="SingleTxt"/>
        <w:rPr>
          <w:b/>
          <w:bCs/>
        </w:rPr>
      </w:pPr>
      <w:r w:rsidRPr="00DF0070">
        <w:rPr>
          <w:b/>
          <w:bCs/>
        </w:rPr>
        <w:t>Фактические показатели за 2014 год – 24, за 2015 год – 31</w:t>
      </w:r>
      <w:r w:rsidRPr="00AF4B2F">
        <w:t>.</w:t>
      </w:r>
    </w:p>
    <w:p w:rsidR="00343E61" w:rsidRPr="00AF4B2F" w:rsidRDefault="00343E61" w:rsidP="00343E61">
      <w:pPr>
        <w:pStyle w:val="SingleTxt"/>
        <w:spacing w:after="0" w:line="120" w:lineRule="exact"/>
        <w:rPr>
          <w:b/>
          <w:sz w:val="10"/>
        </w:rPr>
      </w:pPr>
    </w:p>
    <w:p w:rsidR="00343E61" w:rsidRPr="00DF0070" w:rsidRDefault="00343E61" w:rsidP="00343E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t>2.</w:t>
      </w:r>
      <w:r w:rsidRPr="00DF0070">
        <w:tab/>
        <w:t>Число поправок, а также обновленных и измененных линий в Соглашении СЛКП и Протоколе к нему (ПД 6.a. b))</w:t>
      </w:r>
    </w:p>
    <w:p w:rsidR="00343E61" w:rsidRPr="00AF4B2F" w:rsidRDefault="00343E61" w:rsidP="00343E61">
      <w:pPr>
        <w:pStyle w:val="SingleTxt"/>
        <w:spacing w:after="0" w:line="120" w:lineRule="exact"/>
        <w:rPr>
          <w:i/>
          <w:sz w:val="10"/>
        </w:rPr>
      </w:pPr>
    </w:p>
    <w:p w:rsidR="00343E61" w:rsidRPr="00DF0070" w:rsidRDefault="00343E61" w:rsidP="00343E6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r>
      <w:r w:rsidRPr="00DF0070">
        <w:tab/>
        <w:t>Показатели результативности:</w:t>
      </w:r>
    </w:p>
    <w:p w:rsidR="00343E61" w:rsidRPr="00AF4B2F" w:rsidRDefault="00343E61" w:rsidP="00343E61">
      <w:pPr>
        <w:pStyle w:val="SingleTxt"/>
        <w:spacing w:after="0" w:line="120" w:lineRule="exact"/>
        <w:rPr>
          <w:sz w:val="10"/>
        </w:rPr>
      </w:pPr>
    </w:p>
    <w:p w:rsidR="00343E61" w:rsidRPr="00DF0070" w:rsidRDefault="00343E61" w:rsidP="00343E61">
      <w:pPr>
        <w:pStyle w:val="SingleTxt"/>
      </w:pPr>
      <w:r w:rsidRPr="00DF0070">
        <w:t>Исходные показатели за 2012–2013 годы: 0 поправок</w:t>
      </w:r>
      <w:r>
        <w:t>.</w:t>
      </w:r>
    </w:p>
    <w:p w:rsidR="00343E61" w:rsidRPr="00DF0070" w:rsidRDefault="00343E61" w:rsidP="00343E61">
      <w:pPr>
        <w:pStyle w:val="SingleTxt"/>
      </w:pPr>
      <w:r w:rsidRPr="00DF0070">
        <w:t>Целевые показатели на 2014–2015 годы: 1 поправка</w:t>
      </w:r>
      <w:r>
        <w:t>.</w:t>
      </w:r>
    </w:p>
    <w:p w:rsidR="00343E61" w:rsidRPr="00DF0070" w:rsidRDefault="00343E61" w:rsidP="00343E61">
      <w:pPr>
        <w:pStyle w:val="SingleTxt"/>
        <w:rPr>
          <w:b/>
          <w:bCs/>
        </w:rPr>
      </w:pPr>
      <w:r w:rsidRPr="00DF0070">
        <w:rPr>
          <w:b/>
          <w:bCs/>
        </w:rPr>
        <w:t xml:space="preserve">Фактические показатели за 2014–2015 годы: 1 уведомление депозитария </w:t>
      </w:r>
      <w:r>
        <w:rPr>
          <w:b/>
          <w:bCs/>
        </w:rPr>
        <w:br/>
      </w:r>
      <w:r w:rsidRPr="00DF0070">
        <w:rPr>
          <w:b/>
          <w:bCs/>
        </w:rPr>
        <w:t>с изменениями</w:t>
      </w:r>
      <w:r w:rsidRPr="00AF4B2F">
        <w:t>.</w:t>
      </w:r>
    </w:p>
    <w:p w:rsidR="00343E61" w:rsidRPr="00AF4B2F" w:rsidRDefault="00343E61" w:rsidP="00343E61">
      <w:pPr>
        <w:pStyle w:val="SingleTxt"/>
        <w:spacing w:after="0" w:line="120" w:lineRule="exact"/>
        <w:rPr>
          <w:b/>
          <w:sz w:val="10"/>
        </w:rPr>
      </w:pPr>
    </w:p>
    <w:p w:rsidR="00343E61" w:rsidRPr="00DF0070" w:rsidRDefault="00343E61" w:rsidP="00343E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t>3.</w:t>
      </w:r>
      <w:r w:rsidRPr="00DF0070">
        <w:tab/>
        <w:t xml:space="preserve">Пересмотр и обновление Руководства ИМО/МОТ/ЕЭК ООН по укладке грузов в </w:t>
      </w:r>
      <w:proofErr w:type="spellStart"/>
      <w:r w:rsidRPr="00DF0070">
        <w:t>интермодальные</w:t>
      </w:r>
      <w:proofErr w:type="spellEnd"/>
      <w:r w:rsidRPr="00DF0070">
        <w:t xml:space="preserve"> транспортные единицы (ПД 6.a. c))</w:t>
      </w:r>
    </w:p>
    <w:p w:rsidR="00343E61" w:rsidRPr="00AF4B2F" w:rsidRDefault="00343E61" w:rsidP="00343E61">
      <w:pPr>
        <w:pStyle w:val="SingleTxt"/>
        <w:spacing w:after="0" w:line="120" w:lineRule="exact"/>
        <w:rPr>
          <w:i/>
          <w:sz w:val="10"/>
        </w:rPr>
      </w:pPr>
    </w:p>
    <w:p w:rsidR="00343E61" w:rsidRPr="00DF0070" w:rsidRDefault="00343E61" w:rsidP="00343E6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r>
      <w:r w:rsidRPr="00DF0070">
        <w:tab/>
        <w:t>Показатели результативности:</w:t>
      </w:r>
    </w:p>
    <w:p w:rsidR="00343E61" w:rsidRPr="00AF4B2F" w:rsidRDefault="00343E61" w:rsidP="00343E61">
      <w:pPr>
        <w:pStyle w:val="SingleTxt"/>
        <w:spacing w:after="0" w:line="120" w:lineRule="exact"/>
        <w:rPr>
          <w:sz w:val="10"/>
        </w:rPr>
      </w:pPr>
    </w:p>
    <w:p w:rsidR="00343E61" w:rsidRPr="00DF0070" w:rsidRDefault="00343E61" w:rsidP="00343E61">
      <w:pPr>
        <w:pStyle w:val="SingleTxt"/>
      </w:pPr>
      <w:r w:rsidRPr="00DF0070">
        <w:t>Исходные показатели за 2012–2013 годы: работа завершена</w:t>
      </w:r>
      <w:r>
        <w:t>.</w:t>
      </w:r>
    </w:p>
    <w:p w:rsidR="00343E61" w:rsidRPr="00E00434" w:rsidRDefault="00343E61" w:rsidP="00343E61">
      <w:pPr>
        <w:pStyle w:val="SingleTxt"/>
      </w:pPr>
      <w:r w:rsidRPr="00DF0070">
        <w:rPr>
          <w:b/>
          <w:bCs/>
        </w:rPr>
        <w:t>Фактические показатели за 2014</w:t>
      </w:r>
      <w:r w:rsidR="008224C7">
        <w:rPr>
          <w:b/>
          <w:bCs/>
        </w:rPr>
        <w:t>–</w:t>
      </w:r>
      <w:r w:rsidRPr="00DF0070">
        <w:rPr>
          <w:b/>
          <w:bCs/>
        </w:rPr>
        <w:t>2015 годы: 2014 год – публикация в Инте</w:t>
      </w:r>
      <w:r w:rsidRPr="00DF0070">
        <w:rPr>
          <w:b/>
          <w:bCs/>
        </w:rPr>
        <w:t>р</w:t>
      </w:r>
      <w:r w:rsidRPr="00DF0070">
        <w:rPr>
          <w:b/>
          <w:bCs/>
        </w:rPr>
        <w:t>нете на английском языке, 2015 год – публикация в Интернете на арабском, испанском</w:t>
      </w:r>
      <w:r>
        <w:rPr>
          <w:b/>
          <w:bCs/>
        </w:rPr>
        <w:t xml:space="preserve">, </w:t>
      </w:r>
      <w:r w:rsidRPr="00DF0070">
        <w:rPr>
          <w:b/>
          <w:bCs/>
        </w:rPr>
        <w:t>китайском, русском и французском</w:t>
      </w:r>
      <w:r>
        <w:rPr>
          <w:b/>
          <w:bCs/>
        </w:rPr>
        <w:t xml:space="preserve"> </w:t>
      </w:r>
      <w:r w:rsidRPr="00DF0070">
        <w:rPr>
          <w:b/>
          <w:bCs/>
        </w:rPr>
        <w:t>языках. 2015 год: создание</w:t>
      </w:r>
      <w:r>
        <w:rPr>
          <w:b/>
          <w:bCs/>
        </w:rPr>
        <w:t xml:space="preserve"> веб-версии на английском языке</w:t>
      </w:r>
      <w:r>
        <w:t>.</w:t>
      </w:r>
    </w:p>
    <w:p w:rsidR="00343E61" w:rsidRPr="00AF4B2F" w:rsidRDefault="00343E61" w:rsidP="00343E61">
      <w:pPr>
        <w:pStyle w:val="SingleTxt"/>
        <w:spacing w:after="0" w:line="120" w:lineRule="exact"/>
        <w:rPr>
          <w:b/>
          <w:sz w:val="10"/>
        </w:rPr>
      </w:pPr>
    </w:p>
    <w:p w:rsidR="00343E61" w:rsidRPr="00AF4B2F" w:rsidRDefault="00343E61" w:rsidP="00343E61">
      <w:pPr>
        <w:pStyle w:val="SingleTxt"/>
        <w:spacing w:after="0" w:line="120" w:lineRule="exact"/>
        <w:rPr>
          <w:b/>
          <w:sz w:val="10"/>
        </w:rPr>
      </w:pPr>
    </w:p>
    <w:p w:rsidR="00343E61" w:rsidRPr="00DF0070" w:rsidRDefault="00343E61" w:rsidP="00343E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t>C.</w:t>
      </w:r>
      <w:r w:rsidRPr="00DF0070">
        <w:tab/>
        <w:t>Оценка результативности</w:t>
      </w:r>
    </w:p>
    <w:p w:rsidR="00343E61" w:rsidRPr="00AF4B2F" w:rsidRDefault="00343E61" w:rsidP="00343E61">
      <w:pPr>
        <w:pStyle w:val="SingleTxt"/>
        <w:spacing w:after="0" w:line="120" w:lineRule="exact"/>
        <w:rPr>
          <w:sz w:val="10"/>
        </w:rPr>
      </w:pPr>
    </w:p>
    <w:p w:rsidR="00343E61" w:rsidRPr="00AF4B2F" w:rsidRDefault="00343E61" w:rsidP="00343E61">
      <w:pPr>
        <w:pStyle w:val="SingleTxt"/>
        <w:spacing w:after="0" w:line="120" w:lineRule="exact"/>
        <w:rPr>
          <w:sz w:val="10"/>
        </w:rPr>
      </w:pPr>
    </w:p>
    <w:p w:rsidR="00343E61" w:rsidRPr="00DF0070" w:rsidRDefault="00343E61" w:rsidP="00343E61">
      <w:pPr>
        <w:pStyle w:val="SingleTxt"/>
      </w:pPr>
      <w:r w:rsidRPr="00DF0070">
        <w:t>51.</w:t>
      </w:r>
      <w:r w:rsidRPr="00DF0070">
        <w:tab/>
        <w:t xml:space="preserve">Рабочая группа по </w:t>
      </w:r>
      <w:proofErr w:type="spellStart"/>
      <w:r w:rsidRPr="00DF0070">
        <w:t>интермодальным</w:t>
      </w:r>
      <w:proofErr w:type="spellEnd"/>
      <w:r w:rsidRPr="00DF0070">
        <w:t xml:space="preserve"> перевозкам и логистике (WP.24) пров</w:t>
      </w:r>
      <w:r w:rsidRPr="00DF0070">
        <w:t>е</w:t>
      </w:r>
      <w:r w:rsidRPr="00DF0070">
        <w:t xml:space="preserve">ла две очередные сессии в дополнение к двум совещаниям неофициальных групп экспертов/рабочим совещаниям в рамках обсуждений по выбираемой ежегодно основной теме, которые были начаты как часть «дорожной карты» для будущей работы и оперативной деятельности, </w:t>
      </w:r>
      <w:r>
        <w:t>одобренной</w:t>
      </w:r>
      <w:r w:rsidRPr="00DF0070">
        <w:t xml:space="preserve"> в 2009 году (ECE/TRANS/</w:t>
      </w:r>
      <w:r>
        <w:t xml:space="preserve"> </w:t>
      </w:r>
      <w:r w:rsidRPr="00DF0070">
        <w:lastRenderedPageBreak/>
        <w:t>WP.24/125, пункт 21) и утвержденной КВТ в 2010 году. Группы экспертов, сост</w:t>
      </w:r>
      <w:r w:rsidRPr="00DF0070">
        <w:t>о</w:t>
      </w:r>
      <w:r w:rsidRPr="00DF0070">
        <w:t>явшие из добровольцев, занимающихся подготовкой или последующей деятел</w:t>
      </w:r>
      <w:r w:rsidRPr="00DF0070">
        <w:t>ь</w:t>
      </w:r>
      <w:r w:rsidRPr="00DF0070">
        <w:t>ностью по выбираемой ежегодно основной теме Рабочей группы, проделали э</w:t>
      </w:r>
      <w:r w:rsidRPr="00DF0070">
        <w:t>ф</w:t>
      </w:r>
      <w:r w:rsidRPr="00DF0070">
        <w:t>фективную работу, что способствовало интересной и целенаправленной диску</w:t>
      </w:r>
      <w:r w:rsidRPr="00DF0070">
        <w:t>с</w:t>
      </w:r>
      <w:r w:rsidRPr="00DF0070">
        <w:t xml:space="preserve">сии. </w:t>
      </w:r>
    </w:p>
    <w:p w:rsidR="00343E61" w:rsidRPr="00DF0070" w:rsidRDefault="00343E61" w:rsidP="00343E61">
      <w:pPr>
        <w:pStyle w:val="SingleTxt"/>
      </w:pPr>
      <w:r w:rsidRPr="00DF0070">
        <w:t>52.</w:t>
      </w:r>
      <w:r w:rsidRPr="00DF0070">
        <w:tab/>
        <w:t>Целевой показатель, характеризующий число стран, МПО и НПО, участв</w:t>
      </w:r>
      <w:r w:rsidRPr="00DF0070">
        <w:t>у</w:t>
      </w:r>
      <w:r w:rsidRPr="00DF0070">
        <w:t>ющих в сессиях Рабочей группы, был достигнут в 2015 году. Целевой показатель по числу поправок к СЛКП и Протокола к нему был также достигнут, хотя мн</w:t>
      </w:r>
      <w:r w:rsidRPr="00DF0070">
        <w:t>о</w:t>
      </w:r>
      <w:r w:rsidRPr="00DF0070">
        <w:t>гие поправки еще не подготовлены и их проработка будет осуществляться в т</w:t>
      </w:r>
      <w:r w:rsidRPr="00DF0070">
        <w:t>е</w:t>
      </w:r>
      <w:r w:rsidRPr="00DF0070">
        <w:t>чение следующего двухгодичного периода.</w:t>
      </w:r>
    </w:p>
    <w:p w:rsidR="00343E61" w:rsidRPr="00DF0070" w:rsidRDefault="00343E61" w:rsidP="00343E61">
      <w:pPr>
        <w:pStyle w:val="SingleTxt"/>
      </w:pPr>
      <w:r w:rsidRPr="00DF0070">
        <w:t>53.</w:t>
      </w:r>
      <w:r w:rsidRPr="00DF0070">
        <w:tab/>
        <w:t xml:space="preserve">После завершения работы над Руководством МОТ/ИМО/ЕЭК ООН по укладке грузов в грузовые транспортные единицы (Руководство по ГТЕ) в </w:t>
      </w:r>
      <w:r>
        <w:br/>
      </w:r>
      <w:r w:rsidRPr="00DF0070">
        <w:t>2013 году соответствующие руководящие принципы были приняты КВТ в февр</w:t>
      </w:r>
      <w:r w:rsidRPr="00DF0070">
        <w:t>а</w:t>
      </w:r>
      <w:r w:rsidRPr="00DF0070">
        <w:t>ле 2014 года, Комитетом по безопасности на море ИМО в июне 2014 года и А</w:t>
      </w:r>
      <w:r w:rsidRPr="00DF0070">
        <w:t>д</w:t>
      </w:r>
      <w:r w:rsidRPr="00DF0070">
        <w:t>министративным советом МОТ в ноябре 2014 года. После этого Руководство по ГТЕ было подготовлено в формате, который позволяет пользоваться им в онла</w:t>
      </w:r>
      <w:r w:rsidRPr="00DF0070">
        <w:t>й</w:t>
      </w:r>
      <w:r w:rsidRPr="00DF0070">
        <w:t>новом режиме, а также размещено в формате PDF на веб-сайте на всех офиц</w:t>
      </w:r>
      <w:r w:rsidRPr="00DF0070">
        <w:t>и</w:t>
      </w:r>
      <w:r w:rsidRPr="00DF0070">
        <w:t>альных языках ООН. Другим странам было предложено представить секретари</w:t>
      </w:r>
      <w:r w:rsidRPr="00DF0070">
        <w:t>а</w:t>
      </w:r>
      <w:r w:rsidRPr="00DF0070">
        <w:t>ту дополнительные языковые варианты этого документа, и на веб-сайте ЕЭК также можно ознакомиться с переводом Руководства по ГТЕ на немецкий язык.</w:t>
      </w:r>
    </w:p>
    <w:p w:rsidR="00343E61" w:rsidRPr="00AF4B2F" w:rsidRDefault="00343E61" w:rsidP="00343E61">
      <w:pPr>
        <w:pStyle w:val="SingleTxt"/>
        <w:spacing w:after="0" w:line="120" w:lineRule="exact"/>
        <w:rPr>
          <w:b/>
          <w:sz w:val="10"/>
        </w:rPr>
      </w:pPr>
    </w:p>
    <w:p w:rsidR="00343E61" w:rsidRPr="00AF4B2F" w:rsidRDefault="00343E61" w:rsidP="00343E61">
      <w:pPr>
        <w:pStyle w:val="SingleTxt"/>
        <w:spacing w:after="0" w:line="120" w:lineRule="exact"/>
        <w:rPr>
          <w:b/>
          <w:sz w:val="10"/>
        </w:rPr>
      </w:pPr>
    </w:p>
    <w:p w:rsidR="00343E61" w:rsidRPr="00DF0070" w:rsidRDefault="00343E61" w:rsidP="00343E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t>D.</w:t>
      </w:r>
      <w:r w:rsidRPr="00DF0070">
        <w:tab/>
        <w:t>Извлеченные уроки/области, в которых необходимы улучшения</w:t>
      </w:r>
    </w:p>
    <w:p w:rsidR="00343E61" w:rsidRPr="00AF4B2F" w:rsidRDefault="00343E61" w:rsidP="00343E61">
      <w:pPr>
        <w:pStyle w:val="SingleTxt"/>
        <w:spacing w:after="0" w:line="120" w:lineRule="exact"/>
        <w:rPr>
          <w:sz w:val="10"/>
        </w:rPr>
      </w:pPr>
    </w:p>
    <w:p w:rsidR="00343E61" w:rsidRPr="00AF4B2F" w:rsidRDefault="00343E61" w:rsidP="00343E61">
      <w:pPr>
        <w:pStyle w:val="SingleTxt"/>
        <w:spacing w:after="0" w:line="120" w:lineRule="exact"/>
        <w:rPr>
          <w:sz w:val="10"/>
        </w:rPr>
      </w:pPr>
    </w:p>
    <w:p w:rsidR="00343E61" w:rsidRPr="00DF0070" w:rsidRDefault="00343E61" w:rsidP="00343E61">
      <w:pPr>
        <w:pStyle w:val="SingleTxt"/>
      </w:pPr>
      <w:r w:rsidRPr="00DF0070">
        <w:t>54.</w:t>
      </w:r>
      <w:r w:rsidRPr="00DF0070">
        <w:tab/>
        <w:t>Новый подход к проведению ежегодных тематических сессий и обсуждений параллельно с сессией Рабочей группы оказался успешным, поскольку он позв</w:t>
      </w:r>
      <w:r w:rsidRPr="00DF0070">
        <w:t>о</w:t>
      </w:r>
      <w:r w:rsidRPr="00DF0070">
        <w:t>лил расширить круг участников как рабочих совещаний, так и самой сессии. П</w:t>
      </w:r>
      <w:r w:rsidRPr="00DF0070">
        <w:t>о</w:t>
      </w:r>
      <w:r w:rsidRPr="00DF0070">
        <w:t>следующее прямое взаимодействие с заинтересованными сторонами также обе</w:t>
      </w:r>
      <w:r w:rsidRPr="00DF0070">
        <w:t>с</w:t>
      </w:r>
      <w:r w:rsidRPr="00DF0070">
        <w:t>печило более широкое участие в 2015 году, тогда как в предыдущие годы набл</w:t>
      </w:r>
      <w:r w:rsidRPr="00DF0070">
        <w:t>ю</w:t>
      </w:r>
      <w:r w:rsidRPr="00DF0070">
        <w:t>дался спад. В ближайшие годы необходимо будет продолжить работу в этой о</w:t>
      </w:r>
      <w:r w:rsidRPr="00DF0070">
        <w:t>б</w:t>
      </w:r>
      <w:r w:rsidRPr="00DF0070">
        <w:t>ласти с целью расширения круга участников путем повышения для них актуал</w:t>
      </w:r>
      <w:r w:rsidRPr="00DF0070">
        <w:t>ь</w:t>
      </w:r>
      <w:r w:rsidRPr="00DF0070">
        <w:t xml:space="preserve">ности рабочих совещаний и сессий. </w:t>
      </w:r>
    </w:p>
    <w:p w:rsidR="00343E61" w:rsidRPr="00DF0070" w:rsidRDefault="00343E61" w:rsidP="00343E61">
      <w:pPr>
        <w:pStyle w:val="SingleTxt"/>
      </w:pPr>
      <w:r w:rsidRPr="00DF0070">
        <w:t>55.</w:t>
      </w:r>
      <w:r w:rsidRPr="00DF0070">
        <w:tab/>
        <w:t>В рассматриваемый двухгодичный период появилась возможность соглас</w:t>
      </w:r>
      <w:r w:rsidRPr="00DF0070">
        <w:t>о</w:t>
      </w:r>
      <w:r w:rsidRPr="00DF0070">
        <w:t>вания Протокола к СЛКП и СМВП, хотя по-прежнему трудно заручиться по</w:t>
      </w:r>
      <w:r w:rsidRPr="00DF0070">
        <w:t>д</w:t>
      </w:r>
      <w:r w:rsidRPr="00DF0070">
        <w:t xml:space="preserve">держкой государств-членов в плане обеспечения того, чтобы СЛКП и Протокол к нему, </w:t>
      </w:r>
      <w:r>
        <w:t>в контексте</w:t>
      </w:r>
      <w:r w:rsidRPr="00DF0070">
        <w:t xml:space="preserve"> которого Рабочая группа выступает Административн</w:t>
      </w:r>
      <w:r>
        <w:t>ым</w:t>
      </w:r>
      <w:r w:rsidRPr="00DF0070">
        <w:t xml:space="preserve"> ком</w:t>
      </w:r>
      <w:r w:rsidRPr="00DF0070">
        <w:t>и</w:t>
      </w:r>
      <w:r w:rsidRPr="00DF0070">
        <w:t>тет</w:t>
      </w:r>
      <w:r>
        <w:t>ом</w:t>
      </w:r>
      <w:r w:rsidRPr="00DF0070">
        <w:t xml:space="preserve">, обновлялись и отвечали требованиям государств-членов. Хотя секретариат добился определенного успеха в попытках возобновить контакт с некоторыми государствами-членами по вопросу, касающемуся </w:t>
      </w:r>
      <w:proofErr w:type="spellStart"/>
      <w:r w:rsidRPr="00DF0070">
        <w:t>интермодальных</w:t>
      </w:r>
      <w:proofErr w:type="spellEnd"/>
      <w:r w:rsidRPr="00DF0070">
        <w:t xml:space="preserve"> перевозок, в этой области необходима дальнейшая работа.</w:t>
      </w:r>
    </w:p>
    <w:p w:rsidR="00343E61" w:rsidRPr="00AF4B2F" w:rsidRDefault="00343E61" w:rsidP="00343E61">
      <w:pPr>
        <w:pStyle w:val="SingleTxt"/>
        <w:spacing w:after="0" w:line="120" w:lineRule="exact"/>
        <w:rPr>
          <w:b/>
          <w:sz w:val="10"/>
        </w:rPr>
      </w:pPr>
    </w:p>
    <w:p w:rsidR="00343E61" w:rsidRPr="00AF4B2F" w:rsidRDefault="00343E61" w:rsidP="00343E61">
      <w:pPr>
        <w:pStyle w:val="SingleTxt"/>
        <w:spacing w:after="0" w:line="120" w:lineRule="exact"/>
        <w:rPr>
          <w:b/>
          <w:sz w:val="10"/>
        </w:rPr>
      </w:pPr>
    </w:p>
    <w:p w:rsidR="00343E61" w:rsidRPr="00DF0070" w:rsidRDefault="00343E61" w:rsidP="00343E6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r>
      <w:r w:rsidRPr="00DF0070">
        <w:tab/>
        <w:t>Направление деятельности 7.a</w:t>
      </w:r>
      <w:r w:rsidRPr="00DF0070">
        <w:br/>
        <w:t>Таможенные вопросы, связанные с транспортом</w:t>
      </w:r>
    </w:p>
    <w:p w:rsidR="00343E61" w:rsidRPr="00AF4B2F" w:rsidRDefault="00343E61" w:rsidP="00343E61">
      <w:pPr>
        <w:pStyle w:val="SingleTxt"/>
        <w:spacing w:after="0" w:line="120" w:lineRule="exact"/>
        <w:rPr>
          <w:b/>
          <w:sz w:val="10"/>
        </w:rPr>
      </w:pPr>
    </w:p>
    <w:p w:rsidR="00343E61" w:rsidRPr="00AF4B2F" w:rsidRDefault="00343E61" w:rsidP="00343E61">
      <w:pPr>
        <w:pStyle w:val="SingleTxt"/>
        <w:spacing w:after="0" w:line="120" w:lineRule="exact"/>
        <w:rPr>
          <w:b/>
          <w:sz w:val="10"/>
        </w:rPr>
      </w:pPr>
    </w:p>
    <w:p w:rsidR="00343E61" w:rsidRPr="00DF0070" w:rsidRDefault="00343E61" w:rsidP="00343E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t>A.</w:t>
      </w:r>
      <w:r w:rsidRPr="00DF0070">
        <w:tab/>
        <w:t>Ожидаемое достижение (ОД 7.а)</w:t>
      </w:r>
    </w:p>
    <w:p w:rsidR="00343E61" w:rsidRPr="00AF4B2F" w:rsidRDefault="00343E61" w:rsidP="00343E61">
      <w:pPr>
        <w:pStyle w:val="SingleTxt"/>
        <w:spacing w:after="0" w:line="120" w:lineRule="exact"/>
        <w:rPr>
          <w:sz w:val="10"/>
        </w:rPr>
      </w:pPr>
    </w:p>
    <w:p w:rsidR="00343E61" w:rsidRPr="00AF4B2F" w:rsidRDefault="00343E61" w:rsidP="00343E61">
      <w:pPr>
        <w:pStyle w:val="SingleTxt"/>
        <w:spacing w:after="0" w:line="120" w:lineRule="exact"/>
        <w:rPr>
          <w:sz w:val="10"/>
        </w:rPr>
      </w:pPr>
    </w:p>
    <w:p w:rsidR="00343E61" w:rsidRPr="00DF0070" w:rsidRDefault="00343E61" w:rsidP="00343E61">
      <w:pPr>
        <w:pStyle w:val="SingleTxt"/>
      </w:pPr>
      <w:r w:rsidRPr="00DF0070">
        <w:t>56.</w:t>
      </w:r>
      <w:r w:rsidRPr="00DF0070">
        <w:tab/>
        <w:t>Присоединение новых стран к международным правовым инструментам в области облегчения пересечения границ и их более эффективное осуществление</w:t>
      </w:r>
      <w:r>
        <w:t>.</w:t>
      </w:r>
    </w:p>
    <w:p w:rsidR="00343E61" w:rsidRPr="001805BF" w:rsidRDefault="00343E61" w:rsidP="00343E61">
      <w:pPr>
        <w:pStyle w:val="SingleTxt"/>
        <w:spacing w:after="0" w:line="120" w:lineRule="exact"/>
        <w:rPr>
          <w:b/>
          <w:sz w:val="10"/>
        </w:rPr>
      </w:pPr>
    </w:p>
    <w:p w:rsidR="00343E61" w:rsidRPr="001805BF" w:rsidRDefault="00343E61" w:rsidP="00343E61">
      <w:pPr>
        <w:pStyle w:val="SingleTxt"/>
        <w:spacing w:after="0" w:line="120" w:lineRule="exact"/>
        <w:rPr>
          <w:b/>
          <w:sz w:val="10"/>
        </w:rPr>
      </w:pPr>
    </w:p>
    <w:p w:rsidR="00343E61" w:rsidRPr="00DF0070" w:rsidRDefault="00343E61" w:rsidP="008224C7">
      <w:pPr>
        <w:pStyle w:val="H1"/>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lastRenderedPageBreak/>
        <w:tab/>
        <w:t>B.</w:t>
      </w:r>
      <w:r w:rsidRPr="00DF0070">
        <w:tab/>
        <w:t>Показатели достижения</w:t>
      </w:r>
    </w:p>
    <w:p w:rsidR="00343E61" w:rsidRPr="001805BF" w:rsidRDefault="00343E61" w:rsidP="008224C7">
      <w:pPr>
        <w:pStyle w:val="SingleTxt"/>
        <w:keepNext/>
        <w:keepLines/>
        <w:spacing w:after="0" w:line="120" w:lineRule="exact"/>
        <w:rPr>
          <w:b/>
          <w:sz w:val="10"/>
        </w:rPr>
      </w:pPr>
    </w:p>
    <w:p w:rsidR="00343E61" w:rsidRPr="001805BF" w:rsidRDefault="00343E61" w:rsidP="008224C7">
      <w:pPr>
        <w:pStyle w:val="SingleTxt"/>
        <w:keepNext/>
        <w:keepLines/>
        <w:spacing w:after="0" w:line="120" w:lineRule="exact"/>
        <w:rPr>
          <w:b/>
          <w:sz w:val="10"/>
        </w:rPr>
      </w:pPr>
    </w:p>
    <w:p w:rsidR="00343E61" w:rsidRPr="00DF0070" w:rsidRDefault="00343E61" w:rsidP="008224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t>1.</w:t>
      </w:r>
      <w:r w:rsidRPr="00DF0070">
        <w:tab/>
        <w:t xml:space="preserve">Число стран и представителей, участвующих в совещаниях Рабочей группы по таможенным вопросам, связанным с транспортом (WP.30), Административного комитета Конвенции МДП (АС.2) и групп экспертов </w:t>
      </w:r>
      <w:r>
        <w:br/>
      </w:r>
      <w:r w:rsidRPr="00DF0070">
        <w:t>(ПД 7.a. а))</w:t>
      </w:r>
    </w:p>
    <w:p w:rsidR="00343E61" w:rsidRPr="001805BF" w:rsidRDefault="00343E61" w:rsidP="00343E61">
      <w:pPr>
        <w:pStyle w:val="SingleTxt"/>
        <w:spacing w:after="0" w:line="120" w:lineRule="exact"/>
        <w:rPr>
          <w:i/>
          <w:sz w:val="10"/>
        </w:rPr>
      </w:pPr>
    </w:p>
    <w:p w:rsidR="00343E61" w:rsidRPr="00DF0070" w:rsidRDefault="00343E61" w:rsidP="00343E6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r>
      <w:r w:rsidRPr="00DF0070">
        <w:tab/>
        <w:t>Показатели результативности:</w:t>
      </w:r>
    </w:p>
    <w:p w:rsidR="00343E61" w:rsidRPr="001805BF" w:rsidRDefault="00343E61" w:rsidP="00343E61">
      <w:pPr>
        <w:pStyle w:val="SingleTxt"/>
        <w:spacing w:after="0" w:line="120" w:lineRule="exact"/>
        <w:rPr>
          <w:sz w:val="10"/>
        </w:rPr>
      </w:pPr>
    </w:p>
    <w:p w:rsidR="00343E61" w:rsidRPr="00DF0070" w:rsidRDefault="00343E61" w:rsidP="00343E61">
      <w:pPr>
        <w:pStyle w:val="SingleTxt"/>
      </w:pPr>
      <w:r w:rsidRPr="00DF0070">
        <w:t>Исходные показатели за 2012–2013 годы: 400 делегаций, 1 050 участников</w:t>
      </w:r>
      <w:r>
        <w:t>.</w:t>
      </w:r>
    </w:p>
    <w:p w:rsidR="00343E61" w:rsidRPr="00DF0070" w:rsidRDefault="00343E61" w:rsidP="00343E61">
      <w:pPr>
        <w:pStyle w:val="SingleTxt"/>
      </w:pPr>
      <w:r w:rsidRPr="00DF0070">
        <w:t>Целевые показатели на 2014–2015 годы: 400 делегаций, 1 000 участников</w:t>
      </w:r>
      <w:r>
        <w:t>.</w:t>
      </w:r>
    </w:p>
    <w:p w:rsidR="00343E61" w:rsidRPr="00DF0070" w:rsidRDefault="00343E61" w:rsidP="00343E61">
      <w:pPr>
        <w:pStyle w:val="SingleTxt"/>
        <w:rPr>
          <w:b/>
          <w:bCs/>
        </w:rPr>
      </w:pPr>
      <w:r w:rsidRPr="00DF0070">
        <w:rPr>
          <w:b/>
          <w:bCs/>
        </w:rPr>
        <w:t>Фактические показатели за 2014–2015 годы: 436 делегаций, 1</w:t>
      </w:r>
      <w:r w:rsidR="008224C7">
        <w:rPr>
          <w:b/>
          <w:bCs/>
        </w:rPr>
        <w:t xml:space="preserve"> </w:t>
      </w:r>
      <w:r w:rsidRPr="00DF0070">
        <w:rPr>
          <w:b/>
          <w:bCs/>
        </w:rPr>
        <w:t>082 участника</w:t>
      </w:r>
      <w:r w:rsidRPr="001805BF">
        <w:t>.</w:t>
      </w:r>
    </w:p>
    <w:p w:rsidR="00343E61" w:rsidRPr="001805BF" w:rsidRDefault="00343E61" w:rsidP="00343E61">
      <w:pPr>
        <w:pStyle w:val="SingleTxt"/>
        <w:spacing w:after="0" w:line="120" w:lineRule="exact"/>
        <w:rPr>
          <w:b/>
          <w:sz w:val="10"/>
        </w:rPr>
      </w:pPr>
    </w:p>
    <w:p w:rsidR="00343E61" w:rsidRPr="00DF0070" w:rsidRDefault="00343E61" w:rsidP="00343E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t>2.</w:t>
      </w:r>
      <w:r w:rsidRPr="00DF0070">
        <w:tab/>
        <w:t>Число принятых и/или рассмотренных новых поправок и число новых Договаривающихся сторон (ПД 7.a. b))</w:t>
      </w:r>
    </w:p>
    <w:p w:rsidR="00343E61" w:rsidRPr="001805BF" w:rsidRDefault="00343E61" w:rsidP="00343E61">
      <w:pPr>
        <w:pStyle w:val="SingleTxt"/>
        <w:spacing w:after="0" w:line="120" w:lineRule="exact"/>
        <w:rPr>
          <w:i/>
          <w:sz w:val="10"/>
        </w:rPr>
      </w:pPr>
    </w:p>
    <w:p w:rsidR="00343E61" w:rsidRPr="00DF0070" w:rsidRDefault="00343E61" w:rsidP="00343E6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r>
      <w:r w:rsidRPr="00DF0070">
        <w:tab/>
        <w:t>Показатели результативности:</w:t>
      </w:r>
    </w:p>
    <w:p w:rsidR="00343E61" w:rsidRPr="001805BF" w:rsidRDefault="00343E61" w:rsidP="00343E61">
      <w:pPr>
        <w:pStyle w:val="SingleTxt"/>
        <w:spacing w:after="0" w:line="120" w:lineRule="exact"/>
        <w:rPr>
          <w:sz w:val="10"/>
        </w:rPr>
      </w:pPr>
    </w:p>
    <w:p w:rsidR="00343E61" w:rsidRPr="00DF0070" w:rsidRDefault="00343E61" w:rsidP="00343E61">
      <w:pPr>
        <w:pStyle w:val="SingleTxt"/>
      </w:pPr>
      <w:r w:rsidRPr="00DF0070">
        <w:t>Исходные показатели за 2012–2013 годы: 4 принятые и/или рассмотренные п</w:t>
      </w:r>
      <w:r w:rsidRPr="00DF0070">
        <w:t>о</w:t>
      </w:r>
      <w:r w:rsidRPr="00DF0070">
        <w:t>правки, 3 новы</w:t>
      </w:r>
      <w:r>
        <w:t>е</w:t>
      </w:r>
      <w:r w:rsidRPr="00DF0070">
        <w:t xml:space="preserve"> Договаривающи</w:t>
      </w:r>
      <w:r>
        <w:t>е</w:t>
      </w:r>
      <w:r w:rsidRPr="00DF0070">
        <w:t>ся стороны</w:t>
      </w:r>
      <w:r>
        <w:t>.</w:t>
      </w:r>
    </w:p>
    <w:p w:rsidR="00343E61" w:rsidRPr="00DF0070" w:rsidRDefault="00343E61" w:rsidP="00343E61">
      <w:pPr>
        <w:pStyle w:val="SingleTxt"/>
      </w:pPr>
      <w:r w:rsidRPr="00DF0070">
        <w:t>Целевые показатели на 2014−2015 годы: 3 поправки, 3 новые Договаривающиеся стороны</w:t>
      </w:r>
      <w:r>
        <w:t>.</w:t>
      </w:r>
    </w:p>
    <w:p w:rsidR="00343E61" w:rsidRPr="00DF0070" w:rsidRDefault="00343E61" w:rsidP="00343E61">
      <w:pPr>
        <w:pStyle w:val="SingleTxt"/>
        <w:rPr>
          <w:b/>
          <w:bCs/>
        </w:rPr>
      </w:pPr>
      <w:r w:rsidRPr="00DF0070">
        <w:rPr>
          <w:b/>
          <w:bCs/>
        </w:rPr>
        <w:t>Фактические показатели за 2014–2015 годы: 10 принятых и/или рассмотре</w:t>
      </w:r>
      <w:r w:rsidRPr="00DF0070">
        <w:rPr>
          <w:b/>
          <w:bCs/>
        </w:rPr>
        <w:t>н</w:t>
      </w:r>
      <w:r w:rsidRPr="00DF0070">
        <w:rPr>
          <w:b/>
          <w:bCs/>
        </w:rPr>
        <w:t>ных поправок, одна новая Договаривающаяся сторона</w:t>
      </w:r>
      <w:r w:rsidRPr="001805BF">
        <w:t>.</w:t>
      </w:r>
    </w:p>
    <w:p w:rsidR="00343E61" w:rsidRPr="001805BF" w:rsidRDefault="00343E61" w:rsidP="00343E61">
      <w:pPr>
        <w:pStyle w:val="SingleTxt"/>
        <w:spacing w:after="0" w:line="120" w:lineRule="exact"/>
        <w:rPr>
          <w:b/>
          <w:sz w:val="10"/>
        </w:rPr>
      </w:pPr>
    </w:p>
    <w:p w:rsidR="00343E61" w:rsidRPr="001805BF" w:rsidRDefault="00343E61" w:rsidP="00343E61">
      <w:pPr>
        <w:pStyle w:val="SingleTxt"/>
        <w:spacing w:after="0" w:line="120" w:lineRule="exact"/>
        <w:rPr>
          <w:b/>
          <w:sz w:val="10"/>
        </w:rPr>
      </w:pPr>
    </w:p>
    <w:p w:rsidR="00343E61" w:rsidRPr="00DF0070" w:rsidRDefault="00343E61" w:rsidP="00343E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t>C.</w:t>
      </w:r>
      <w:r w:rsidRPr="00DF0070">
        <w:tab/>
        <w:t>Оценка результативности</w:t>
      </w:r>
    </w:p>
    <w:p w:rsidR="00343E61" w:rsidRPr="001805BF" w:rsidRDefault="00343E61" w:rsidP="00343E61">
      <w:pPr>
        <w:pStyle w:val="SingleTxt"/>
        <w:spacing w:after="0" w:line="120" w:lineRule="exact"/>
        <w:rPr>
          <w:sz w:val="10"/>
        </w:rPr>
      </w:pPr>
    </w:p>
    <w:p w:rsidR="00343E61" w:rsidRPr="001805BF" w:rsidRDefault="00343E61" w:rsidP="00343E61">
      <w:pPr>
        <w:pStyle w:val="SingleTxt"/>
        <w:spacing w:after="0" w:line="120" w:lineRule="exact"/>
        <w:rPr>
          <w:sz w:val="10"/>
        </w:rPr>
      </w:pPr>
    </w:p>
    <w:p w:rsidR="00343E61" w:rsidRPr="00DF0070" w:rsidRDefault="00343E61" w:rsidP="00343E61">
      <w:pPr>
        <w:pStyle w:val="SingleTxt"/>
      </w:pPr>
      <w:r w:rsidRPr="00DF0070">
        <w:t>57.</w:t>
      </w:r>
      <w:r w:rsidRPr="00DF0070">
        <w:tab/>
        <w:t>Правовые документы ЕЭК, касающиеся облегчения пересечения границ, помогают Договаривающимся сторонам поддерживать хрупкое равновесие ме</w:t>
      </w:r>
      <w:r w:rsidRPr="00DF0070">
        <w:t>ж</w:t>
      </w:r>
      <w:r w:rsidRPr="00DF0070">
        <w:t>ду созданием более благоприятных условий для перевозок и развития торговли, с одной стороны, и обеспечением безопасности и необходимых поступлений в го</w:t>
      </w:r>
      <w:r w:rsidRPr="00DF0070">
        <w:t>с</w:t>
      </w:r>
      <w:r w:rsidRPr="00DF0070">
        <w:t>ударственный бюджет − с другой. Подтверждением их актуальности стало акти</w:t>
      </w:r>
      <w:r w:rsidRPr="00DF0070">
        <w:t>в</w:t>
      </w:r>
      <w:r w:rsidRPr="00DF0070">
        <w:t xml:space="preserve">ное участие </w:t>
      </w:r>
      <w:r>
        <w:t>растущего</w:t>
      </w:r>
      <w:r w:rsidRPr="00DF0070">
        <w:t xml:space="preserve"> числа стран, МПО и НПО в работе совещаний WP.30 и</w:t>
      </w:r>
      <w:r>
        <w:t> </w:t>
      </w:r>
      <w:r w:rsidRPr="00DF0070">
        <w:t xml:space="preserve">АС.2. О заинтересованности стран можно также судить по </w:t>
      </w:r>
      <w:r>
        <w:t>числу</w:t>
      </w:r>
      <w:r w:rsidRPr="00DF0070">
        <w:t xml:space="preserve"> новых Дог</w:t>
      </w:r>
      <w:r w:rsidRPr="00DF0070">
        <w:t>о</w:t>
      </w:r>
      <w:r w:rsidRPr="00DF0070">
        <w:t>варивающихся сторон различных конвенций. В 2015 году Пакистан присоед</w:t>
      </w:r>
      <w:r w:rsidRPr="00DF0070">
        <w:t>и</w:t>
      </w:r>
      <w:r w:rsidRPr="00DF0070">
        <w:t>нился к Конвенции МДП, став ее шестьдесят девятой Договаривающейся стор</w:t>
      </w:r>
      <w:r w:rsidRPr="00DF0070">
        <w:t>о</w:t>
      </w:r>
      <w:r w:rsidRPr="00DF0070">
        <w:t xml:space="preserve">ной, </w:t>
      </w:r>
      <w:r>
        <w:t>а</w:t>
      </w:r>
      <w:r w:rsidRPr="00DF0070">
        <w:t xml:space="preserve"> Китай заявил о своем намерении присоединиться к ней в ближайшем б</w:t>
      </w:r>
      <w:r w:rsidRPr="00DF0070">
        <w:t>у</w:t>
      </w:r>
      <w:r w:rsidRPr="00DF0070">
        <w:t>дущем.</w:t>
      </w:r>
      <w:r>
        <w:t xml:space="preserve"> Вступили в силу или были обсуждены ч</w:t>
      </w:r>
      <w:r w:rsidRPr="00DF0070">
        <w:t>етыре новы</w:t>
      </w:r>
      <w:r>
        <w:t>е</w:t>
      </w:r>
      <w:r w:rsidRPr="00DF0070">
        <w:t xml:space="preserve"> поправки к Конве</w:t>
      </w:r>
      <w:r w:rsidRPr="00DF0070">
        <w:t>н</w:t>
      </w:r>
      <w:r w:rsidRPr="00DF0070">
        <w:t xml:space="preserve">ции, </w:t>
      </w:r>
      <w:r>
        <w:t xml:space="preserve">с тем чтобы главным образом </w:t>
      </w:r>
      <w:r w:rsidRPr="00DF0070">
        <w:t>повы</w:t>
      </w:r>
      <w:r>
        <w:t>сить</w:t>
      </w:r>
      <w:r w:rsidRPr="00DF0070">
        <w:t xml:space="preserve"> эффективност</w:t>
      </w:r>
      <w:r>
        <w:t>ь</w:t>
      </w:r>
      <w:r w:rsidRPr="00DF0070">
        <w:t xml:space="preserve"> управления и защ</w:t>
      </w:r>
      <w:r w:rsidRPr="00DF0070">
        <w:t>и</w:t>
      </w:r>
      <w:r w:rsidRPr="00DF0070">
        <w:t xml:space="preserve">ту доходов. Эти поправки касались, </w:t>
      </w:r>
      <w:r>
        <w:t>например</w:t>
      </w:r>
      <w:r w:rsidRPr="00DF0070">
        <w:t>, предложений о разработке ко</w:t>
      </w:r>
      <w:r w:rsidRPr="00DF0070">
        <w:t>н</w:t>
      </w:r>
      <w:r w:rsidRPr="00DF0070">
        <w:t>трольного перечня документов, которые международная организация, уполном</w:t>
      </w:r>
      <w:r w:rsidRPr="00DF0070">
        <w:t>о</w:t>
      </w:r>
      <w:r w:rsidRPr="00DF0070">
        <w:t xml:space="preserve">ченная в соответствии с частью </w:t>
      </w:r>
      <w:r w:rsidRPr="00DF0070">
        <w:rPr>
          <w:lang w:val="en-US"/>
        </w:rPr>
        <w:t>III</w:t>
      </w:r>
      <w:r w:rsidRPr="00DF0070">
        <w:t xml:space="preserve"> приложения 9 отвечать за эффективную орг</w:t>
      </w:r>
      <w:r w:rsidRPr="00DF0070">
        <w:t>а</w:t>
      </w:r>
      <w:r w:rsidRPr="00DF0070">
        <w:t xml:space="preserve">низацию и функционирование международной системы гарантий, а также за </w:t>
      </w:r>
      <w:r>
        <w:t>п</w:t>
      </w:r>
      <w:r>
        <w:t>е</w:t>
      </w:r>
      <w:r>
        <w:t>чатание</w:t>
      </w:r>
      <w:r w:rsidRPr="00DF0070">
        <w:t xml:space="preserve"> и распространение книжек МДП, должна представлять Исполнительн</w:t>
      </w:r>
      <w:r w:rsidRPr="00DF0070">
        <w:t>о</w:t>
      </w:r>
      <w:r w:rsidRPr="00DF0070">
        <w:t>му совету МДП (ИСМДП); предложений по дальнейшей разработке требований к аудиторской проверке для уполномоченной международной организации и роли и задач Административного комитета МДП в этом процессе; а также предложений о внесении поправок в международную систему гарантий</w:t>
      </w:r>
      <w:r>
        <w:t>,</w:t>
      </w:r>
      <w:r w:rsidRPr="00DF0070">
        <w:t xml:space="preserve"> с тем</w:t>
      </w:r>
      <w:r>
        <w:t xml:space="preserve"> </w:t>
      </w:r>
      <w:r w:rsidRPr="00DF0070">
        <w:t>чтобы обесп</w:t>
      </w:r>
      <w:r w:rsidRPr="00DF0070">
        <w:t>е</w:t>
      </w:r>
      <w:r w:rsidRPr="00DF0070">
        <w:t>чить для правительств более эффективную защиту доходов в случае нарушения положений Конвенции МДП.</w:t>
      </w:r>
    </w:p>
    <w:p w:rsidR="00343E61" w:rsidRPr="00DF0070" w:rsidRDefault="00343E61" w:rsidP="00343E61">
      <w:pPr>
        <w:pStyle w:val="SingleTxt"/>
      </w:pPr>
      <w:r w:rsidRPr="00DF0070">
        <w:t>58.</w:t>
      </w:r>
      <w:r w:rsidRPr="00DF0070">
        <w:tab/>
        <w:t>WP.30 одобрила окончательные результаты работы неофициальной спец</w:t>
      </w:r>
      <w:r w:rsidRPr="00DF0070">
        <w:t>и</w:t>
      </w:r>
      <w:r w:rsidRPr="00DF0070">
        <w:t>альной группы экспертов по концептуальным и техническим аспектам компь</w:t>
      </w:r>
      <w:r w:rsidRPr="00DF0070">
        <w:t>ю</w:t>
      </w:r>
      <w:r w:rsidRPr="00DF0070">
        <w:t xml:space="preserve">теризации процедуры МДП (GE.1) и просила секретариат вновь созвать GE.1, </w:t>
      </w:r>
      <w:r w:rsidRPr="00DF0070">
        <w:lastRenderedPageBreak/>
        <w:t>если это потребуется для решения вопросов, связанных с ведением или измен</w:t>
      </w:r>
      <w:r w:rsidRPr="00DF0070">
        <w:t>е</w:t>
      </w:r>
      <w:r w:rsidRPr="00DF0070">
        <w:t xml:space="preserve">нием Справочной модели </w:t>
      </w:r>
      <w:proofErr w:type="spellStart"/>
      <w:r w:rsidRPr="00DF0070">
        <w:t>eTIR</w:t>
      </w:r>
      <w:proofErr w:type="spellEnd"/>
      <w:r w:rsidRPr="00DF0070">
        <w:t xml:space="preserve">, содержащей подробное описание проекта </w:t>
      </w:r>
      <w:proofErr w:type="spellStart"/>
      <w:r w:rsidRPr="00DF0070">
        <w:t>eTIR</w:t>
      </w:r>
      <w:proofErr w:type="spellEnd"/>
      <w:r w:rsidRPr="00DF0070">
        <w:t>. Первая сессия Группы экспертов по правовым аспектам компьютеризации пр</w:t>
      </w:r>
      <w:r w:rsidRPr="00DF0070">
        <w:t>о</w:t>
      </w:r>
      <w:r w:rsidRPr="00DF0070">
        <w:t>цедуры МДП (GE.2) была успешно проведена в ноябре 2015 года.</w:t>
      </w:r>
    </w:p>
    <w:p w:rsidR="00343E61" w:rsidRPr="001805BF" w:rsidRDefault="00343E61" w:rsidP="00343E61">
      <w:pPr>
        <w:pStyle w:val="SingleTxt"/>
        <w:spacing w:after="0" w:line="120" w:lineRule="exact"/>
        <w:rPr>
          <w:b/>
          <w:sz w:val="10"/>
        </w:rPr>
      </w:pPr>
    </w:p>
    <w:p w:rsidR="00343E61" w:rsidRPr="001805BF" w:rsidRDefault="00343E61" w:rsidP="00343E61">
      <w:pPr>
        <w:pStyle w:val="SingleTxt"/>
        <w:spacing w:after="0" w:line="120" w:lineRule="exact"/>
        <w:rPr>
          <w:b/>
          <w:sz w:val="10"/>
        </w:rPr>
      </w:pPr>
    </w:p>
    <w:p w:rsidR="00343E61" w:rsidRPr="00DF0070" w:rsidRDefault="00343E61" w:rsidP="00343E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t>D.</w:t>
      </w:r>
      <w:r w:rsidRPr="00DF0070">
        <w:tab/>
        <w:t>Извлеченные уроки/области, в которых необходимы улучшения</w:t>
      </w:r>
    </w:p>
    <w:p w:rsidR="00343E61" w:rsidRPr="001805BF" w:rsidRDefault="00343E61" w:rsidP="00343E61">
      <w:pPr>
        <w:pStyle w:val="SingleTxt"/>
        <w:spacing w:after="0" w:line="120" w:lineRule="exact"/>
        <w:rPr>
          <w:sz w:val="10"/>
        </w:rPr>
      </w:pPr>
    </w:p>
    <w:p w:rsidR="00343E61" w:rsidRPr="001805BF" w:rsidRDefault="00343E61" w:rsidP="00343E61">
      <w:pPr>
        <w:pStyle w:val="SingleTxt"/>
        <w:spacing w:after="0" w:line="120" w:lineRule="exact"/>
        <w:rPr>
          <w:sz w:val="10"/>
        </w:rPr>
      </w:pPr>
    </w:p>
    <w:p w:rsidR="00343E61" w:rsidRPr="00DF0070" w:rsidRDefault="00343E61" w:rsidP="00343E61">
      <w:pPr>
        <w:pStyle w:val="SingleTxt"/>
      </w:pPr>
      <w:r w:rsidRPr="00DF0070">
        <w:t>59.</w:t>
      </w:r>
      <w:r w:rsidRPr="00DF0070">
        <w:tab/>
        <w:t>Наибольшую потенциальную пользу от возможностей, предоставляемых правовыми документами ЕЭК, касающимися облегчения пересечения границ, могут получить развивающиеся страны, не имеющие выхода к морю. Однако по финансовым соображениям представители этих стран зачастую не могут позв</w:t>
      </w:r>
      <w:r w:rsidRPr="00DF0070">
        <w:t>о</w:t>
      </w:r>
      <w:r w:rsidRPr="00DF0070">
        <w:t xml:space="preserve">лить себе участвовать в сессиях ЕЭК в Женеве. В качестве возможных решений можно </w:t>
      </w:r>
      <w:r>
        <w:t xml:space="preserve">было бы </w:t>
      </w:r>
      <w:r w:rsidRPr="00DF0070">
        <w:t>предложить создать целевой фонд при поддержке частного се</w:t>
      </w:r>
      <w:r w:rsidRPr="00DF0070">
        <w:t>к</w:t>
      </w:r>
      <w:r w:rsidRPr="00DF0070">
        <w:t>тора и/или проводить некоторые официальные совещания в этих странах, а не в Женеве, что и делается в настоящее время.</w:t>
      </w:r>
    </w:p>
    <w:p w:rsidR="00343E61" w:rsidRPr="00DF0070" w:rsidRDefault="00343E61" w:rsidP="00343E61">
      <w:pPr>
        <w:pStyle w:val="SingleTxt"/>
      </w:pPr>
      <w:r w:rsidRPr="00DF0070">
        <w:t>60.</w:t>
      </w:r>
      <w:r w:rsidRPr="00DF0070">
        <w:tab/>
        <w:t>Будущие задачи будут включать подготовку новой конвенции об облегчении условий железнодорожной перевозки пассажиров и багажа через границы для замены устаревшей Конвенции 1952 года. Первый проект был представлен на рассмотрение WP.30 и SC.2 в конце 2015 года. В 2015 году WP.30 также прист</w:t>
      </w:r>
      <w:r w:rsidRPr="00DF0070">
        <w:t>у</w:t>
      </w:r>
      <w:r w:rsidRPr="00DF0070">
        <w:t>пила к рассмотрению предложений по внесению поправок в Конвенцию о согл</w:t>
      </w:r>
      <w:r w:rsidRPr="00DF0070">
        <w:t>а</w:t>
      </w:r>
      <w:r w:rsidRPr="00DF0070">
        <w:t>совании путем включения в нее нового приложения 10 о морских портах. С др</w:t>
      </w:r>
      <w:r w:rsidRPr="00DF0070">
        <w:t>у</w:t>
      </w:r>
      <w:r w:rsidRPr="00DF0070">
        <w:t>гой стороны, продолжающийся кризис, связанный с Российской Федерацией, п</w:t>
      </w:r>
      <w:r w:rsidRPr="00DF0070">
        <w:t>о</w:t>
      </w:r>
      <w:r w:rsidRPr="00DF0070">
        <w:t>казал, что существующая межправительственная структура не обладает надл</w:t>
      </w:r>
      <w:r w:rsidRPr="00DF0070">
        <w:t>е</w:t>
      </w:r>
      <w:r w:rsidRPr="00DF0070">
        <w:t xml:space="preserve">жащими полномочиями, когда речь идет о </w:t>
      </w:r>
      <w:r>
        <w:t>четко</w:t>
      </w:r>
      <w:r w:rsidRPr="00DF0070">
        <w:t xml:space="preserve"> установленном нарушении </w:t>
      </w:r>
      <w:r>
        <w:t xml:space="preserve">при </w:t>
      </w:r>
      <w:r w:rsidRPr="00DF0070">
        <w:t>применени</w:t>
      </w:r>
      <w:r>
        <w:t>и</w:t>
      </w:r>
      <w:r w:rsidRPr="00DF0070">
        <w:t xml:space="preserve"> Конвенции МДП той или иной Договаривающейся стороной. Были приняты предложения, направленные на более своевременно</w:t>
      </w:r>
      <w:r>
        <w:t>е</w:t>
      </w:r>
      <w:r w:rsidRPr="00DF0070">
        <w:t xml:space="preserve"> представлени</w:t>
      </w:r>
      <w:r>
        <w:t>е</w:t>
      </w:r>
      <w:r w:rsidRPr="00DF0070">
        <w:t xml:space="preserve"> и</w:t>
      </w:r>
      <w:r w:rsidRPr="00DF0070">
        <w:t>н</w:t>
      </w:r>
      <w:r w:rsidRPr="00DF0070">
        <w:t>формации о новых мерах контроля компетентным органам, в частности ИСМДП, однако эффективность этих предложений зависит от готовности Договарива</w:t>
      </w:r>
      <w:r w:rsidRPr="00DF0070">
        <w:t>ю</w:t>
      </w:r>
      <w:r w:rsidRPr="00DF0070">
        <w:t>щихся сторон соблюдать их. Не менее важно – особенно сейчас, когда GE.2 пр</w:t>
      </w:r>
      <w:r w:rsidRPr="00DF0070">
        <w:t>и</w:t>
      </w:r>
      <w:r w:rsidRPr="00DF0070">
        <w:t xml:space="preserve">ступила к </w:t>
      </w:r>
      <w:r>
        <w:t xml:space="preserve">своей </w:t>
      </w:r>
      <w:r w:rsidRPr="00DF0070">
        <w:t>работе – и то, что определение способа наиболее оптимального применения и правового оформления использования новых технологий и обмена электронными данными будет иметь ключевое значение для обеспечения успе</w:t>
      </w:r>
      <w:r w:rsidRPr="00DF0070">
        <w:t>ш</w:t>
      </w:r>
      <w:r w:rsidRPr="00DF0070">
        <w:t>ного функционирования системы МДП в будущем.</w:t>
      </w:r>
    </w:p>
    <w:p w:rsidR="00343E61" w:rsidRPr="001805BF" w:rsidRDefault="00343E61" w:rsidP="00343E61">
      <w:pPr>
        <w:pStyle w:val="SingleTxt"/>
        <w:spacing w:after="0" w:line="120" w:lineRule="exact"/>
        <w:rPr>
          <w:b/>
          <w:sz w:val="10"/>
        </w:rPr>
      </w:pPr>
    </w:p>
    <w:p w:rsidR="00343E61" w:rsidRPr="001805BF" w:rsidRDefault="00343E61" w:rsidP="00343E61">
      <w:pPr>
        <w:pStyle w:val="SingleTxt"/>
        <w:spacing w:after="0" w:line="120" w:lineRule="exact"/>
        <w:rPr>
          <w:b/>
          <w:sz w:val="10"/>
        </w:rPr>
      </w:pPr>
    </w:p>
    <w:p w:rsidR="00343E61" w:rsidRPr="00DF0070" w:rsidRDefault="00343E61" w:rsidP="00343E6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r>
      <w:r w:rsidRPr="00DF0070">
        <w:tab/>
        <w:t>Направление деятельности 7.b</w:t>
      </w:r>
      <w:r w:rsidRPr="00DF0070">
        <w:br/>
        <w:t xml:space="preserve">Таможенные вопросы, связанные с транспортом </w:t>
      </w:r>
    </w:p>
    <w:p w:rsidR="00343E61" w:rsidRPr="001805BF" w:rsidRDefault="00343E61" w:rsidP="00343E61">
      <w:pPr>
        <w:pStyle w:val="SingleTxt"/>
        <w:spacing w:after="0" w:line="120" w:lineRule="exact"/>
        <w:rPr>
          <w:b/>
          <w:sz w:val="10"/>
        </w:rPr>
      </w:pPr>
    </w:p>
    <w:p w:rsidR="00343E61" w:rsidRPr="001805BF" w:rsidRDefault="00343E61" w:rsidP="00343E61">
      <w:pPr>
        <w:pStyle w:val="SingleTxt"/>
        <w:spacing w:after="0" w:line="120" w:lineRule="exact"/>
        <w:rPr>
          <w:b/>
          <w:sz w:val="10"/>
        </w:rPr>
      </w:pPr>
    </w:p>
    <w:p w:rsidR="00343E61" w:rsidRPr="00DF0070" w:rsidRDefault="00343E61" w:rsidP="00343E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t>A.</w:t>
      </w:r>
      <w:r w:rsidRPr="00DF0070">
        <w:tab/>
        <w:t>Ожидаемое достижение (ОД 7.b)</w:t>
      </w:r>
    </w:p>
    <w:p w:rsidR="00343E61" w:rsidRPr="001805BF" w:rsidRDefault="00343E61" w:rsidP="00343E61">
      <w:pPr>
        <w:pStyle w:val="SingleTxt"/>
        <w:spacing w:after="0" w:line="120" w:lineRule="exact"/>
        <w:rPr>
          <w:sz w:val="10"/>
        </w:rPr>
      </w:pPr>
    </w:p>
    <w:p w:rsidR="00343E61" w:rsidRPr="001805BF" w:rsidRDefault="00343E61" w:rsidP="00343E61">
      <w:pPr>
        <w:pStyle w:val="SingleTxt"/>
        <w:spacing w:after="0" w:line="120" w:lineRule="exact"/>
        <w:rPr>
          <w:sz w:val="10"/>
        </w:rPr>
      </w:pPr>
    </w:p>
    <w:p w:rsidR="00343E61" w:rsidRPr="00DF0070" w:rsidRDefault="00343E61" w:rsidP="00343E61">
      <w:pPr>
        <w:pStyle w:val="SingleTxt"/>
      </w:pPr>
      <w:r w:rsidRPr="00DF0070">
        <w:t>61.</w:t>
      </w:r>
      <w:r w:rsidRPr="00DF0070">
        <w:tab/>
        <w:t>Присоединение новых стран к международным правовым инструментам в области облегчения пересечения границ и их более эффективное осуществление</w:t>
      </w:r>
      <w:r w:rsidR="008201F7">
        <w:t>.</w:t>
      </w:r>
    </w:p>
    <w:p w:rsidR="00343E61" w:rsidRPr="001805BF" w:rsidRDefault="00343E61" w:rsidP="00343E61">
      <w:pPr>
        <w:pStyle w:val="SingleTxt"/>
        <w:spacing w:after="0" w:line="120" w:lineRule="exact"/>
        <w:rPr>
          <w:b/>
          <w:sz w:val="10"/>
        </w:rPr>
      </w:pPr>
    </w:p>
    <w:p w:rsidR="00343E61" w:rsidRPr="001805BF" w:rsidRDefault="00343E61" w:rsidP="00343E61">
      <w:pPr>
        <w:pStyle w:val="SingleTxt"/>
        <w:spacing w:after="0" w:line="120" w:lineRule="exact"/>
        <w:rPr>
          <w:b/>
          <w:sz w:val="10"/>
        </w:rPr>
      </w:pPr>
    </w:p>
    <w:p w:rsidR="00343E61" w:rsidRPr="00DF0070" w:rsidRDefault="00343E61" w:rsidP="00343E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t>B.</w:t>
      </w:r>
      <w:r w:rsidRPr="00DF0070">
        <w:tab/>
        <w:t>Показатели достижения</w:t>
      </w:r>
    </w:p>
    <w:p w:rsidR="00343E61" w:rsidRPr="001805BF" w:rsidRDefault="00343E61" w:rsidP="00343E61">
      <w:pPr>
        <w:pStyle w:val="SingleTxt"/>
        <w:spacing w:after="0" w:line="120" w:lineRule="exact"/>
        <w:rPr>
          <w:b/>
          <w:sz w:val="10"/>
        </w:rPr>
      </w:pPr>
    </w:p>
    <w:p w:rsidR="00343E61" w:rsidRPr="001805BF" w:rsidRDefault="00343E61" w:rsidP="00343E61">
      <w:pPr>
        <w:pStyle w:val="SingleTxt"/>
        <w:spacing w:after="0" w:line="120" w:lineRule="exact"/>
        <w:rPr>
          <w:b/>
          <w:sz w:val="10"/>
        </w:rPr>
      </w:pPr>
    </w:p>
    <w:p w:rsidR="00343E61" w:rsidRPr="00DF0070" w:rsidRDefault="00343E61" w:rsidP="00343E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t>1.</w:t>
      </w:r>
      <w:r w:rsidRPr="00DF0070">
        <w:tab/>
        <w:t xml:space="preserve">Число обследований по осуществлению правовых документов, касающихся пересечения границ (ПД 7.b) </w:t>
      </w:r>
    </w:p>
    <w:p w:rsidR="00343E61" w:rsidRPr="001805BF" w:rsidRDefault="00343E61" w:rsidP="00343E61">
      <w:pPr>
        <w:pStyle w:val="SingleTxt"/>
        <w:spacing w:after="0" w:line="120" w:lineRule="exact"/>
        <w:rPr>
          <w:i/>
          <w:sz w:val="10"/>
        </w:rPr>
      </w:pPr>
    </w:p>
    <w:p w:rsidR="00343E61" w:rsidRPr="00DF0070" w:rsidRDefault="00343E61" w:rsidP="00343E6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r>
      <w:r w:rsidRPr="00DF0070">
        <w:tab/>
        <w:t>Показатели результативности</w:t>
      </w:r>
    </w:p>
    <w:p w:rsidR="00343E61" w:rsidRPr="001805BF" w:rsidRDefault="00343E61" w:rsidP="00343E61">
      <w:pPr>
        <w:pStyle w:val="SingleTxt"/>
        <w:spacing w:after="0" w:line="120" w:lineRule="exact"/>
        <w:rPr>
          <w:i/>
          <w:sz w:val="10"/>
        </w:rPr>
      </w:pPr>
    </w:p>
    <w:p w:rsidR="00343E61" w:rsidRPr="00DF0070" w:rsidRDefault="00343E61" w:rsidP="00343E61">
      <w:pPr>
        <w:pStyle w:val="SingleTxt"/>
        <w:rPr>
          <w:iCs/>
        </w:rPr>
      </w:pPr>
      <w:r w:rsidRPr="00DF0070">
        <w:rPr>
          <w:iCs/>
        </w:rPr>
        <w:t>Исходные показатели за 2012−2013 годы: 2</w:t>
      </w:r>
      <w:r>
        <w:rPr>
          <w:iCs/>
        </w:rPr>
        <w:t>.</w:t>
      </w:r>
      <w:r w:rsidRPr="00DF0070">
        <w:rPr>
          <w:iCs/>
        </w:rPr>
        <w:t xml:space="preserve"> </w:t>
      </w:r>
    </w:p>
    <w:p w:rsidR="00343E61" w:rsidRPr="00DF0070" w:rsidRDefault="00343E61" w:rsidP="00343E61">
      <w:pPr>
        <w:pStyle w:val="SingleTxt"/>
      </w:pPr>
      <w:r w:rsidRPr="00DF0070">
        <w:t>Целевые показатели на 2014–2015 годы: 2</w:t>
      </w:r>
      <w:r>
        <w:t>.</w:t>
      </w:r>
    </w:p>
    <w:p w:rsidR="00343E61" w:rsidRPr="00DF0070" w:rsidRDefault="00343E61" w:rsidP="00343E61">
      <w:pPr>
        <w:pStyle w:val="SingleTxt"/>
        <w:rPr>
          <w:b/>
          <w:bCs/>
        </w:rPr>
      </w:pPr>
      <w:r w:rsidRPr="00DF0070">
        <w:rPr>
          <w:b/>
          <w:bCs/>
        </w:rPr>
        <w:t>Фактические показатели за 2014–2015 годы: 2</w:t>
      </w:r>
      <w:r w:rsidRPr="001805BF">
        <w:t>.</w:t>
      </w:r>
    </w:p>
    <w:p w:rsidR="00343E61" w:rsidRPr="001805BF" w:rsidRDefault="00343E61" w:rsidP="00343E61">
      <w:pPr>
        <w:pStyle w:val="SingleTxt"/>
        <w:spacing w:after="0" w:line="120" w:lineRule="exact"/>
        <w:rPr>
          <w:b/>
          <w:sz w:val="10"/>
        </w:rPr>
      </w:pPr>
    </w:p>
    <w:p w:rsidR="00343E61" w:rsidRPr="00DF0070" w:rsidRDefault="00343E61" w:rsidP="00343E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t>C.</w:t>
      </w:r>
      <w:r w:rsidRPr="00DF0070">
        <w:tab/>
        <w:t>Оценка результативности</w:t>
      </w:r>
    </w:p>
    <w:p w:rsidR="00343E61" w:rsidRPr="001805BF" w:rsidRDefault="00343E61" w:rsidP="00343E61">
      <w:pPr>
        <w:pStyle w:val="SingleTxt"/>
        <w:spacing w:after="0" w:line="120" w:lineRule="exact"/>
        <w:rPr>
          <w:sz w:val="10"/>
        </w:rPr>
      </w:pPr>
    </w:p>
    <w:p w:rsidR="00343E61" w:rsidRPr="001805BF" w:rsidRDefault="00343E61" w:rsidP="00343E61">
      <w:pPr>
        <w:pStyle w:val="SingleTxt"/>
        <w:spacing w:after="0" w:line="120" w:lineRule="exact"/>
        <w:rPr>
          <w:sz w:val="10"/>
        </w:rPr>
      </w:pPr>
    </w:p>
    <w:p w:rsidR="00343E61" w:rsidRPr="00DF0070" w:rsidRDefault="00343E61" w:rsidP="00343E61">
      <w:pPr>
        <w:pStyle w:val="SingleTxt"/>
      </w:pPr>
      <w:r w:rsidRPr="00DF0070">
        <w:t>62.</w:t>
      </w:r>
      <w:r w:rsidRPr="00DF0070">
        <w:tab/>
        <w:t>Для надлежащего применения правовых документов на национальном уровне необходим регулярный мониторинг. В этих целях в основных конвенциях ЕЭК, направленных на облегчение пересечения границ, а именно в Конвенции о согласовании и Конвенции МДП, предусмотрены механизмы мониторинга. В частности, в 2014–2015 годах было проведено двухгодичное обследование Д</w:t>
      </w:r>
      <w:r w:rsidRPr="00DF0070">
        <w:t>о</w:t>
      </w:r>
      <w:r w:rsidRPr="00DF0070">
        <w:t xml:space="preserve">говаривающихся сторон </w:t>
      </w:r>
      <w:r>
        <w:t xml:space="preserve">по вопросу </w:t>
      </w:r>
      <w:r w:rsidRPr="00DF0070">
        <w:t>об осуществлении на национальном уровне приложения 8 к Конвенции о согласовании. Результаты обследования показыв</w:t>
      </w:r>
      <w:r w:rsidRPr="00DF0070">
        <w:t>а</w:t>
      </w:r>
      <w:r w:rsidRPr="00DF0070">
        <w:t>ют, что все участвовавшие в нем страны либо применяют положения прилож</w:t>
      </w:r>
      <w:r w:rsidRPr="00DF0070">
        <w:t>е</w:t>
      </w:r>
      <w:r w:rsidRPr="00DF0070">
        <w:t>ния</w:t>
      </w:r>
      <w:r w:rsidR="008201F7">
        <w:t> </w:t>
      </w:r>
      <w:r w:rsidRPr="00DF0070">
        <w:t>8, либо активно работают над их применением. В настоящее время в онла</w:t>
      </w:r>
      <w:r w:rsidRPr="00DF0070">
        <w:t>й</w:t>
      </w:r>
      <w:r w:rsidRPr="00DF0070">
        <w:t>новом режиме проводится еще один опрос Договаривающихся сторон МДП, п</w:t>
      </w:r>
      <w:r w:rsidRPr="00DF0070">
        <w:t>о</w:t>
      </w:r>
      <w:r w:rsidRPr="00DF0070">
        <w:t xml:space="preserve">священный анализу таможенных претензий за 2011−2014 годы и уровня гарантии МДП. Результаты будут представлены ИСМДП и АС.2 в 2016 году. Публикация «Спектр деятельности ЕЭК по облегчению пересечения границ», посвященная целому ряду конвенций Организации Объединенных Наций, которые связаны с облегчением пересечения границ, была </w:t>
      </w:r>
      <w:r>
        <w:t>распространена в</w:t>
      </w:r>
      <w:r w:rsidRPr="00DF0070">
        <w:t xml:space="preserve"> 2015 году на англи</w:t>
      </w:r>
      <w:r w:rsidRPr="00DF0070">
        <w:t>й</w:t>
      </w:r>
      <w:r w:rsidRPr="00DF0070">
        <w:t>ском языке, а в 2016 году буд</w:t>
      </w:r>
      <w:r>
        <w:t>е</w:t>
      </w:r>
      <w:r w:rsidRPr="00DF0070">
        <w:t>т выпущен</w:t>
      </w:r>
      <w:r>
        <w:t>а</w:t>
      </w:r>
      <w:r w:rsidRPr="00DF0070">
        <w:t xml:space="preserve"> также на французском и русском яз</w:t>
      </w:r>
      <w:r w:rsidRPr="00DF0070">
        <w:t>ы</w:t>
      </w:r>
      <w:r w:rsidRPr="00DF0070">
        <w:t>ках.</w:t>
      </w:r>
    </w:p>
    <w:p w:rsidR="00343E61" w:rsidRPr="001805BF" w:rsidRDefault="00343E61" w:rsidP="00343E61">
      <w:pPr>
        <w:pStyle w:val="SingleTxt"/>
        <w:spacing w:after="0" w:line="120" w:lineRule="exact"/>
        <w:rPr>
          <w:b/>
          <w:sz w:val="10"/>
        </w:rPr>
      </w:pPr>
    </w:p>
    <w:p w:rsidR="00343E61" w:rsidRPr="001805BF" w:rsidRDefault="00343E61" w:rsidP="00343E61">
      <w:pPr>
        <w:pStyle w:val="SingleTxt"/>
        <w:spacing w:after="0" w:line="120" w:lineRule="exact"/>
        <w:rPr>
          <w:b/>
          <w:sz w:val="10"/>
        </w:rPr>
      </w:pPr>
    </w:p>
    <w:p w:rsidR="00343E61" w:rsidRPr="00DF0070" w:rsidRDefault="00343E61" w:rsidP="00343E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t>D.</w:t>
      </w:r>
      <w:r w:rsidRPr="00DF0070">
        <w:tab/>
        <w:t>Извлеченные уроки/области, в которых необходимы улучшения</w:t>
      </w:r>
    </w:p>
    <w:p w:rsidR="00343E61" w:rsidRPr="001805BF" w:rsidRDefault="00343E61" w:rsidP="00343E61">
      <w:pPr>
        <w:pStyle w:val="SingleTxt"/>
        <w:spacing w:after="0" w:line="120" w:lineRule="exact"/>
        <w:rPr>
          <w:sz w:val="10"/>
        </w:rPr>
      </w:pPr>
    </w:p>
    <w:p w:rsidR="00343E61" w:rsidRPr="001805BF" w:rsidRDefault="00343E61" w:rsidP="00343E61">
      <w:pPr>
        <w:pStyle w:val="SingleTxt"/>
        <w:spacing w:after="0" w:line="120" w:lineRule="exact"/>
        <w:rPr>
          <w:sz w:val="10"/>
        </w:rPr>
      </w:pPr>
    </w:p>
    <w:p w:rsidR="00343E61" w:rsidRPr="00DF0070" w:rsidRDefault="00343E61" w:rsidP="00343E61">
      <w:pPr>
        <w:pStyle w:val="SingleTxt"/>
      </w:pPr>
      <w:r w:rsidRPr="00DF0070">
        <w:t>63.</w:t>
      </w:r>
      <w:r w:rsidRPr="00DF0070">
        <w:tab/>
        <w:t>Предполагается, что ЕЭК один раз в два года рассматривает вопрос о ходе работы по применению Конвенции о согласовании. Согласно полученным отв</w:t>
      </w:r>
      <w:r w:rsidRPr="00DF0070">
        <w:t>е</w:t>
      </w:r>
      <w:r w:rsidRPr="00DF0070">
        <w:t xml:space="preserve">там, положительные результаты были достигнуты в следующих областях: </w:t>
      </w:r>
      <w:r>
        <w:br/>
      </w:r>
      <w:r w:rsidRPr="00DF0070">
        <w:t>а) официальное опубликование приложения 8 в странах, b) выдача виз професс</w:t>
      </w:r>
      <w:r w:rsidRPr="00DF0070">
        <w:t>и</w:t>
      </w:r>
      <w:r w:rsidRPr="00DF0070">
        <w:t>ональным водителям, с) обмен информацией по визовым вопросам, d) информ</w:t>
      </w:r>
      <w:r w:rsidRPr="00DF0070">
        <w:t>и</w:t>
      </w:r>
      <w:r w:rsidRPr="00DF0070">
        <w:t>рование сторон, участвующих в международных перевозках, е) облегчение ко</w:t>
      </w:r>
      <w:r w:rsidRPr="00DF0070">
        <w:t>н</w:t>
      </w:r>
      <w:r w:rsidRPr="00DF0070">
        <w:t>троля срочных партий грузов и инфраструктурные меры (условия для совместн</w:t>
      </w:r>
      <w:r w:rsidRPr="00DF0070">
        <w:t>о</w:t>
      </w:r>
      <w:r w:rsidRPr="00DF0070">
        <w:t>го контроля, разделение потоков движения, надлежащие места для парковки и</w:t>
      </w:r>
      <w:r>
        <w:t> </w:t>
      </w:r>
      <w:r w:rsidRPr="00DF0070">
        <w:t xml:space="preserve">т.д.) в местах пересечения границ и т.д. </w:t>
      </w:r>
      <w:r>
        <w:t>Вместе с тем</w:t>
      </w:r>
      <w:r w:rsidRPr="00DF0070">
        <w:t xml:space="preserve"> лишь незначительное число процедур контроля было перенесено в пункты отправления и назначения, и следует отметить недостаточный прогресс в обеспечении признания Междун</w:t>
      </w:r>
      <w:r w:rsidRPr="00DF0070">
        <w:t>а</w:t>
      </w:r>
      <w:r w:rsidRPr="00DF0070">
        <w:t>родного сертификата технического осмотра и Международного весового серт</w:t>
      </w:r>
      <w:r w:rsidRPr="00DF0070">
        <w:t>и</w:t>
      </w:r>
      <w:r w:rsidRPr="00DF0070">
        <w:t>фиката транспортного средства (МВСТС). Эти области работы требуют постоя</w:t>
      </w:r>
      <w:r w:rsidRPr="00DF0070">
        <w:t>н</w:t>
      </w:r>
      <w:r w:rsidRPr="00DF0070">
        <w:t>ного мониторинга, возможно</w:t>
      </w:r>
      <w:r>
        <w:t xml:space="preserve"> на основе</w:t>
      </w:r>
      <w:r w:rsidRPr="00DF0070">
        <w:t xml:space="preserve"> организации специальных рабочих сов</w:t>
      </w:r>
      <w:r w:rsidRPr="00DF0070">
        <w:t>е</w:t>
      </w:r>
      <w:r w:rsidRPr="00DF0070">
        <w:t>щаний или созыва сессии Административного комитета Конвенции о согласов</w:t>
      </w:r>
      <w:r w:rsidRPr="00DF0070">
        <w:t>а</w:t>
      </w:r>
      <w:r w:rsidRPr="00DF0070">
        <w:t>нии (АС.3)</w:t>
      </w:r>
      <w:r w:rsidR="008201F7">
        <w:t>.</w:t>
      </w:r>
    </w:p>
    <w:p w:rsidR="00343E61" w:rsidRPr="00431C2A" w:rsidRDefault="00343E61" w:rsidP="00343E61">
      <w:pPr>
        <w:pStyle w:val="SingleTxt"/>
        <w:spacing w:after="0" w:line="120" w:lineRule="exact"/>
        <w:rPr>
          <w:b/>
          <w:sz w:val="10"/>
        </w:rPr>
      </w:pPr>
    </w:p>
    <w:p w:rsidR="00343E61" w:rsidRPr="00431C2A" w:rsidRDefault="00343E61" w:rsidP="00343E61">
      <w:pPr>
        <w:pStyle w:val="SingleTxt"/>
        <w:spacing w:after="0" w:line="120" w:lineRule="exact"/>
        <w:rPr>
          <w:b/>
          <w:sz w:val="10"/>
        </w:rPr>
      </w:pPr>
    </w:p>
    <w:p w:rsidR="00343E61" w:rsidRPr="00DF0070" w:rsidRDefault="00343E61" w:rsidP="00343E6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r>
      <w:r w:rsidRPr="00DF0070">
        <w:tab/>
        <w:t>Направление деятельности 8</w:t>
      </w:r>
      <w:r w:rsidRPr="00DF0070">
        <w:br/>
        <w:t>Общеевропейская программа по транспорту, окружающей среде и охране здоровья (ОПТОСОЗ)</w:t>
      </w:r>
    </w:p>
    <w:p w:rsidR="00343E61" w:rsidRPr="00431C2A" w:rsidRDefault="00343E61" w:rsidP="00343E61">
      <w:pPr>
        <w:pStyle w:val="SingleTxt"/>
        <w:spacing w:after="0" w:line="120" w:lineRule="exact"/>
        <w:rPr>
          <w:b/>
          <w:sz w:val="10"/>
        </w:rPr>
      </w:pPr>
    </w:p>
    <w:p w:rsidR="00343E61" w:rsidRPr="00431C2A" w:rsidRDefault="00343E61" w:rsidP="00343E61">
      <w:pPr>
        <w:pStyle w:val="SingleTxt"/>
        <w:spacing w:after="0" w:line="120" w:lineRule="exact"/>
        <w:rPr>
          <w:b/>
          <w:sz w:val="10"/>
        </w:rPr>
      </w:pPr>
    </w:p>
    <w:p w:rsidR="00343E61" w:rsidRPr="00DF0070" w:rsidRDefault="00343E61" w:rsidP="00343E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t>A.</w:t>
      </w:r>
      <w:r w:rsidRPr="00DF0070">
        <w:tab/>
        <w:t>Ожидаемое достижение (ОД 8.)</w:t>
      </w:r>
    </w:p>
    <w:p w:rsidR="00343E61" w:rsidRPr="00431C2A" w:rsidRDefault="00343E61" w:rsidP="00343E61">
      <w:pPr>
        <w:pStyle w:val="SingleTxt"/>
        <w:spacing w:after="0" w:line="120" w:lineRule="exact"/>
        <w:rPr>
          <w:sz w:val="10"/>
        </w:rPr>
      </w:pPr>
    </w:p>
    <w:p w:rsidR="00343E61" w:rsidRPr="00431C2A" w:rsidRDefault="00343E61" w:rsidP="00343E61">
      <w:pPr>
        <w:pStyle w:val="SingleTxt"/>
        <w:spacing w:after="0" w:line="120" w:lineRule="exact"/>
        <w:rPr>
          <w:sz w:val="10"/>
        </w:rPr>
      </w:pPr>
    </w:p>
    <w:p w:rsidR="00343E61" w:rsidRPr="00DF0070" w:rsidRDefault="00343E61" w:rsidP="00343E61">
      <w:pPr>
        <w:pStyle w:val="SingleTxt"/>
      </w:pPr>
      <w:r w:rsidRPr="00DF0070">
        <w:t>64.</w:t>
      </w:r>
      <w:r w:rsidRPr="00DF0070">
        <w:tab/>
        <w:t>Укрепление интеграции политики в области транспорта, охраны здоровья и окружающей среды на основе обмена опытом и информацией о передовой пра</w:t>
      </w:r>
      <w:r w:rsidRPr="00DF0070">
        <w:t>к</w:t>
      </w:r>
      <w:r w:rsidRPr="00DF0070">
        <w:t xml:space="preserve">тике и наращивания потенциала с особым </w:t>
      </w:r>
      <w:r>
        <w:t>упором</w:t>
      </w:r>
      <w:r w:rsidRPr="00DF0070">
        <w:t xml:space="preserve"> на Восточн</w:t>
      </w:r>
      <w:r>
        <w:t>ую</w:t>
      </w:r>
      <w:r w:rsidRPr="00DF0070">
        <w:t xml:space="preserve"> Европ</w:t>
      </w:r>
      <w:r>
        <w:t>у</w:t>
      </w:r>
      <w:r w:rsidRPr="00DF0070">
        <w:t>, Кавказ, Центральн</w:t>
      </w:r>
      <w:r>
        <w:t>ую</w:t>
      </w:r>
      <w:r w:rsidRPr="00DF0070">
        <w:t xml:space="preserve"> Ази</w:t>
      </w:r>
      <w:r>
        <w:t>ю</w:t>
      </w:r>
      <w:r w:rsidRPr="00DF0070">
        <w:t xml:space="preserve"> (ВЕКЦА) и Юго-Восточн</w:t>
      </w:r>
      <w:r>
        <w:t>ую</w:t>
      </w:r>
      <w:r w:rsidRPr="00DF0070">
        <w:t xml:space="preserve"> Европ</w:t>
      </w:r>
      <w:r>
        <w:t>у</w:t>
      </w:r>
      <w:r w:rsidRPr="00DF0070">
        <w:t xml:space="preserve"> (ЮВЕ).</w:t>
      </w:r>
    </w:p>
    <w:p w:rsidR="00343E61" w:rsidRPr="00431C2A" w:rsidRDefault="00343E61" w:rsidP="00343E61">
      <w:pPr>
        <w:pStyle w:val="SingleTxt"/>
        <w:spacing w:after="0" w:line="120" w:lineRule="exact"/>
        <w:rPr>
          <w:b/>
          <w:sz w:val="10"/>
        </w:rPr>
      </w:pPr>
    </w:p>
    <w:p w:rsidR="00343E61" w:rsidRPr="00431C2A" w:rsidRDefault="00343E61" w:rsidP="00343E61">
      <w:pPr>
        <w:pStyle w:val="SingleTxt"/>
        <w:spacing w:after="0" w:line="120" w:lineRule="exact"/>
        <w:rPr>
          <w:b/>
          <w:sz w:val="10"/>
        </w:rPr>
      </w:pPr>
    </w:p>
    <w:p w:rsidR="00343E61" w:rsidRPr="00DF0070" w:rsidRDefault="00343E61" w:rsidP="008201F7">
      <w:pPr>
        <w:pStyle w:val="H1"/>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lastRenderedPageBreak/>
        <w:tab/>
        <w:t>B.</w:t>
      </w:r>
      <w:r w:rsidRPr="00DF0070">
        <w:tab/>
        <w:t xml:space="preserve">Показатели достижения </w:t>
      </w:r>
    </w:p>
    <w:p w:rsidR="00343E61" w:rsidRPr="00431C2A" w:rsidRDefault="00343E61" w:rsidP="008201F7">
      <w:pPr>
        <w:pStyle w:val="SingleTxt"/>
        <w:keepNext/>
        <w:keepLines/>
        <w:spacing w:after="0" w:line="120" w:lineRule="exact"/>
        <w:rPr>
          <w:b/>
          <w:sz w:val="10"/>
        </w:rPr>
      </w:pPr>
    </w:p>
    <w:p w:rsidR="00343E61" w:rsidRPr="00431C2A" w:rsidRDefault="00343E61" w:rsidP="008201F7">
      <w:pPr>
        <w:pStyle w:val="SingleTxt"/>
        <w:keepNext/>
        <w:keepLines/>
        <w:spacing w:after="0" w:line="120" w:lineRule="exact"/>
        <w:rPr>
          <w:b/>
          <w:sz w:val="10"/>
        </w:rPr>
      </w:pPr>
    </w:p>
    <w:p w:rsidR="00343E61" w:rsidRPr="00DF0070" w:rsidRDefault="00343E61" w:rsidP="008201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t>1.</w:t>
      </w:r>
      <w:r w:rsidRPr="00DF0070">
        <w:tab/>
        <w:t xml:space="preserve">Более активное вовлечение государств-членов и координационных центров ОПТОСОЗ в деятельность по осуществлению предусмотренной ОПТОЗОС политики в области транспорта, окружающей среды и охраны здоровья </w:t>
      </w:r>
      <w:r>
        <w:br/>
      </w:r>
      <w:r w:rsidRPr="00DF0070">
        <w:t>(ПД 8.)</w:t>
      </w:r>
    </w:p>
    <w:p w:rsidR="00343E61" w:rsidRPr="00431C2A" w:rsidRDefault="00343E61" w:rsidP="00343E61">
      <w:pPr>
        <w:pStyle w:val="SingleTxt"/>
        <w:spacing w:after="0" w:line="120" w:lineRule="exact"/>
        <w:rPr>
          <w:i/>
          <w:sz w:val="10"/>
        </w:rPr>
      </w:pPr>
    </w:p>
    <w:p w:rsidR="00343E61" w:rsidRPr="00DF0070" w:rsidRDefault="00343E61" w:rsidP="00343E6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r>
      <w:r w:rsidRPr="00DF0070">
        <w:tab/>
        <w:t>Показатели результативности:</w:t>
      </w:r>
    </w:p>
    <w:p w:rsidR="00343E61" w:rsidRPr="00431C2A" w:rsidRDefault="00343E61" w:rsidP="00343E61">
      <w:pPr>
        <w:pStyle w:val="SingleTxt"/>
        <w:spacing w:after="0" w:line="120" w:lineRule="exact"/>
        <w:rPr>
          <w:sz w:val="10"/>
        </w:rPr>
      </w:pPr>
    </w:p>
    <w:p w:rsidR="00343E61" w:rsidRPr="00DF0070" w:rsidRDefault="00343E61" w:rsidP="00343E61">
      <w:pPr>
        <w:pStyle w:val="SingleTxt"/>
      </w:pPr>
      <w:r w:rsidRPr="00DF0070">
        <w:t>Исходные показатели за 2013 год: 40 стран и 20 межправительственных и непр</w:t>
      </w:r>
      <w:r w:rsidRPr="00DF0070">
        <w:t>а</w:t>
      </w:r>
      <w:r w:rsidRPr="00DF0070">
        <w:t>вительственных организаций; 3 рабочих совещания по наращиванию потенциала и 2 сессии Руководящего комитета</w:t>
      </w:r>
      <w:r>
        <w:t>.</w:t>
      </w:r>
    </w:p>
    <w:p w:rsidR="00343E61" w:rsidRPr="00DF0070" w:rsidRDefault="00343E61" w:rsidP="00343E61">
      <w:pPr>
        <w:pStyle w:val="SingleTxt"/>
      </w:pPr>
      <w:r w:rsidRPr="00DF0070">
        <w:t>Целевые показатели на 2014–2015 годы: 40 стран и 20 межправительственных и неправительственных организаций; 3 рабочих совещания по наращиванию п</w:t>
      </w:r>
      <w:r w:rsidRPr="00DF0070">
        <w:t>о</w:t>
      </w:r>
      <w:r w:rsidRPr="00DF0070">
        <w:t>тенциала и 2 сессии Руководящего комитета.</w:t>
      </w:r>
    </w:p>
    <w:p w:rsidR="00343E61" w:rsidRPr="00DF0070" w:rsidRDefault="00343E61" w:rsidP="00343E61">
      <w:pPr>
        <w:pStyle w:val="SingleTxt"/>
        <w:rPr>
          <w:b/>
          <w:bCs/>
        </w:rPr>
      </w:pPr>
      <w:r w:rsidRPr="00DF0070">
        <w:rPr>
          <w:b/>
          <w:bCs/>
        </w:rPr>
        <w:t>Фактические показатели за 2014–2015 годы: 46 стран и 22 межправител</w:t>
      </w:r>
      <w:r w:rsidRPr="00DF0070">
        <w:rPr>
          <w:b/>
          <w:bCs/>
        </w:rPr>
        <w:t>ь</w:t>
      </w:r>
      <w:r w:rsidRPr="00DF0070">
        <w:rPr>
          <w:b/>
          <w:bCs/>
        </w:rPr>
        <w:t>ственные и неправительственные организации; 3 рабочих совещания по наращиванию потенциала (Каунас, Иркутск и Москва) и 2 сессии Руков</w:t>
      </w:r>
      <w:r w:rsidRPr="00DF0070">
        <w:rPr>
          <w:b/>
          <w:bCs/>
        </w:rPr>
        <w:t>о</w:t>
      </w:r>
      <w:r w:rsidRPr="00DF0070">
        <w:rPr>
          <w:b/>
          <w:bCs/>
        </w:rPr>
        <w:t>дящего комитета</w:t>
      </w:r>
      <w:r w:rsidRPr="00431C2A">
        <w:t>.</w:t>
      </w:r>
    </w:p>
    <w:p w:rsidR="00343E61" w:rsidRPr="00431C2A" w:rsidRDefault="00343E61" w:rsidP="00343E61">
      <w:pPr>
        <w:pStyle w:val="SingleTxt"/>
        <w:spacing w:after="0" w:line="120" w:lineRule="exact"/>
        <w:rPr>
          <w:b/>
          <w:sz w:val="10"/>
        </w:rPr>
      </w:pPr>
    </w:p>
    <w:p w:rsidR="00343E61" w:rsidRPr="00431C2A" w:rsidRDefault="00343E61" w:rsidP="00343E61">
      <w:pPr>
        <w:pStyle w:val="SingleTxt"/>
        <w:spacing w:after="0" w:line="120" w:lineRule="exact"/>
        <w:rPr>
          <w:b/>
          <w:sz w:val="10"/>
        </w:rPr>
      </w:pPr>
    </w:p>
    <w:p w:rsidR="00343E61" w:rsidRPr="00DF0070" w:rsidRDefault="00343E61" w:rsidP="00343E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t>C.</w:t>
      </w:r>
      <w:r w:rsidRPr="00DF0070">
        <w:tab/>
        <w:t>Оценка результативности</w:t>
      </w:r>
    </w:p>
    <w:p w:rsidR="00343E61" w:rsidRPr="00431C2A" w:rsidRDefault="00343E61" w:rsidP="00343E61">
      <w:pPr>
        <w:pStyle w:val="SingleTxt"/>
        <w:spacing w:after="0" w:line="120" w:lineRule="exact"/>
        <w:rPr>
          <w:sz w:val="10"/>
        </w:rPr>
      </w:pPr>
    </w:p>
    <w:p w:rsidR="00343E61" w:rsidRPr="00431C2A" w:rsidRDefault="00343E61" w:rsidP="00343E61">
      <w:pPr>
        <w:pStyle w:val="SingleTxt"/>
        <w:spacing w:after="0" w:line="120" w:lineRule="exact"/>
        <w:rPr>
          <w:sz w:val="10"/>
        </w:rPr>
      </w:pPr>
    </w:p>
    <w:p w:rsidR="00343E61" w:rsidRPr="00DF0070" w:rsidRDefault="00343E61" w:rsidP="00343E61">
      <w:pPr>
        <w:pStyle w:val="SingleTxt"/>
      </w:pPr>
      <w:r w:rsidRPr="00DF0070">
        <w:t>65.</w:t>
      </w:r>
      <w:r w:rsidRPr="00DF0070">
        <w:tab/>
        <w:t>На четвертом Совещании высокого уровня по транспорту, окружающей ср</w:t>
      </w:r>
      <w:r w:rsidRPr="00DF0070">
        <w:t>е</w:t>
      </w:r>
      <w:r w:rsidRPr="00DF0070">
        <w:t>де и охране здоровья была принята Парижская декларация, в которой указаны приоритетные цели на 2014 год, механизмы осуществления и рабочий план на период 2014−2019 годов для Общеевропейской программы по транспорту, окр</w:t>
      </w:r>
      <w:r w:rsidRPr="00DF0070">
        <w:t>у</w:t>
      </w:r>
      <w:r w:rsidRPr="00DF0070">
        <w:t>жающей среде и охране здоровья (ОПТОСОЗ), осуществляемой под совместным руководством ЕЭК и Европейского регионального отделения ВОЗ. Руководящий комитет ОПТОСОЗ, следящий за осуществлением программы ОПТОСОЗ, провел две сессии в 2014 и 2015 годах. В 2014 году было организовано рабочее совещ</w:t>
      </w:r>
      <w:r w:rsidRPr="00DF0070">
        <w:t>а</w:t>
      </w:r>
      <w:r w:rsidRPr="00DF0070">
        <w:t xml:space="preserve">ние по </w:t>
      </w:r>
      <w:r>
        <w:t>наращиванию</w:t>
      </w:r>
      <w:r w:rsidRPr="00DF0070">
        <w:t xml:space="preserve"> потенциала в Каунасе (Литва), а в 2015 году в Иркутске и Москве (Российская Федерация) были проведены два аналогичных рабочих с</w:t>
      </w:r>
      <w:r w:rsidRPr="00DF0070">
        <w:t>о</w:t>
      </w:r>
      <w:r w:rsidRPr="00DF0070">
        <w:t xml:space="preserve">вещания с </w:t>
      </w:r>
      <w:r>
        <w:t>упором</w:t>
      </w:r>
      <w:r w:rsidRPr="00DF0070">
        <w:t xml:space="preserve"> на устойчиво</w:t>
      </w:r>
      <w:r>
        <w:t>е</w:t>
      </w:r>
      <w:r w:rsidRPr="00DF0070">
        <w:t xml:space="preserve"> и безопасно</w:t>
      </w:r>
      <w:r>
        <w:t>е</w:t>
      </w:r>
      <w:r w:rsidRPr="00DF0070">
        <w:t xml:space="preserve"> для здоровья развити</w:t>
      </w:r>
      <w:r>
        <w:t>е</w:t>
      </w:r>
      <w:r w:rsidRPr="00DF0070">
        <w:t xml:space="preserve"> городского транспорта. В 2015 году </w:t>
      </w:r>
      <w:r>
        <w:t>работа</w:t>
      </w:r>
      <w:r w:rsidRPr="00DF0070">
        <w:t xml:space="preserve"> был</w:t>
      </w:r>
      <w:r>
        <w:t>а</w:t>
      </w:r>
      <w:r w:rsidRPr="00DF0070">
        <w:t xml:space="preserve"> сосредоточены на последующей деятельн</w:t>
      </w:r>
      <w:r w:rsidRPr="00DF0070">
        <w:t>о</w:t>
      </w:r>
      <w:r w:rsidRPr="00DF0070">
        <w:t>сти по итогам четвертого Совещания высокого уровня по транспорту, окружа</w:t>
      </w:r>
      <w:r w:rsidRPr="00DF0070">
        <w:t>ю</w:t>
      </w:r>
      <w:r w:rsidRPr="00DF0070">
        <w:t>щей среде и охране здоровья (4СВУ) (Париж, 14−16 апреля 2014 года) и на пер</w:t>
      </w:r>
      <w:r w:rsidRPr="00DF0070">
        <w:t>е</w:t>
      </w:r>
      <w:r w:rsidRPr="00DF0070">
        <w:t>говорах по итоговому документу (Парижск</w:t>
      </w:r>
      <w:r>
        <w:t>ой</w:t>
      </w:r>
      <w:r w:rsidRPr="00DF0070">
        <w:t xml:space="preserve"> деклараци</w:t>
      </w:r>
      <w:r>
        <w:t>и</w:t>
      </w:r>
      <w:r w:rsidRPr="00DF0070">
        <w:t>), чему были посвящ</w:t>
      </w:r>
      <w:r w:rsidRPr="00DF0070">
        <w:t>е</w:t>
      </w:r>
      <w:r w:rsidRPr="00DF0070">
        <w:t>ны три сессии расширенного Бюро ОПТОСОЗ. Для издания в качестве публик</w:t>
      </w:r>
      <w:r w:rsidRPr="00DF0070">
        <w:t>а</w:t>
      </w:r>
      <w:r w:rsidRPr="00DF0070">
        <w:t>ции на 4СВУ в Париже на английском, русском и французском языках было по</w:t>
      </w:r>
      <w:r w:rsidRPr="00DF0070">
        <w:t>д</w:t>
      </w:r>
      <w:r w:rsidRPr="00DF0070">
        <w:t>готовлено обследование, посвященное знакам и сигналам для пешеходов и вел</w:t>
      </w:r>
      <w:r w:rsidRPr="00DF0070">
        <w:t>о</w:t>
      </w:r>
      <w:r w:rsidRPr="00DF0070">
        <w:t xml:space="preserve">сипедистов. По случаю проведения в Каунасе эстафеты ОПТОСОЗ был </w:t>
      </w:r>
      <w:r>
        <w:t>произв</w:t>
      </w:r>
      <w:r>
        <w:t>е</w:t>
      </w:r>
      <w:r>
        <w:t>ден</w:t>
      </w:r>
      <w:r w:rsidRPr="00DF0070">
        <w:t xml:space="preserve"> анализ применени</w:t>
      </w:r>
      <w:r>
        <w:t>я</w:t>
      </w:r>
      <w:r w:rsidRPr="00DF0070">
        <w:t xml:space="preserve"> инструмента </w:t>
      </w:r>
      <w:proofErr w:type="spellStart"/>
      <w:r w:rsidRPr="00DF0070">
        <w:t>ForFITS</w:t>
      </w:r>
      <w:proofErr w:type="spellEnd"/>
      <w:r w:rsidRPr="00DF0070">
        <w:t xml:space="preserve"> на уровне города (Каунас) и страны (Литва).</w:t>
      </w:r>
    </w:p>
    <w:p w:rsidR="00343E61" w:rsidRPr="00431C2A" w:rsidRDefault="00343E61" w:rsidP="00343E61">
      <w:pPr>
        <w:pStyle w:val="SingleTxt"/>
        <w:spacing w:after="0" w:line="120" w:lineRule="exact"/>
        <w:rPr>
          <w:b/>
          <w:sz w:val="10"/>
        </w:rPr>
      </w:pPr>
    </w:p>
    <w:p w:rsidR="00343E61" w:rsidRPr="00431C2A" w:rsidRDefault="00343E61" w:rsidP="00343E61">
      <w:pPr>
        <w:pStyle w:val="SingleTxt"/>
        <w:spacing w:after="0" w:line="120" w:lineRule="exact"/>
        <w:rPr>
          <w:b/>
          <w:sz w:val="10"/>
        </w:rPr>
      </w:pPr>
    </w:p>
    <w:p w:rsidR="00343E61" w:rsidRPr="00DF0070" w:rsidRDefault="00343E61" w:rsidP="00343E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t>D.</w:t>
      </w:r>
      <w:r w:rsidRPr="00DF0070">
        <w:tab/>
        <w:t>Извлеченные уроки/области, в которых необходимы улучшения</w:t>
      </w:r>
    </w:p>
    <w:p w:rsidR="00343E61" w:rsidRPr="00431C2A" w:rsidRDefault="00343E61" w:rsidP="00343E61">
      <w:pPr>
        <w:pStyle w:val="SingleTxt"/>
        <w:spacing w:after="0" w:line="120" w:lineRule="exact"/>
        <w:rPr>
          <w:sz w:val="10"/>
        </w:rPr>
      </w:pPr>
    </w:p>
    <w:p w:rsidR="00343E61" w:rsidRPr="00431C2A" w:rsidRDefault="00343E61" w:rsidP="00343E61">
      <w:pPr>
        <w:pStyle w:val="SingleTxt"/>
        <w:spacing w:after="0" w:line="120" w:lineRule="exact"/>
        <w:rPr>
          <w:sz w:val="10"/>
        </w:rPr>
      </w:pPr>
    </w:p>
    <w:p w:rsidR="00343E61" w:rsidRPr="00DF0070" w:rsidRDefault="00343E61" w:rsidP="00343E61">
      <w:pPr>
        <w:pStyle w:val="SingleTxt"/>
      </w:pPr>
      <w:r w:rsidRPr="00DF0070">
        <w:t>66.</w:t>
      </w:r>
      <w:r w:rsidRPr="00DF0070">
        <w:tab/>
        <w:t xml:space="preserve">Для проведения </w:t>
      </w:r>
      <w:proofErr w:type="spellStart"/>
      <w:r w:rsidRPr="00DF0070">
        <w:t>межсекторальных</w:t>
      </w:r>
      <w:proofErr w:type="spellEnd"/>
      <w:r w:rsidRPr="00DF0070">
        <w:t xml:space="preserve"> и </w:t>
      </w:r>
      <w:proofErr w:type="spellStart"/>
      <w:r w:rsidRPr="00DF0070">
        <w:t>межучрежденческих</w:t>
      </w:r>
      <w:proofErr w:type="spellEnd"/>
      <w:r w:rsidRPr="00DF0070">
        <w:t xml:space="preserve"> мероприятий по линии ОПТОСОЗ и для управления ими секретариату необходимы значительные ресурсы, которые позволяли бы координировать работу многочисленных заинт</w:t>
      </w:r>
      <w:r w:rsidRPr="00DF0070">
        <w:t>е</w:t>
      </w:r>
      <w:r w:rsidRPr="00DF0070">
        <w:t xml:space="preserve">ресованных сторон, в том числе в контексте сотрудничества трех вовлеченных в эти мероприятия секретариатов. Это же относится и к организации деятельности по наращиванию потенциала, предполагающей сотрудничество (как минимум) между министерствами транспорта, здравоохранения и окружающей среды </w:t>
      </w:r>
      <w:r w:rsidRPr="00DF0070">
        <w:lastRenderedPageBreak/>
        <w:t>(в</w:t>
      </w:r>
      <w:r w:rsidR="008201F7">
        <w:t> </w:t>
      </w:r>
      <w:r w:rsidRPr="00DF0070">
        <w:t>основном) стран Восточной и Центральной Европы, а также Кавказа. Нехватка внебюджетных средств не позволяет в полной мере использовать возможности Информационного центра ОПТОСОЗ, который мог бы играть ключевую роль в обеспечении функционирования ОПТОСОЗ и привлечении к ней необходимого внимания. Средства не были выделены даже на заполнение вакансии контент-администратора Информационного центра, в результате чего Центр после его п</w:t>
      </w:r>
      <w:r w:rsidRPr="00DF0070">
        <w:t>е</w:t>
      </w:r>
      <w:r w:rsidRPr="00DF0070">
        <w:t xml:space="preserve">ревода на новый сервер и проведения неотложных технических работ </w:t>
      </w:r>
      <w:r w:rsidR="008201F7">
        <w:br/>
      </w:r>
      <w:r w:rsidRPr="00DF0070">
        <w:t>ИТ-службой ЕЭК продолжал функционировать в автоматическом режиме, что, как выяснилось, не создавало оптимальных условий для регулярного поступл</w:t>
      </w:r>
      <w:r w:rsidRPr="00DF0070">
        <w:t>е</w:t>
      </w:r>
      <w:r w:rsidRPr="00DF0070">
        <w:t>ния электронной документации от клиентов Центра. В то же время наблюдается глобальный рост интереса к видам транспорта, развитие которых поддерживае</w:t>
      </w:r>
      <w:r w:rsidRPr="00DF0070">
        <w:t>т</w:t>
      </w:r>
      <w:r w:rsidRPr="00DF0070">
        <w:t>ся по линии ОПТОСОЗ (активная мобильность), что приводит к увеличению спроса на предлагаемые ОПТОЗОС продукты и услуги. Удовлетворить этот спрос без дополнительных ресурсов будет весьма трудно.</w:t>
      </w:r>
    </w:p>
    <w:p w:rsidR="00343E61" w:rsidRPr="00431C2A" w:rsidRDefault="00343E61" w:rsidP="00343E61">
      <w:pPr>
        <w:pStyle w:val="SingleTxt"/>
        <w:spacing w:after="0" w:line="120" w:lineRule="exact"/>
        <w:rPr>
          <w:b/>
          <w:sz w:val="10"/>
        </w:rPr>
      </w:pPr>
    </w:p>
    <w:p w:rsidR="00343E61" w:rsidRPr="00431C2A" w:rsidRDefault="00343E61" w:rsidP="00343E61">
      <w:pPr>
        <w:pStyle w:val="SingleTxt"/>
        <w:spacing w:after="0" w:line="120" w:lineRule="exact"/>
        <w:rPr>
          <w:b/>
          <w:sz w:val="10"/>
        </w:rPr>
      </w:pPr>
    </w:p>
    <w:p w:rsidR="00343E61" w:rsidRPr="00DF0070" w:rsidRDefault="00343E61" w:rsidP="00343E6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r>
      <w:r w:rsidRPr="00DF0070">
        <w:tab/>
        <w:t>Направление деятельности 9.a</w:t>
      </w:r>
      <w:r w:rsidRPr="00DF0070">
        <w:br/>
        <w:t>Перевозка опасных грузов (ЕЭК ООН)</w:t>
      </w:r>
    </w:p>
    <w:p w:rsidR="00343E61" w:rsidRPr="00431C2A" w:rsidRDefault="00343E61" w:rsidP="00343E61">
      <w:pPr>
        <w:pStyle w:val="SingleTxt"/>
        <w:spacing w:after="0" w:line="120" w:lineRule="exact"/>
        <w:rPr>
          <w:b/>
          <w:sz w:val="10"/>
        </w:rPr>
      </w:pPr>
    </w:p>
    <w:p w:rsidR="00343E61" w:rsidRPr="00431C2A" w:rsidRDefault="00343E61" w:rsidP="00343E61">
      <w:pPr>
        <w:pStyle w:val="SingleTxt"/>
        <w:spacing w:after="0" w:line="120" w:lineRule="exact"/>
        <w:rPr>
          <w:b/>
          <w:sz w:val="10"/>
        </w:rPr>
      </w:pPr>
    </w:p>
    <w:p w:rsidR="00343E61" w:rsidRPr="00DF0070" w:rsidRDefault="00343E61" w:rsidP="00343E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t>A.</w:t>
      </w:r>
      <w:r w:rsidRPr="00DF0070">
        <w:tab/>
        <w:t>Ожидаемое достижение (ОД 9.а)</w:t>
      </w:r>
    </w:p>
    <w:p w:rsidR="00343E61" w:rsidRPr="00431C2A" w:rsidRDefault="00343E61" w:rsidP="00343E61">
      <w:pPr>
        <w:pStyle w:val="SingleTxt"/>
        <w:spacing w:after="0" w:line="120" w:lineRule="exact"/>
        <w:rPr>
          <w:bCs/>
          <w:sz w:val="10"/>
        </w:rPr>
      </w:pPr>
    </w:p>
    <w:p w:rsidR="00343E61" w:rsidRPr="00431C2A" w:rsidRDefault="00343E61" w:rsidP="00343E61">
      <w:pPr>
        <w:pStyle w:val="SingleTxt"/>
        <w:spacing w:after="0" w:line="120" w:lineRule="exact"/>
        <w:rPr>
          <w:bCs/>
          <w:sz w:val="10"/>
        </w:rPr>
      </w:pPr>
    </w:p>
    <w:p w:rsidR="00343E61" w:rsidRPr="00DF0070" w:rsidRDefault="00343E61" w:rsidP="00343E61">
      <w:pPr>
        <w:pStyle w:val="SingleTxt"/>
        <w:rPr>
          <w:bCs/>
        </w:rPr>
      </w:pPr>
      <w:r w:rsidRPr="00DF0070">
        <w:rPr>
          <w:bCs/>
        </w:rPr>
        <w:t>67.</w:t>
      </w:r>
      <w:r w:rsidRPr="00DF0070">
        <w:rPr>
          <w:bCs/>
        </w:rPr>
        <w:tab/>
        <w:t>Принятие поправок к ДОПОГ</w:t>
      </w:r>
      <w:r w:rsidRPr="00431C2A">
        <w:rPr>
          <w:bCs/>
          <w:vertAlign w:val="superscript"/>
        </w:rPr>
        <w:footnoteReference w:id="1"/>
      </w:r>
      <w:r w:rsidRPr="00DF0070">
        <w:rPr>
          <w:bCs/>
        </w:rPr>
        <w:t xml:space="preserve"> и − на основе деятельности, проводимой совместно с Межправительственной организацией по международным железн</w:t>
      </w:r>
      <w:r w:rsidRPr="00DF0070">
        <w:rPr>
          <w:bCs/>
        </w:rPr>
        <w:t>о</w:t>
      </w:r>
      <w:r w:rsidRPr="00DF0070">
        <w:rPr>
          <w:bCs/>
        </w:rPr>
        <w:t>дорожным перевозкам (ОТИФ) и Центральной комиссией судоходства по Рейну (ЦКСР), − поправок к МПОГ</w:t>
      </w:r>
      <w:r w:rsidRPr="00431C2A">
        <w:rPr>
          <w:bCs/>
          <w:vertAlign w:val="superscript"/>
        </w:rPr>
        <w:footnoteReference w:id="2"/>
      </w:r>
      <w:r w:rsidRPr="00DF0070">
        <w:rPr>
          <w:bCs/>
        </w:rPr>
        <w:t xml:space="preserve"> и ВОПОГ</w:t>
      </w:r>
      <w:r w:rsidRPr="00431C2A">
        <w:rPr>
          <w:bCs/>
          <w:vertAlign w:val="superscript"/>
        </w:rPr>
        <w:footnoteReference w:id="3"/>
      </w:r>
      <w:r w:rsidRPr="00DF0070">
        <w:rPr>
          <w:bCs/>
        </w:rPr>
        <w:t>, направленных на поддержание необх</w:t>
      </w:r>
      <w:r w:rsidRPr="00DF0070">
        <w:rPr>
          <w:bCs/>
        </w:rPr>
        <w:t>о</w:t>
      </w:r>
      <w:r w:rsidRPr="00DF0070">
        <w:rPr>
          <w:bCs/>
        </w:rPr>
        <w:t>димого уровня безопасности, защиты и охраны окружающей среды в рамках единообразной, согласованной и последовательной системы правил перевозки опасных грузов, основанной на Рекомендациях Организации Объединенных Наций по перевозке опасных грузов, и их эффективное применение в рамках международного и национального законодательства.</w:t>
      </w:r>
    </w:p>
    <w:p w:rsidR="00343E61" w:rsidRPr="00431C2A" w:rsidRDefault="00343E61" w:rsidP="00343E61">
      <w:pPr>
        <w:pStyle w:val="SingleTxt"/>
        <w:spacing w:after="0" w:line="120" w:lineRule="exact"/>
        <w:rPr>
          <w:b/>
          <w:sz w:val="10"/>
        </w:rPr>
      </w:pPr>
    </w:p>
    <w:p w:rsidR="00343E61" w:rsidRPr="00431C2A" w:rsidRDefault="00343E61" w:rsidP="00343E61">
      <w:pPr>
        <w:pStyle w:val="SingleTxt"/>
        <w:spacing w:after="0" w:line="120" w:lineRule="exact"/>
        <w:rPr>
          <w:b/>
          <w:sz w:val="10"/>
        </w:rPr>
      </w:pPr>
    </w:p>
    <w:p w:rsidR="00343E61" w:rsidRPr="00DF0070" w:rsidRDefault="00343E61" w:rsidP="00343E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t>B.</w:t>
      </w:r>
      <w:r w:rsidRPr="00DF0070">
        <w:tab/>
        <w:t>Показатели достижения</w:t>
      </w:r>
    </w:p>
    <w:p w:rsidR="00343E61" w:rsidRPr="00431C2A" w:rsidRDefault="00343E61" w:rsidP="00343E61">
      <w:pPr>
        <w:pStyle w:val="SingleTxt"/>
        <w:spacing w:after="0" w:line="120" w:lineRule="exact"/>
        <w:rPr>
          <w:b/>
          <w:sz w:val="10"/>
        </w:rPr>
      </w:pPr>
    </w:p>
    <w:p w:rsidR="00343E61" w:rsidRPr="00431C2A" w:rsidRDefault="00343E61" w:rsidP="00343E61">
      <w:pPr>
        <w:pStyle w:val="SingleTxt"/>
        <w:spacing w:after="0" w:line="120" w:lineRule="exact"/>
        <w:rPr>
          <w:b/>
          <w:sz w:val="10"/>
        </w:rPr>
      </w:pPr>
    </w:p>
    <w:p w:rsidR="00343E61" w:rsidRPr="00DF0070" w:rsidRDefault="00343E61" w:rsidP="00343E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t>1.</w:t>
      </w:r>
      <w:r w:rsidRPr="00DF0070">
        <w:tab/>
        <w:t xml:space="preserve">Принятие поправок в 2013 и 2014 годах к ДОПОГ, МПОГ и ВОПОГ, которые отражают, в частности, Рекомендации Организации Объединенных Наций </w:t>
      </w:r>
      <w:r>
        <w:br/>
      </w:r>
      <w:r w:rsidRPr="00DF0070">
        <w:t xml:space="preserve">по перевозке опасных грузов − Типовые правила 2013 года (восемнадцатое пересмотренное издание), их вступление в силу с 1 января 2015 года </w:t>
      </w:r>
      <w:r>
        <w:br/>
      </w:r>
      <w:r w:rsidRPr="00DF0070">
        <w:t>для международных перевозок и введение в действие для внутренних перевозок во всех странах − членах ЕС и в Европейском экономическом пространстве (ЕЭП) с 1 июля 2015 года (ПД 9.a. а))</w:t>
      </w:r>
    </w:p>
    <w:p w:rsidR="00343E61" w:rsidRPr="00431C2A" w:rsidRDefault="00343E61" w:rsidP="00343E61">
      <w:pPr>
        <w:pStyle w:val="SingleTxt"/>
        <w:spacing w:after="0" w:line="120" w:lineRule="exact"/>
        <w:rPr>
          <w:i/>
          <w:sz w:val="10"/>
        </w:rPr>
      </w:pPr>
    </w:p>
    <w:p w:rsidR="00343E61" w:rsidRPr="00DF0070" w:rsidRDefault="00343E61" w:rsidP="00343E6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0070">
        <w:tab/>
      </w:r>
      <w:r w:rsidRPr="00DF0070">
        <w:tab/>
        <w:t>Показатели результативности:</w:t>
      </w:r>
    </w:p>
    <w:p w:rsidR="00343E61" w:rsidRPr="00431C2A" w:rsidRDefault="00343E61" w:rsidP="00343E61">
      <w:pPr>
        <w:pStyle w:val="SingleTxt"/>
        <w:spacing w:after="0" w:line="120" w:lineRule="exact"/>
        <w:rPr>
          <w:sz w:val="10"/>
        </w:rPr>
      </w:pPr>
    </w:p>
    <w:p w:rsidR="00343E61" w:rsidRPr="00DF0070" w:rsidRDefault="00343E61" w:rsidP="00343E61">
      <w:pPr>
        <w:pStyle w:val="SingleTxt"/>
      </w:pPr>
      <w:r w:rsidRPr="00DF0070">
        <w:t>Исходные показатели за 2013 год: 1 набор поправок к ДОПОГ, МПОГ и ВОПОГ</w:t>
      </w:r>
      <w:r>
        <w:t>.</w:t>
      </w:r>
    </w:p>
    <w:p w:rsidR="00343E61" w:rsidRPr="00DF0070" w:rsidRDefault="00343E61" w:rsidP="00343E61">
      <w:pPr>
        <w:pStyle w:val="SingleTxt"/>
      </w:pPr>
      <w:r w:rsidRPr="00DF0070">
        <w:t>Целевые показатели на 2014–2015 годы: 1 набор поправок к каждому правовому документу</w:t>
      </w:r>
      <w:r>
        <w:t>.</w:t>
      </w:r>
    </w:p>
    <w:p w:rsidR="00343E61" w:rsidRPr="00DF0070" w:rsidRDefault="00343E61" w:rsidP="00343E61">
      <w:pPr>
        <w:pStyle w:val="SingleTxt"/>
        <w:rPr>
          <w:b/>
          <w:bCs/>
        </w:rPr>
      </w:pPr>
      <w:r w:rsidRPr="00DF0070">
        <w:rPr>
          <w:b/>
          <w:bCs/>
        </w:rPr>
        <w:t>Фактические показатели 2014–2015 годы: 1 набор поправок к каждому пр</w:t>
      </w:r>
      <w:r w:rsidRPr="00DF0070">
        <w:rPr>
          <w:b/>
          <w:bCs/>
        </w:rPr>
        <w:t>а</w:t>
      </w:r>
      <w:r w:rsidRPr="00DF0070">
        <w:rPr>
          <w:b/>
          <w:bCs/>
        </w:rPr>
        <w:t>вовому документу (уведомления депозитария ООН C.N.448.2014.TREATIES.</w:t>
      </w:r>
      <w:r w:rsidR="008A2330">
        <w:rPr>
          <w:b/>
          <w:bCs/>
        </w:rPr>
        <w:t xml:space="preserve"> </w:t>
      </w:r>
      <w:r w:rsidRPr="00DF0070">
        <w:rPr>
          <w:b/>
          <w:bCs/>
        </w:rPr>
        <w:t>XI.B.14 и CN.664.2014.TREATIES.XI.B.14; CN.425.2014.TREATIES-XI.D.6 и</w:t>
      </w:r>
      <w:r w:rsidR="008A2330">
        <w:rPr>
          <w:b/>
          <w:bCs/>
        </w:rPr>
        <w:t xml:space="preserve"> </w:t>
      </w:r>
      <w:r w:rsidRPr="00DF0070">
        <w:rPr>
          <w:b/>
          <w:bCs/>
        </w:rPr>
        <w:lastRenderedPageBreak/>
        <w:t>C.N.657.2014.TREATIES-XI.D.6; уведомления ОТИФ A81-03/504.2014 и A.81-03/508.2014</w:t>
      </w:r>
      <w:r w:rsidRPr="00431C2A">
        <w:t>.</w:t>
      </w:r>
    </w:p>
    <w:p w:rsidR="00343E61" w:rsidRPr="00DF0070" w:rsidRDefault="00343E61" w:rsidP="00343E61">
      <w:pPr>
        <w:pStyle w:val="SingleTxt"/>
        <w:rPr>
          <w:b/>
          <w:bCs/>
        </w:rPr>
      </w:pPr>
      <w:r w:rsidRPr="00DF0070">
        <w:rPr>
          <w:b/>
          <w:bCs/>
        </w:rPr>
        <w:t>1 дополнительный набор поправок к ДОПОГ (уведомление депозитария ООН C.N.354.2015.TREATIES-XI.B.14)</w:t>
      </w:r>
      <w:r w:rsidRPr="00E00434">
        <w:t>.</w:t>
      </w:r>
    </w:p>
    <w:p w:rsidR="00343E61" w:rsidRDefault="00343E61" w:rsidP="00343E61">
      <w:pPr>
        <w:pStyle w:val="SingleTxt"/>
      </w:pPr>
      <w:r w:rsidRPr="00DF0070">
        <w:rPr>
          <w:b/>
          <w:bCs/>
        </w:rPr>
        <w:t>1 дополнительный набор поправок к ВОПОГ (уведомление депозитария ООН C.N.529.2014.TREATIES-XI.D.6)</w:t>
      </w:r>
      <w:r w:rsidRPr="00E00434">
        <w:t>.</w:t>
      </w:r>
    </w:p>
    <w:p w:rsidR="008A2330" w:rsidRPr="008A2330" w:rsidRDefault="008A2330" w:rsidP="008A2330">
      <w:pPr>
        <w:pStyle w:val="SingleTxt"/>
        <w:spacing w:after="0" w:line="120" w:lineRule="exact"/>
        <w:rPr>
          <w:sz w:val="10"/>
        </w:rPr>
      </w:pPr>
    </w:p>
    <w:p w:rsidR="00343E61" w:rsidRPr="00903A82" w:rsidRDefault="008A2330" w:rsidP="008A23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43E61" w:rsidRPr="00903A82">
        <w:t>2.</w:t>
      </w:r>
      <w:r w:rsidR="00343E61" w:rsidRPr="00903A82">
        <w:tab/>
        <w:t xml:space="preserve">Опубликование до конца 2014 года сводных пересмотренных изданий ДОПОГ и ВОПОГ 2015 года (ПД 9.a. b)) </w:t>
      </w:r>
    </w:p>
    <w:p w:rsidR="00343E61" w:rsidRPr="00903A82" w:rsidRDefault="00343E61" w:rsidP="008A2330">
      <w:pPr>
        <w:pStyle w:val="SingleTxt"/>
        <w:spacing w:after="0" w:line="120" w:lineRule="exact"/>
        <w:ind w:left="360"/>
        <w:rPr>
          <w:i/>
          <w:sz w:val="10"/>
        </w:rPr>
      </w:pPr>
      <w:r w:rsidRPr="00903A82">
        <w:rPr>
          <w:i/>
        </w:rPr>
        <w:tab/>
      </w:r>
    </w:p>
    <w:p w:rsidR="00343E61" w:rsidRPr="00903A82" w:rsidRDefault="00343E61" w:rsidP="00343E6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58C6">
        <w:tab/>
      </w:r>
      <w:r w:rsidRPr="00EF58C6">
        <w:tab/>
      </w:r>
      <w:r w:rsidRPr="00903A82">
        <w:t>Показатели результативности:</w:t>
      </w:r>
    </w:p>
    <w:p w:rsidR="00343E61" w:rsidRPr="00903A82" w:rsidRDefault="00343E61" w:rsidP="00343E61">
      <w:pPr>
        <w:pStyle w:val="SingleTxt"/>
        <w:spacing w:after="0" w:line="120" w:lineRule="exact"/>
        <w:rPr>
          <w:sz w:val="10"/>
        </w:rPr>
      </w:pPr>
    </w:p>
    <w:p w:rsidR="00343E61" w:rsidRPr="00903A82" w:rsidRDefault="00343E61" w:rsidP="00343E61">
      <w:pPr>
        <w:pStyle w:val="SingleTxt"/>
      </w:pPr>
      <w:r w:rsidRPr="00903A82">
        <w:t>Исходные показатели за 2013 год: одно издание ДОПОГ, одно издание ВОПОГ</w:t>
      </w:r>
      <w:r>
        <w:t>.</w:t>
      </w:r>
    </w:p>
    <w:p w:rsidR="00343E61" w:rsidRPr="00903A82" w:rsidRDefault="00343E61" w:rsidP="00343E61">
      <w:pPr>
        <w:pStyle w:val="SingleTxt"/>
      </w:pPr>
      <w:r w:rsidRPr="00903A82">
        <w:t>Целевые показатели на 2014–2015 годы: одно издание ДОПОГ, одно издание ВОПОГ</w:t>
      </w:r>
      <w:r>
        <w:t>.</w:t>
      </w:r>
    </w:p>
    <w:p w:rsidR="00343E61" w:rsidRPr="00903A82" w:rsidRDefault="00343E61" w:rsidP="00343E61">
      <w:pPr>
        <w:pStyle w:val="SingleTxt"/>
        <w:rPr>
          <w:b/>
          <w:bCs/>
        </w:rPr>
      </w:pPr>
      <w:r w:rsidRPr="00903A82">
        <w:rPr>
          <w:b/>
          <w:bCs/>
        </w:rPr>
        <w:t xml:space="preserve">Фактические показатели за 2014–2015 годы: одно издание ДОПОГ (ECE/TRANS/242, тома I и II, в продаже под номером E.14.VIII.1), одно </w:t>
      </w:r>
      <w:r>
        <w:rPr>
          <w:b/>
          <w:bCs/>
        </w:rPr>
        <w:br/>
      </w:r>
      <w:r w:rsidRPr="00903A82">
        <w:rPr>
          <w:b/>
          <w:bCs/>
        </w:rPr>
        <w:t>издание ВОПОГ (ECE/TRANS/243, тома I и II, в продаже под номе</w:t>
      </w:r>
      <w:r>
        <w:rPr>
          <w:b/>
          <w:bCs/>
        </w:rPr>
        <w:t>-</w:t>
      </w:r>
      <w:r>
        <w:rPr>
          <w:b/>
          <w:bCs/>
        </w:rPr>
        <w:br/>
      </w:r>
      <w:r w:rsidRPr="00903A82">
        <w:rPr>
          <w:b/>
          <w:bCs/>
        </w:rPr>
        <w:t>ром E.14.VIII.3)</w:t>
      </w:r>
      <w:r>
        <w:rPr>
          <w:b/>
          <w:bCs/>
        </w:rPr>
        <w:t>.</w:t>
      </w:r>
    </w:p>
    <w:p w:rsidR="00343E61" w:rsidRPr="00903A82" w:rsidRDefault="00343E61" w:rsidP="00343E61">
      <w:pPr>
        <w:pStyle w:val="SingleTxt"/>
        <w:spacing w:after="0" w:line="120" w:lineRule="exact"/>
        <w:rPr>
          <w:sz w:val="10"/>
        </w:rPr>
      </w:pPr>
    </w:p>
    <w:p w:rsidR="00343E61" w:rsidRPr="00903A82" w:rsidRDefault="00343E61" w:rsidP="00343E61">
      <w:pPr>
        <w:pStyle w:val="SingleTxt"/>
        <w:spacing w:after="0" w:line="120" w:lineRule="exact"/>
        <w:rPr>
          <w:sz w:val="10"/>
        </w:rPr>
      </w:pPr>
    </w:p>
    <w:p w:rsidR="00343E61" w:rsidRPr="00903A82" w:rsidRDefault="00343E61" w:rsidP="00343E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03A82">
        <w:tab/>
        <w:t>C.</w:t>
      </w:r>
      <w:r w:rsidRPr="00903A82">
        <w:tab/>
        <w:t>Оценка результативности</w:t>
      </w:r>
    </w:p>
    <w:p w:rsidR="00343E61" w:rsidRPr="00903A82" w:rsidRDefault="00343E61" w:rsidP="00343E61">
      <w:pPr>
        <w:pStyle w:val="SingleTxt"/>
        <w:spacing w:after="0" w:line="120" w:lineRule="exact"/>
        <w:rPr>
          <w:sz w:val="10"/>
        </w:rPr>
      </w:pPr>
    </w:p>
    <w:p w:rsidR="00343E61" w:rsidRPr="00903A82" w:rsidRDefault="00343E61" w:rsidP="00343E61">
      <w:pPr>
        <w:pStyle w:val="SingleTxt"/>
        <w:spacing w:after="0" w:line="120" w:lineRule="exact"/>
        <w:rPr>
          <w:sz w:val="10"/>
        </w:rPr>
      </w:pPr>
    </w:p>
    <w:p w:rsidR="00343E61" w:rsidRPr="00903A82" w:rsidRDefault="00343E61" w:rsidP="00343E61">
      <w:pPr>
        <w:pStyle w:val="SingleTxt"/>
      </w:pPr>
      <w:r w:rsidRPr="00903A82">
        <w:t>68.</w:t>
      </w:r>
      <w:r w:rsidRPr="00903A82">
        <w:tab/>
        <w:t xml:space="preserve">Сознавая необходимость </w:t>
      </w:r>
      <w:r>
        <w:t>облегчения</w:t>
      </w:r>
      <w:r w:rsidRPr="00903A82">
        <w:t xml:space="preserve"> международных грузовых перевозок, а также повышения безопасности и защищенности транспорта, Договаривающиеся стороны продолжили работу по обновлению ДОПОГ, МПОГ и ВОПОГ с учетом новых технических достижений, требований и </w:t>
      </w:r>
      <w:r>
        <w:t>потребностей</w:t>
      </w:r>
      <w:r w:rsidRPr="00903A82">
        <w:t xml:space="preserve"> транспортного се</w:t>
      </w:r>
      <w:r w:rsidRPr="00903A82">
        <w:t>к</w:t>
      </w:r>
      <w:r w:rsidRPr="00903A82">
        <w:t>тора. В целях согласования условий перевозок различными видами транспорта Договаривающиеся стороны приняли поправки для транспонирования Типовых правил Организации Объединенных Наций (восемнадцатое пересмотренное и</w:t>
      </w:r>
      <w:r w:rsidRPr="00903A82">
        <w:t>з</w:t>
      </w:r>
      <w:r w:rsidRPr="00903A82">
        <w:t xml:space="preserve">дание) </w:t>
      </w:r>
      <w:r>
        <w:t xml:space="preserve">от 2013 года </w:t>
      </w:r>
      <w:r w:rsidRPr="00903A82">
        <w:t>без возобновления технических дискуссий (например, в о</w:t>
      </w:r>
      <w:r w:rsidRPr="00903A82">
        <w:t>т</w:t>
      </w:r>
      <w:r w:rsidRPr="00903A82">
        <w:t>ношении классификации твердых окисляющих веществ, перевозки адсорбир</w:t>
      </w:r>
      <w:r w:rsidRPr="00903A82">
        <w:t>о</w:t>
      </w:r>
      <w:r w:rsidRPr="00903A82">
        <w:t>ванных газов, литиевых батарей и асимметричных конденсаторов). Они сосред</w:t>
      </w:r>
      <w:r w:rsidRPr="00903A82">
        <w:t>о</w:t>
      </w:r>
      <w:r w:rsidRPr="00903A82">
        <w:t xml:space="preserve">точили свои усилия на проблемах </w:t>
      </w:r>
      <w:r>
        <w:t>конкретных</w:t>
      </w:r>
      <w:r w:rsidRPr="00903A82">
        <w:t xml:space="preserve"> видов транспорта.</w:t>
      </w:r>
    </w:p>
    <w:p w:rsidR="00343E61" w:rsidRPr="00903A82" w:rsidRDefault="00343E61" w:rsidP="00343E61">
      <w:pPr>
        <w:pStyle w:val="SingleTxt"/>
      </w:pPr>
      <w:r w:rsidRPr="00903A82">
        <w:t>69.</w:t>
      </w:r>
      <w:r w:rsidRPr="00903A82">
        <w:tab/>
        <w:t>В области автомобильного транспорта Рабочая группа по перевозкам опа</w:t>
      </w:r>
      <w:r w:rsidRPr="00903A82">
        <w:t>с</w:t>
      </w:r>
      <w:r w:rsidRPr="00903A82">
        <w:t>ных грузов приняла новые и пересмотренные требования в отношении использ</w:t>
      </w:r>
      <w:r w:rsidRPr="00903A82">
        <w:t>о</w:t>
      </w:r>
      <w:r w:rsidRPr="00903A82">
        <w:t>вания устройств для добавления присадок на цистернах и содержания письме</w:t>
      </w:r>
      <w:r w:rsidRPr="00903A82">
        <w:t>н</w:t>
      </w:r>
      <w:r w:rsidRPr="00903A82">
        <w:t>ных инструкций, которые должны находиться внутри транспортных средств. П</w:t>
      </w:r>
      <w:r w:rsidRPr="00903A82">
        <w:t>о</w:t>
      </w:r>
      <w:r w:rsidRPr="00903A82">
        <w:t>правки к ДОПОГ и МПОГ вступили в силу 1 января 2015 года.</w:t>
      </w:r>
    </w:p>
    <w:p w:rsidR="00343E61" w:rsidRPr="00903A82" w:rsidRDefault="00343E61" w:rsidP="00343E61">
      <w:pPr>
        <w:pStyle w:val="SingleTxt"/>
      </w:pPr>
      <w:r w:rsidRPr="00903A82">
        <w:t>70.</w:t>
      </w:r>
      <w:r w:rsidRPr="00903A82">
        <w:tab/>
        <w:t>Соответствующие поправки к ВОПОГ были разработаны Комитетом ВОПОГ по безопасности и приняты Административным комитетом ВОПОГ вм</w:t>
      </w:r>
      <w:r w:rsidRPr="00903A82">
        <w:t>е</w:t>
      </w:r>
      <w:r w:rsidRPr="00903A82">
        <w:t>сте с дополнительными поправками, непосредственно касающимися судоходства по внутренним водным путям; они вступили в силу одновременно 1 января 2015</w:t>
      </w:r>
      <w:r>
        <w:t> </w:t>
      </w:r>
      <w:r w:rsidRPr="00903A82">
        <w:t>года.</w:t>
      </w:r>
    </w:p>
    <w:p w:rsidR="00343E61" w:rsidRPr="00903A82" w:rsidRDefault="00343E61" w:rsidP="00343E61">
      <w:pPr>
        <w:pStyle w:val="SingleTxt"/>
      </w:pPr>
      <w:r w:rsidRPr="00903A82">
        <w:t>71.</w:t>
      </w:r>
      <w:r w:rsidRPr="00903A82">
        <w:tab/>
        <w:t xml:space="preserve"> В директиву 2008/68/EC, обязывающую государства − члены ЕС и ЕЭП применять приложения ДОПОГ, МПОГ и ВОПОГ к внутренним перевозкам, б</w:t>
      </w:r>
      <w:r w:rsidRPr="00903A82">
        <w:t>ы</w:t>
      </w:r>
      <w:r w:rsidRPr="00903A82">
        <w:t xml:space="preserve">ли внесены соответствующие поправки во исполнение директивы 2014/103/EU </w:t>
      </w:r>
      <w:r>
        <w:t xml:space="preserve">Комиссии </w:t>
      </w:r>
      <w:r w:rsidRPr="00903A82">
        <w:t>от 21 ноября 2014 года, согласно которой эти положения с поправками должны быть введены в действие не позднее 30 июня 2015 года.</w:t>
      </w:r>
    </w:p>
    <w:p w:rsidR="00343E61" w:rsidRPr="00903A82" w:rsidRDefault="00343E61" w:rsidP="00343E61">
      <w:pPr>
        <w:pStyle w:val="SingleTxt"/>
      </w:pPr>
      <w:r w:rsidRPr="00903A82">
        <w:t>72.</w:t>
      </w:r>
      <w:r w:rsidRPr="00903A82">
        <w:tab/>
        <w:t>Секретариатом был подготовлен сводный текст ДОПОГ и ВОПОГ на а</w:t>
      </w:r>
      <w:r w:rsidRPr="00903A82">
        <w:t>н</w:t>
      </w:r>
      <w:r w:rsidRPr="00903A82">
        <w:t xml:space="preserve">глийском и французском языках, опубликованный в июне 2014 года в случае ДОПОГ (ECE/TRANS/242, тома I и II) и в ноябре 2014 года в случае ВОПОГ </w:t>
      </w:r>
      <w:r w:rsidRPr="00903A82">
        <w:lastRenderedPageBreak/>
        <w:t>(ECE/TRANS/243). Тексты ДОПОГ и ВОПОГ на русском языке были опублик</w:t>
      </w:r>
      <w:r w:rsidRPr="00903A82">
        <w:t>о</w:t>
      </w:r>
      <w:r w:rsidRPr="00903A82">
        <w:t>ваны соответственно в декабре 2014 года и марте 2015 года.</w:t>
      </w:r>
    </w:p>
    <w:p w:rsidR="00343E61" w:rsidRPr="00903A82" w:rsidRDefault="00343E61" w:rsidP="00343E61">
      <w:pPr>
        <w:pStyle w:val="SingleTxt"/>
        <w:spacing w:after="0" w:line="120" w:lineRule="exact"/>
        <w:rPr>
          <w:sz w:val="10"/>
        </w:rPr>
      </w:pPr>
    </w:p>
    <w:p w:rsidR="00343E61" w:rsidRPr="00903A82" w:rsidRDefault="00343E61" w:rsidP="00343E61">
      <w:pPr>
        <w:pStyle w:val="SingleTxt"/>
        <w:spacing w:after="0" w:line="120" w:lineRule="exact"/>
        <w:rPr>
          <w:sz w:val="10"/>
        </w:rPr>
      </w:pPr>
    </w:p>
    <w:p w:rsidR="00343E61" w:rsidRPr="00903A82" w:rsidRDefault="00343E61" w:rsidP="00343E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03A82">
        <w:tab/>
        <w:t>D.</w:t>
      </w:r>
      <w:r w:rsidRPr="00903A82">
        <w:tab/>
        <w:t>Извлеченные уроки/области, в которых необходимы улучшения</w:t>
      </w:r>
    </w:p>
    <w:p w:rsidR="00343E61" w:rsidRPr="00903A82" w:rsidRDefault="00343E61" w:rsidP="00343E61">
      <w:pPr>
        <w:pStyle w:val="SingleTxt"/>
        <w:spacing w:after="0" w:line="120" w:lineRule="exact"/>
        <w:rPr>
          <w:sz w:val="10"/>
        </w:rPr>
      </w:pPr>
    </w:p>
    <w:p w:rsidR="00343E61" w:rsidRPr="00903A82" w:rsidRDefault="00343E61" w:rsidP="00343E61">
      <w:pPr>
        <w:pStyle w:val="SingleTxt"/>
        <w:spacing w:after="0" w:line="120" w:lineRule="exact"/>
        <w:rPr>
          <w:sz w:val="10"/>
        </w:rPr>
      </w:pPr>
    </w:p>
    <w:p w:rsidR="00343E61" w:rsidRPr="00903A82" w:rsidRDefault="00343E61" w:rsidP="00343E61">
      <w:pPr>
        <w:pStyle w:val="SingleTxt"/>
      </w:pPr>
      <w:r w:rsidRPr="00903A82">
        <w:t>73.</w:t>
      </w:r>
      <w:r w:rsidRPr="00903A82">
        <w:tab/>
        <w:t>Созданные в регионе ЕЭК механизмы регулирования внутренних перевозок опасных грузов продолжают успешно функционировать. Сотрудничество ЕЭК с ОТИФ и ЦКСР и их курс на включение положений, рекомендуемых Организац</w:t>
      </w:r>
      <w:r w:rsidRPr="00903A82">
        <w:t>и</w:t>
      </w:r>
      <w:r w:rsidRPr="00903A82">
        <w:t>ей Объединенных Наций, в три основных правовых документа (МПОГ/</w:t>
      </w:r>
      <w:r>
        <w:br/>
      </w:r>
      <w:r w:rsidRPr="00903A82">
        <w:t>ДОПОГ/ВОПОГ), регулирующих международные перевозки опасных грузов ж</w:t>
      </w:r>
      <w:r w:rsidRPr="00903A82">
        <w:t>е</w:t>
      </w:r>
      <w:r w:rsidRPr="00903A82">
        <w:t>лезнодорожным, автомобильным и внутренним водным транспортом в регионе, позволили привести эти документы в полное соответствие друг с другом и с ан</w:t>
      </w:r>
      <w:r w:rsidRPr="00903A82">
        <w:t>а</w:t>
      </w:r>
      <w:r w:rsidRPr="00903A82">
        <w:t xml:space="preserve">логичными документами, регламентирующими морские и воздушные перевозки. Такое согласование крайне важно для облегчения международной торговли и </w:t>
      </w:r>
      <w:proofErr w:type="spellStart"/>
      <w:r w:rsidRPr="00903A82">
        <w:t>и</w:t>
      </w:r>
      <w:r w:rsidRPr="00903A82">
        <w:t>н</w:t>
      </w:r>
      <w:r w:rsidRPr="00903A82">
        <w:t>термодальных</w:t>
      </w:r>
      <w:proofErr w:type="spellEnd"/>
      <w:r w:rsidRPr="00903A82">
        <w:t xml:space="preserve"> перевозок. Стремление ЕС применять положения ДОПОГ, МПОГ и ВОПОГ к внутреннему транспорту в значительной мере способствует подо</w:t>
      </w:r>
      <w:r w:rsidRPr="00903A82">
        <w:t>б</w:t>
      </w:r>
      <w:r w:rsidRPr="00903A82">
        <w:t xml:space="preserve">ному согласованию на глобальном уровне. Применение ДОПОГ, МПОГ и ВОПОГ на уровне стран также свидетельствует о том, что </w:t>
      </w:r>
      <w:proofErr w:type="spellStart"/>
      <w:r w:rsidRPr="00903A82">
        <w:t>государст</w:t>
      </w:r>
      <w:proofErr w:type="spellEnd"/>
      <w:r>
        <w:t>-</w:t>
      </w:r>
      <w:r>
        <w:br/>
      </w:r>
      <w:proofErr w:type="spellStart"/>
      <w:r w:rsidRPr="00903A82">
        <w:t>ва</w:t>
      </w:r>
      <w:proofErr w:type="spellEnd"/>
      <w:r w:rsidRPr="00903A82">
        <w:t xml:space="preserve"> − члены ЕС придают все большее значение соответствию положений ДОПОГ, МПОГ и ВОПОГ, отражающих специфику отдельных видов транспорта, евр</w:t>
      </w:r>
      <w:r w:rsidRPr="00903A82">
        <w:t>о</w:t>
      </w:r>
      <w:r w:rsidRPr="00903A82">
        <w:t xml:space="preserve">пейским стандартам, разработанным Европейским комитетом по стандартизации (ЕКС), многие из которых на сегодняшний день приобрели обязательную силу как часть ДОПОГ, МПОГ и ВОПОГ, хотя многие из сторон этих соглашений </w:t>
      </w:r>
      <w:r>
        <w:t xml:space="preserve">и </w:t>
      </w:r>
      <w:r w:rsidRPr="00903A82">
        <w:t>не участвовали в их разработке.</w:t>
      </w:r>
    </w:p>
    <w:p w:rsidR="00343E61" w:rsidRPr="00903A82" w:rsidRDefault="00343E61" w:rsidP="00343E61">
      <w:pPr>
        <w:pStyle w:val="SingleTxt"/>
        <w:rPr>
          <w:b/>
        </w:rPr>
      </w:pPr>
      <w:r w:rsidRPr="00903A82">
        <w:t>74.</w:t>
      </w:r>
      <w:r w:rsidRPr="00903A82">
        <w:tab/>
        <w:t>Участие в совещаниях было, как обычно, весьма активным со стороны стран ЕС, Норвегии, Швейцарии, Российской Федерации, Турции, Украины и НПО. В то же время, вероятно из-за финансовых ограничений, на них по-прежнему не был представлен ряд стран с переходной экономикой, включая Азербайджан, Албанию, Беларусь, Казахстан, бывшую югославскую Республику Македония, Марокко, Молдову и Тунис. Расширение участия этих стран отвеч</w:t>
      </w:r>
      <w:r w:rsidRPr="00903A82">
        <w:t>а</w:t>
      </w:r>
      <w:r w:rsidRPr="00903A82">
        <w:t>ло бы их собственным интересам, так как позволило бы им не только активнее включиться в процесс обновления соответствующих положений, но и обсудить проблемы их осуществления со странами, имеющими более обширный опыт. К</w:t>
      </w:r>
      <w:r>
        <w:t> </w:t>
      </w:r>
      <w:r w:rsidRPr="00903A82">
        <w:t>сожалению, финансовые и кадровые ресурсы для оказания технической пом</w:t>
      </w:r>
      <w:r w:rsidRPr="00903A82">
        <w:t>о</w:t>
      </w:r>
      <w:r w:rsidRPr="00903A82">
        <w:t>щи остаются скудными, хотя в 2014 году Отдел устойчивого транспорта смог принять участие в ряде семинаров, организованных Европейским союзом в ко</w:t>
      </w:r>
      <w:r w:rsidRPr="00903A82">
        <w:t>н</w:t>
      </w:r>
      <w:r w:rsidRPr="00903A82">
        <w:t xml:space="preserve">тексте </w:t>
      </w:r>
      <w:proofErr w:type="spellStart"/>
      <w:r w:rsidRPr="00903A82">
        <w:t>Евросредиземноморского</w:t>
      </w:r>
      <w:proofErr w:type="spellEnd"/>
      <w:r w:rsidRPr="00903A82">
        <w:t xml:space="preserve"> проекта, осуществляемого в странах Северной Африки и Ближнего Востока и призванного обеспечить более широкое внедрение правовых документов ЕЭК, касающихся автомобильного транспорта, включая ДОПОГ.</w:t>
      </w:r>
    </w:p>
    <w:p w:rsidR="00343E61" w:rsidRPr="00903A82" w:rsidRDefault="00343E61" w:rsidP="00343E61">
      <w:pPr>
        <w:pStyle w:val="SingleTxt"/>
        <w:spacing w:after="0" w:line="120" w:lineRule="exact"/>
        <w:rPr>
          <w:b/>
          <w:sz w:val="10"/>
        </w:rPr>
      </w:pPr>
    </w:p>
    <w:p w:rsidR="00343E61" w:rsidRPr="00903A82" w:rsidRDefault="00343E61" w:rsidP="00343E61">
      <w:pPr>
        <w:pStyle w:val="SingleTxt"/>
        <w:spacing w:after="0" w:line="120" w:lineRule="exact"/>
        <w:rPr>
          <w:b/>
          <w:sz w:val="10"/>
        </w:rPr>
      </w:pPr>
    </w:p>
    <w:p w:rsidR="00343E61" w:rsidRPr="00903A82" w:rsidRDefault="00343E61" w:rsidP="00343E6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03A82">
        <w:tab/>
      </w:r>
      <w:r w:rsidRPr="00903A82">
        <w:tab/>
        <w:t>Направление деятельности 9.b</w:t>
      </w:r>
      <w:r w:rsidRPr="00903A82">
        <w:br/>
        <w:t>Перевозка опасных грузов (ЕЭК ООН)</w:t>
      </w:r>
    </w:p>
    <w:p w:rsidR="00343E61" w:rsidRPr="00903A82" w:rsidRDefault="00343E61" w:rsidP="00343E61">
      <w:pPr>
        <w:pStyle w:val="SingleTxt"/>
        <w:spacing w:after="0" w:line="120" w:lineRule="exact"/>
        <w:rPr>
          <w:b/>
          <w:sz w:val="10"/>
        </w:rPr>
      </w:pPr>
    </w:p>
    <w:p w:rsidR="00343E61" w:rsidRPr="00903A82" w:rsidRDefault="00343E61" w:rsidP="00343E61">
      <w:pPr>
        <w:pStyle w:val="SingleTxt"/>
        <w:spacing w:after="0" w:line="120" w:lineRule="exact"/>
        <w:rPr>
          <w:b/>
          <w:sz w:val="10"/>
        </w:rPr>
      </w:pPr>
    </w:p>
    <w:p w:rsidR="00343E61" w:rsidRPr="00903A82" w:rsidRDefault="00343E61" w:rsidP="00343E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03A82">
        <w:tab/>
        <w:t>A.</w:t>
      </w:r>
      <w:r w:rsidRPr="00903A82">
        <w:tab/>
        <w:t>Ожидаемое достижение (ОД 9.b)</w:t>
      </w:r>
    </w:p>
    <w:p w:rsidR="00343E61" w:rsidRPr="00903A82" w:rsidRDefault="00343E61" w:rsidP="00343E61">
      <w:pPr>
        <w:pStyle w:val="SingleTxt"/>
        <w:spacing w:after="0" w:line="120" w:lineRule="exact"/>
        <w:rPr>
          <w:sz w:val="10"/>
        </w:rPr>
      </w:pPr>
    </w:p>
    <w:p w:rsidR="00343E61" w:rsidRPr="00903A82" w:rsidRDefault="00343E61" w:rsidP="00343E61">
      <w:pPr>
        <w:pStyle w:val="SingleTxt"/>
        <w:spacing w:after="0" w:line="120" w:lineRule="exact"/>
        <w:rPr>
          <w:sz w:val="10"/>
        </w:rPr>
      </w:pPr>
    </w:p>
    <w:p w:rsidR="00343E61" w:rsidRPr="00903A82" w:rsidRDefault="00343E61" w:rsidP="00343E61">
      <w:pPr>
        <w:pStyle w:val="SingleTxt"/>
      </w:pPr>
      <w:r w:rsidRPr="00903A82">
        <w:t>75.</w:t>
      </w:r>
      <w:r w:rsidRPr="00903A82">
        <w:tab/>
        <w:t>Принятие дорожной карты по созданию административных структур, нео</w:t>
      </w:r>
      <w:r w:rsidRPr="00903A82">
        <w:t>б</w:t>
      </w:r>
      <w:r w:rsidRPr="00903A82">
        <w:t>ходимых для применения ДОПОГ. Разработка на основе этой дорожной карты рекомендаций и/или руководящих принципов.</w:t>
      </w:r>
    </w:p>
    <w:p w:rsidR="00343E61" w:rsidRPr="00903A82" w:rsidRDefault="00343E61" w:rsidP="00343E61">
      <w:pPr>
        <w:pStyle w:val="SingleTxt"/>
        <w:spacing w:after="0" w:line="120" w:lineRule="exact"/>
        <w:rPr>
          <w:sz w:val="10"/>
        </w:rPr>
      </w:pPr>
    </w:p>
    <w:p w:rsidR="00343E61" w:rsidRPr="00903A82" w:rsidRDefault="00343E61" w:rsidP="00343E61">
      <w:pPr>
        <w:pStyle w:val="SingleTxt"/>
        <w:spacing w:after="0" w:line="120" w:lineRule="exact"/>
        <w:rPr>
          <w:sz w:val="10"/>
        </w:rPr>
      </w:pPr>
    </w:p>
    <w:p w:rsidR="00343E61" w:rsidRPr="00903A82" w:rsidRDefault="00343E61" w:rsidP="008A2330">
      <w:pPr>
        <w:pStyle w:val="H1"/>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03A82">
        <w:lastRenderedPageBreak/>
        <w:tab/>
        <w:t>B.</w:t>
      </w:r>
      <w:r w:rsidRPr="00903A82">
        <w:tab/>
        <w:t>Показатели достижения</w:t>
      </w:r>
    </w:p>
    <w:p w:rsidR="00343E61" w:rsidRPr="00903A82" w:rsidRDefault="00343E61" w:rsidP="008A2330">
      <w:pPr>
        <w:pStyle w:val="SingleTxt"/>
        <w:keepNext/>
        <w:keepLines/>
        <w:spacing w:after="0" w:line="120" w:lineRule="exact"/>
        <w:rPr>
          <w:sz w:val="10"/>
        </w:rPr>
      </w:pPr>
    </w:p>
    <w:p w:rsidR="00343E61" w:rsidRPr="00903A82" w:rsidRDefault="00343E61" w:rsidP="008A2330">
      <w:pPr>
        <w:pStyle w:val="SingleTxt"/>
        <w:keepNext/>
        <w:keepLines/>
        <w:spacing w:after="0" w:line="120" w:lineRule="exact"/>
        <w:rPr>
          <w:sz w:val="10"/>
        </w:rPr>
      </w:pPr>
    </w:p>
    <w:p w:rsidR="00343E61" w:rsidRPr="00903A82" w:rsidRDefault="00343E61" w:rsidP="008A23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903A82">
        <w:tab/>
        <w:t>1.</w:t>
      </w:r>
      <w:r w:rsidRPr="00903A82">
        <w:tab/>
        <w:t>Принятие дорожной карты и разработка рекомендаций/руководящих принципов (ПД 9.b)</w:t>
      </w:r>
    </w:p>
    <w:p w:rsidR="00343E61" w:rsidRPr="004055E8" w:rsidRDefault="00343E61" w:rsidP="00343E61">
      <w:pPr>
        <w:pStyle w:val="SingleTxt"/>
        <w:numPr>
          <w:ilvl w:val="0"/>
          <w:numId w:val="11"/>
        </w:numPr>
        <w:spacing w:after="0" w:line="120" w:lineRule="exact"/>
        <w:rPr>
          <w:i/>
          <w:sz w:val="10"/>
        </w:rPr>
      </w:pPr>
      <w:r w:rsidRPr="00903A82">
        <w:rPr>
          <w:i/>
        </w:rPr>
        <w:tab/>
      </w:r>
    </w:p>
    <w:p w:rsidR="00343E61" w:rsidRPr="00903A82" w:rsidRDefault="00343E61" w:rsidP="00343E6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903A82">
        <w:tab/>
        <w:t>Показатели результативности:</w:t>
      </w:r>
    </w:p>
    <w:p w:rsidR="00343E61" w:rsidRPr="0030507E" w:rsidRDefault="00343E61" w:rsidP="00343E61">
      <w:pPr>
        <w:pStyle w:val="SingleTxt"/>
        <w:spacing w:after="0" w:line="120" w:lineRule="exact"/>
        <w:rPr>
          <w:sz w:val="10"/>
        </w:rPr>
      </w:pPr>
    </w:p>
    <w:p w:rsidR="00343E61" w:rsidRPr="00903A82" w:rsidRDefault="00343E61" w:rsidP="00343E61">
      <w:pPr>
        <w:pStyle w:val="SingleTxt"/>
        <w:rPr>
          <w:b/>
        </w:rPr>
      </w:pPr>
      <w:r w:rsidRPr="00903A82">
        <w:t>Целевые показатели на 2014–2015 годы: не применимо</w:t>
      </w:r>
      <w:r>
        <w:t>.</w:t>
      </w:r>
    </w:p>
    <w:p w:rsidR="00343E61" w:rsidRPr="004055E8" w:rsidRDefault="00343E61" w:rsidP="00343E61">
      <w:pPr>
        <w:pStyle w:val="SingleTxt"/>
        <w:spacing w:after="0" w:line="120" w:lineRule="exact"/>
        <w:rPr>
          <w:b/>
          <w:sz w:val="10"/>
        </w:rPr>
      </w:pPr>
    </w:p>
    <w:p w:rsidR="00343E61" w:rsidRPr="004055E8" w:rsidRDefault="00343E61" w:rsidP="00343E61">
      <w:pPr>
        <w:pStyle w:val="SingleTxt"/>
        <w:spacing w:after="0" w:line="120" w:lineRule="exact"/>
        <w:rPr>
          <w:b/>
          <w:sz w:val="10"/>
        </w:rPr>
      </w:pPr>
    </w:p>
    <w:p w:rsidR="00343E61" w:rsidRPr="00903A82" w:rsidRDefault="00343E61" w:rsidP="00343E6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03A82">
        <w:tab/>
      </w:r>
      <w:r w:rsidRPr="00903A82">
        <w:tab/>
        <w:t>Направление деятельности 9.с</w:t>
      </w:r>
      <w:r w:rsidRPr="00903A82">
        <w:br/>
        <w:t>Перевозка опасных грузов (ЕЭК ООН)</w:t>
      </w:r>
    </w:p>
    <w:p w:rsidR="00343E61" w:rsidRPr="004055E8" w:rsidRDefault="00343E61" w:rsidP="00343E61">
      <w:pPr>
        <w:pStyle w:val="SingleTxt"/>
        <w:spacing w:after="0" w:line="120" w:lineRule="exact"/>
        <w:rPr>
          <w:sz w:val="10"/>
        </w:rPr>
      </w:pPr>
    </w:p>
    <w:p w:rsidR="00343E61" w:rsidRPr="004055E8" w:rsidRDefault="00343E61" w:rsidP="00343E61">
      <w:pPr>
        <w:pStyle w:val="SingleTxt"/>
        <w:spacing w:after="0" w:line="120" w:lineRule="exact"/>
        <w:rPr>
          <w:sz w:val="10"/>
        </w:rPr>
      </w:pPr>
    </w:p>
    <w:p w:rsidR="00343E61" w:rsidRPr="00903A82" w:rsidRDefault="00343E61" w:rsidP="00343E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03A82">
        <w:tab/>
        <w:t>A.</w:t>
      </w:r>
      <w:r w:rsidRPr="00903A82">
        <w:tab/>
        <w:t>Ожидаемое достижение (ОД 9.с)</w:t>
      </w:r>
    </w:p>
    <w:p w:rsidR="00343E61" w:rsidRPr="004055E8" w:rsidRDefault="00343E61" w:rsidP="00343E61">
      <w:pPr>
        <w:pStyle w:val="SingleTxt"/>
        <w:spacing w:after="0" w:line="120" w:lineRule="exact"/>
        <w:rPr>
          <w:sz w:val="10"/>
        </w:rPr>
      </w:pPr>
    </w:p>
    <w:p w:rsidR="00343E61" w:rsidRPr="004055E8" w:rsidRDefault="00343E61" w:rsidP="00343E61">
      <w:pPr>
        <w:pStyle w:val="SingleTxt"/>
        <w:spacing w:after="0" w:line="120" w:lineRule="exact"/>
        <w:rPr>
          <w:sz w:val="10"/>
        </w:rPr>
      </w:pPr>
    </w:p>
    <w:p w:rsidR="00343E61" w:rsidRPr="00903A82" w:rsidRDefault="00343E61" w:rsidP="00343E61">
      <w:pPr>
        <w:pStyle w:val="SingleTxt"/>
      </w:pPr>
      <w:r w:rsidRPr="00903A82">
        <w:t>76.</w:t>
      </w:r>
      <w:r w:rsidRPr="00903A82">
        <w:tab/>
        <w:t>Последующая деятельность в контексте реализации дорожной карты по в</w:t>
      </w:r>
      <w:r w:rsidRPr="00903A82">
        <w:t>о</w:t>
      </w:r>
      <w:r w:rsidRPr="00903A82">
        <w:t>просам присоединения к ДОПОГ и его применения (ECE/TRANS/238) для новых и существующих Договаривающихся сторон ДОПОГ.</w:t>
      </w:r>
    </w:p>
    <w:p w:rsidR="00343E61" w:rsidRPr="004055E8" w:rsidRDefault="00343E61" w:rsidP="00343E61">
      <w:pPr>
        <w:pStyle w:val="SingleTxt"/>
        <w:spacing w:after="0" w:line="120" w:lineRule="exact"/>
        <w:rPr>
          <w:sz w:val="10"/>
        </w:rPr>
      </w:pPr>
    </w:p>
    <w:p w:rsidR="00343E61" w:rsidRPr="004055E8" w:rsidRDefault="00343E61" w:rsidP="00343E61">
      <w:pPr>
        <w:pStyle w:val="SingleTxt"/>
        <w:spacing w:after="0" w:line="120" w:lineRule="exact"/>
        <w:rPr>
          <w:sz w:val="10"/>
        </w:rPr>
      </w:pPr>
    </w:p>
    <w:p w:rsidR="00343E61" w:rsidRPr="00903A82" w:rsidRDefault="00343E61" w:rsidP="00343E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03A82">
        <w:tab/>
        <w:t>B.</w:t>
      </w:r>
      <w:r w:rsidRPr="00903A82">
        <w:tab/>
        <w:t>Показатели достижения</w:t>
      </w:r>
    </w:p>
    <w:p w:rsidR="00343E61" w:rsidRPr="004055E8" w:rsidRDefault="00343E61" w:rsidP="00343E61">
      <w:pPr>
        <w:pStyle w:val="SingleTxt"/>
        <w:spacing w:after="0" w:line="120" w:lineRule="exact"/>
        <w:rPr>
          <w:sz w:val="10"/>
        </w:rPr>
      </w:pPr>
    </w:p>
    <w:p w:rsidR="00343E61" w:rsidRPr="004055E8" w:rsidRDefault="00343E61" w:rsidP="00343E61">
      <w:pPr>
        <w:pStyle w:val="SingleTxt"/>
        <w:spacing w:after="0" w:line="120" w:lineRule="exact"/>
        <w:rPr>
          <w:sz w:val="10"/>
        </w:rPr>
      </w:pPr>
    </w:p>
    <w:p w:rsidR="00343E61" w:rsidRPr="00903A82" w:rsidRDefault="00343E61" w:rsidP="00343E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903A82">
        <w:tab/>
        <w:t>1.</w:t>
      </w:r>
      <w:r w:rsidRPr="00903A82">
        <w:tab/>
        <w:t>Завершение подготовки и размещение на веб-сайте ЕЭК ООН информации, касающейся стран, являющихся Договаривающимися сторонами ДОПОГ, и</w:t>
      </w:r>
      <w:r>
        <w:t> </w:t>
      </w:r>
      <w:r w:rsidRPr="00903A82">
        <w:t>информации, подлежащей обязательному представлению (информация о</w:t>
      </w:r>
      <w:r>
        <w:t> </w:t>
      </w:r>
      <w:r w:rsidRPr="00903A82">
        <w:t>свидетельствах о подготовке водителей и информация, указанная в</w:t>
      </w:r>
      <w:r>
        <w:t> </w:t>
      </w:r>
      <w:r w:rsidRPr="00903A82">
        <w:t>приложении I к дорожной карте) (ПД 9.c)</w:t>
      </w:r>
    </w:p>
    <w:p w:rsidR="00343E61" w:rsidRPr="004055E8" w:rsidRDefault="00343E61" w:rsidP="00343E61">
      <w:pPr>
        <w:pStyle w:val="SingleTxt"/>
        <w:numPr>
          <w:ilvl w:val="0"/>
          <w:numId w:val="11"/>
        </w:numPr>
        <w:spacing w:after="0" w:line="120" w:lineRule="exact"/>
        <w:rPr>
          <w:i/>
          <w:sz w:val="10"/>
        </w:rPr>
      </w:pPr>
      <w:r w:rsidRPr="00903A82">
        <w:rPr>
          <w:i/>
        </w:rPr>
        <w:tab/>
      </w:r>
    </w:p>
    <w:p w:rsidR="00343E61" w:rsidRPr="00903A82" w:rsidRDefault="00343E61" w:rsidP="00343E6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903A82">
        <w:tab/>
        <w:t>Показатели результативности:</w:t>
      </w:r>
    </w:p>
    <w:p w:rsidR="00343E61" w:rsidRPr="004055E8" w:rsidRDefault="00343E61" w:rsidP="00343E61">
      <w:pPr>
        <w:pStyle w:val="SingleTxt"/>
        <w:spacing w:after="0" w:line="120" w:lineRule="exact"/>
        <w:rPr>
          <w:sz w:val="10"/>
        </w:rPr>
      </w:pPr>
    </w:p>
    <w:p w:rsidR="00343E61" w:rsidRPr="00903A82" w:rsidRDefault="00343E61" w:rsidP="00343E61">
      <w:pPr>
        <w:pStyle w:val="SingleTxt"/>
      </w:pPr>
      <w:r w:rsidRPr="00903A82">
        <w:t>Целевые показатели на 2014−2015 годы: наличие информации по 75% Договар</w:t>
      </w:r>
      <w:r w:rsidRPr="00903A82">
        <w:t>и</w:t>
      </w:r>
      <w:r w:rsidRPr="00903A82">
        <w:t>вающихся сторон ДОПОГ</w:t>
      </w:r>
      <w:r>
        <w:t>.</w:t>
      </w:r>
    </w:p>
    <w:p w:rsidR="00343E61" w:rsidRPr="00903A82" w:rsidRDefault="00343E61" w:rsidP="00343E61">
      <w:pPr>
        <w:pStyle w:val="SingleTxt"/>
        <w:rPr>
          <w:b/>
          <w:bCs/>
        </w:rPr>
      </w:pPr>
      <w:r w:rsidRPr="00903A82">
        <w:rPr>
          <w:b/>
          <w:bCs/>
        </w:rPr>
        <w:t>Фактические показатели за 2014−2015 годы: наличие информации по 75% Договаривающихся сторон ДОПОГ</w:t>
      </w:r>
      <w:r>
        <w:rPr>
          <w:b/>
          <w:bCs/>
        </w:rPr>
        <w:t>.</w:t>
      </w:r>
    </w:p>
    <w:p w:rsidR="00343E61" w:rsidRPr="004055E8" w:rsidRDefault="00343E61" w:rsidP="00343E61">
      <w:pPr>
        <w:pStyle w:val="SingleTxt"/>
        <w:spacing w:after="0" w:line="120" w:lineRule="exact"/>
        <w:rPr>
          <w:sz w:val="10"/>
        </w:rPr>
      </w:pPr>
    </w:p>
    <w:p w:rsidR="00343E61" w:rsidRPr="004055E8" w:rsidRDefault="00343E61" w:rsidP="00343E61">
      <w:pPr>
        <w:pStyle w:val="SingleTxt"/>
        <w:spacing w:after="0" w:line="120" w:lineRule="exact"/>
        <w:rPr>
          <w:sz w:val="10"/>
        </w:rPr>
      </w:pPr>
    </w:p>
    <w:p w:rsidR="00343E61" w:rsidRPr="00903A82" w:rsidRDefault="00343E61" w:rsidP="00343E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903A82">
        <w:t>C.</w:t>
      </w:r>
      <w:r w:rsidRPr="00903A82">
        <w:tab/>
        <w:t>Оценка результативности</w:t>
      </w:r>
    </w:p>
    <w:p w:rsidR="00343E61" w:rsidRPr="004055E8" w:rsidRDefault="00343E61" w:rsidP="00343E61">
      <w:pPr>
        <w:pStyle w:val="SingleTxt"/>
        <w:spacing w:after="0" w:line="120" w:lineRule="exact"/>
        <w:rPr>
          <w:sz w:val="10"/>
        </w:rPr>
      </w:pPr>
    </w:p>
    <w:p w:rsidR="00343E61" w:rsidRPr="004055E8" w:rsidRDefault="00343E61" w:rsidP="00343E61">
      <w:pPr>
        <w:pStyle w:val="SingleTxt"/>
        <w:spacing w:after="0" w:line="120" w:lineRule="exact"/>
        <w:rPr>
          <w:sz w:val="10"/>
        </w:rPr>
      </w:pPr>
    </w:p>
    <w:p w:rsidR="00343E61" w:rsidRPr="00903A82" w:rsidRDefault="00343E61" w:rsidP="00343E61">
      <w:pPr>
        <w:pStyle w:val="SingleTxt"/>
      </w:pPr>
      <w:r w:rsidRPr="00903A82">
        <w:t>77.</w:t>
      </w:r>
      <w:r w:rsidRPr="00903A82">
        <w:tab/>
        <w:t xml:space="preserve">Число Договаривающихся сторон ДОПОГ </w:t>
      </w:r>
      <w:r>
        <w:t>составляет</w:t>
      </w:r>
      <w:r w:rsidRPr="00903A82">
        <w:t xml:space="preserve"> 48. </w:t>
      </w:r>
    </w:p>
    <w:p w:rsidR="00343E61" w:rsidRPr="00903A82" w:rsidRDefault="00343E61" w:rsidP="00343E61">
      <w:pPr>
        <w:pStyle w:val="SingleTxt"/>
      </w:pPr>
      <w:r>
        <w:t>78.</w:t>
      </w:r>
      <w:r>
        <w:tab/>
        <w:t>Н</w:t>
      </w:r>
      <w:r w:rsidRPr="00903A82">
        <w:t>а странице «Информация по странам»</w:t>
      </w:r>
      <w:r w:rsidRPr="004055E8">
        <w:rPr>
          <w:vertAlign w:val="superscript"/>
        </w:rPr>
        <w:footnoteReference w:id="4"/>
      </w:r>
      <w:r w:rsidRPr="00903A82">
        <w:t xml:space="preserve"> веб-сайт</w:t>
      </w:r>
      <w:r>
        <w:t>а</w:t>
      </w:r>
      <w:r w:rsidRPr="00903A82">
        <w:t xml:space="preserve"> ЕЭК указаны адреса о</w:t>
      </w:r>
      <w:r w:rsidRPr="00903A82">
        <w:t>р</w:t>
      </w:r>
      <w:r w:rsidRPr="00903A82">
        <w:t>ганов и назначенных ими организаций, обладающих компетенцией согласно внутригосударственному законодательству</w:t>
      </w:r>
      <w:r>
        <w:t xml:space="preserve"> </w:t>
      </w:r>
      <w:r w:rsidRPr="00903A82">
        <w:t>в вопросах применения ДОПОГ. Се</w:t>
      </w:r>
      <w:r w:rsidRPr="00903A82">
        <w:t>к</w:t>
      </w:r>
      <w:r w:rsidRPr="00903A82">
        <w:t>ретариат обновляет содержание этой страницы в соответствии с информацией, поступающей от Договаривающихся сторон. Информация по 34 странам является подробной и обновляется регулярно. В случае еще 12 стран (Азербайджан</w:t>
      </w:r>
      <w:r>
        <w:t>а</w:t>
      </w:r>
      <w:r w:rsidRPr="00903A82">
        <w:t>,</w:t>
      </w:r>
      <w:r>
        <w:t xml:space="preserve"> </w:t>
      </w:r>
      <w:r w:rsidRPr="00903A82">
        <w:t>А</w:t>
      </w:r>
      <w:r w:rsidRPr="00903A82">
        <w:t>л</w:t>
      </w:r>
      <w:r w:rsidRPr="00903A82">
        <w:t>бани</w:t>
      </w:r>
      <w:r>
        <w:t>и</w:t>
      </w:r>
      <w:r w:rsidRPr="00903A82">
        <w:t>, Андорр</w:t>
      </w:r>
      <w:r>
        <w:t>ы</w:t>
      </w:r>
      <w:r w:rsidRPr="00903A82">
        <w:t>, Беларус</w:t>
      </w:r>
      <w:r>
        <w:t>и</w:t>
      </w:r>
      <w:r w:rsidRPr="00903A82">
        <w:t>, Босни</w:t>
      </w:r>
      <w:r>
        <w:t>и</w:t>
      </w:r>
      <w:r w:rsidRPr="00903A82">
        <w:t xml:space="preserve"> и Герцеговин</w:t>
      </w:r>
      <w:r>
        <w:t>ы</w:t>
      </w:r>
      <w:r w:rsidRPr="00903A82">
        <w:t>, Исланди</w:t>
      </w:r>
      <w:r>
        <w:t>и</w:t>
      </w:r>
      <w:r w:rsidRPr="00903A82">
        <w:t>,</w:t>
      </w:r>
      <w:r>
        <w:t xml:space="preserve"> </w:t>
      </w:r>
      <w:r w:rsidRPr="00903A82">
        <w:t>Казахстан</w:t>
      </w:r>
      <w:r>
        <w:t>а</w:t>
      </w:r>
      <w:r w:rsidRPr="00903A82">
        <w:t>, Ки</w:t>
      </w:r>
      <w:r w:rsidRPr="00903A82">
        <w:t>п</w:t>
      </w:r>
      <w:r w:rsidRPr="00903A82">
        <w:t>р</w:t>
      </w:r>
      <w:r>
        <w:t>а</w:t>
      </w:r>
      <w:r w:rsidRPr="00903A82">
        <w:t>, Лихтенштейн</w:t>
      </w:r>
      <w:r>
        <w:t>а</w:t>
      </w:r>
      <w:r w:rsidRPr="00903A82">
        <w:t>, Марокко</w:t>
      </w:r>
      <w:r>
        <w:t>,</w:t>
      </w:r>
      <w:r w:rsidRPr="00903A82">
        <w:t xml:space="preserve"> Черногори</w:t>
      </w:r>
      <w:r>
        <w:t>и</w:t>
      </w:r>
      <w:r w:rsidRPr="00903A82">
        <w:t xml:space="preserve"> и</w:t>
      </w:r>
      <w:r w:rsidRPr="004055E8">
        <w:t xml:space="preserve"> </w:t>
      </w:r>
      <w:r>
        <w:t>Эстонии</w:t>
      </w:r>
      <w:r w:rsidRPr="00903A82">
        <w:t xml:space="preserve">) указаны контактные данные основного компетентного органа. По одной из стран (Таджикистан) информация отсутствует. </w:t>
      </w:r>
    </w:p>
    <w:p w:rsidR="00343E61" w:rsidRPr="00903A82" w:rsidRDefault="00343E61" w:rsidP="00343E61">
      <w:pPr>
        <w:pStyle w:val="SingleTxt"/>
      </w:pPr>
      <w:r w:rsidRPr="00903A82">
        <w:t>79.</w:t>
      </w:r>
      <w:r w:rsidRPr="00903A82">
        <w:tab/>
        <w:t>На странице «Свидетельства ДОПОГ о подготовке водителей»</w:t>
      </w:r>
      <w:r w:rsidRPr="004055E8">
        <w:rPr>
          <w:vertAlign w:val="superscript"/>
        </w:rPr>
        <w:footnoteReference w:id="5"/>
      </w:r>
      <w:r w:rsidRPr="00903A82">
        <w:t xml:space="preserve"> содержатся образцы свидетельств ДОПОГ о подготовке водителей, выдаваемых в соотве</w:t>
      </w:r>
      <w:r w:rsidRPr="00903A82">
        <w:t>т</w:t>
      </w:r>
      <w:r w:rsidRPr="00903A82">
        <w:t xml:space="preserve">ствии с пунктом 8.2.2.8.5 ДОПОГ. Образцы своих свидетельств представила </w:t>
      </w:r>
      <w:r w:rsidRPr="00903A82">
        <w:lastRenderedPageBreak/>
        <w:t>31</w:t>
      </w:r>
      <w:r>
        <w:t> </w:t>
      </w:r>
      <w:r w:rsidRPr="00903A82">
        <w:t>страна. Информация о том, выдаются ли эти свидетельства в остальных стр</w:t>
      </w:r>
      <w:r w:rsidRPr="00903A82">
        <w:t>а</w:t>
      </w:r>
      <w:r w:rsidRPr="00903A82">
        <w:t>нах, отсутствует.</w:t>
      </w:r>
    </w:p>
    <w:p w:rsidR="00343E61" w:rsidRPr="00903A82" w:rsidRDefault="00343E61" w:rsidP="00343E61">
      <w:pPr>
        <w:pStyle w:val="SingleTxt"/>
      </w:pPr>
      <w:r w:rsidRPr="00903A82">
        <w:t>80.</w:t>
      </w:r>
      <w:r w:rsidRPr="00903A82">
        <w:tab/>
        <w:t>На странице «Языковые версии (ДОПОГ, инструкции в письменной фо</w:t>
      </w:r>
      <w:r w:rsidRPr="00903A82">
        <w:t>р</w:t>
      </w:r>
      <w:r w:rsidRPr="00903A82">
        <w:t>ме)»</w:t>
      </w:r>
      <w:r w:rsidRPr="004055E8">
        <w:rPr>
          <w:vertAlign w:val="superscript"/>
        </w:rPr>
        <w:footnoteReference w:id="6"/>
      </w:r>
      <w:r w:rsidRPr="00903A82">
        <w:t xml:space="preserve"> приведены официальные переводы письменных инструкций </w:t>
      </w:r>
      <w:r>
        <w:t xml:space="preserve">– </w:t>
      </w:r>
      <w:r w:rsidRPr="00903A82">
        <w:t>в соотве</w:t>
      </w:r>
      <w:r w:rsidRPr="00903A82">
        <w:t>т</w:t>
      </w:r>
      <w:r w:rsidRPr="00903A82">
        <w:t>ствии с пунктом 5.4.3.4 ДОПОГ,</w:t>
      </w:r>
      <w:r>
        <w:t xml:space="preserve"> –</w:t>
      </w:r>
      <w:r w:rsidRPr="00903A82">
        <w:t xml:space="preserve"> направляемых компетентными органами. На</w:t>
      </w:r>
      <w:r>
        <w:t> </w:t>
      </w:r>
      <w:r w:rsidRPr="00903A82">
        <w:t>случай чрезвычайной ситуации, которая может возникнуть в результате ав</w:t>
      </w:r>
      <w:r w:rsidRPr="00903A82">
        <w:t>а</w:t>
      </w:r>
      <w:r w:rsidRPr="00903A82">
        <w:t>рии во время перевозки, эти инструкции должны быть предоставлены членам экипажа транспортного средства на языке(ах), на котором(</w:t>
      </w:r>
      <w:proofErr w:type="spellStart"/>
      <w:r w:rsidRPr="00903A82">
        <w:t>ых</w:t>
      </w:r>
      <w:proofErr w:type="spellEnd"/>
      <w:r w:rsidRPr="00903A82">
        <w:t>) каждый член эк</w:t>
      </w:r>
      <w:r w:rsidRPr="00903A82">
        <w:t>и</w:t>
      </w:r>
      <w:r w:rsidRPr="00903A82">
        <w:t xml:space="preserve">пажа может читать и который(е) он понимает. </w:t>
      </w:r>
      <w:r>
        <w:t>В случае</w:t>
      </w:r>
      <w:r w:rsidRPr="00903A82">
        <w:t xml:space="preserve"> 11 стран (Албани</w:t>
      </w:r>
      <w:r>
        <w:t xml:space="preserve">и, </w:t>
      </w:r>
      <w:r w:rsidRPr="00903A82">
        <w:t>Азе</w:t>
      </w:r>
      <w:r w:rsidRPr="00903A82">
        <w:t>р</w:t>
      </w:r>
      <w:r w:rsidRPr="00903A82">
        <w:t>байджан</w:t>
      </w:r>
      <w:r>
        <w:t xml:space="preserve">а, </w:t>
      </w:r>
      <w:r w:rsidRPr="00903A82">
        <w:t>Андорр</w:t>
      </w:r>
      <w:r>
        <w:t xml:space="preserve">ы, </w:t>
      </w:r>
      <w:r w:rsidRPr="00903A82">
        <w:t>Болгари</w:t>
      </w:r>
      <w:r>
        <w:t xml:space="preserve">и, </w:t>
      </w:r>
      <w:r w:rsidRPr="00903A82">
        <w:t>бывш</w:t>
      </w:r>
      <w:r>
        <w:t>ей</w:t>
      </w:r>
      <w:r w:rsidRPr="00903A82">
        <w:t xml:space="preserve"> югославск</w:t>
      </w:r>
      <w:r>
        <w:t>ой</w:t>
      </w:r>
      <w:r w:rsidRPr="00903A82">
        <w:t xml:space="preserve"> Республик</w:t>
      </w:r>
      <w:r>
        <w:t>и</w:t>
      </w:r>
      <w:r w:rsidRPr="00903A82">
        <w:t xml:space="preserve"> Македония</w:t>
      </w:r>
      <w:r>
        <w:t xml:space="preserve">, </w:t>
      </w:r>
      <w:r w:rsidRPr="00903A82">
        <w:t>Исланди</w:t>
      </w:r>
      <w:r>
        <w:t xml:space="preserve">и, </w:t>
      </w:r>
      <w:r w:rsidRPr="00903A82">
        <w:t>Марокко</w:t>
      </w:r>
      <w:r>
        <w:t xml:space="preserve">, </w:t>
      </w:r>
      <w:r w:rsidRPr="00903A82">
        <w:t>Туни</w:t>
      </w:r>
      <w:r>
        <w:t xml:space="preserve">са, </w:t>
      </w:r>
      <w:r w:rsidRPr="00903A82">
        <w:t>Украин</w:t>
      </w:r>
      <w:r>
        <w:t xml:space="preserve">ы, </w:t>
      </w:r>
      <w:r w:rsidRPr="00903A82">
        <w:t>Хорвати</w:t>
      </w:r>
      <w:r>
        <w:t xml:space="preserve">и и </w:t>
      </w:r>
      <w:r w:rsidRPr="00903A82">
        <w:t>Черногори</w:t>
      </w:r>
      <w:r>
        <w:t>и</w:t>
      </w:r>
      <w:r w:rsidRPr="00903A82">
        <w:t>) переводы на официальный(</w:t>
      </w:r>
      <w:proofErr w:type="spellStart"/>
      <w:r w:rsidRPr="00903A82">
        <w:t>ые</w:t>
      </w:r>
      <w:proofErr w:type="spellEnd"/>
      <w:r w:rsidRPr="00903A82">
        <w:t>) язык(и) этих стран на веб-сайте отсутствует(ют). Доступны могут быть также варианты на других основных неофициальных языках, испол</w:t>
      </w:r>
      <w:r w:rsidRPr="00903A82">
        <w:t>ь</w:t>
      </w:r>
      <w:r w:rsidRPr="00903A82">
        <w:t xml:space="preserve">зуемых в той или иной стране. </w:t>
      </w:r>
      <w:r>
        <w:t>В случае</w:t>
      </w:r>
      <w:r w:rsidRPr="00903A82">
        <w:t xml:space="preserve"> остальных стран (77</w:t>
      </w:r>
      <w:r>
        <w:t>%</w:t>
      </w:r>
      <w:r w:rsidRPr="00903A82">
        <w:t>) с текстами соо</w:t>
      </w:r>
      <w:r w:rsidRPr="00903A82">
        <w:t>т</w:t>
      </w:r>
      <w:r w:rsidRPr="00903A82">
        <w:t>ветствующих документов можно ознакомиться не менее чем на одном официал</w:t>
      </w:r>
      <w:r w:rsidRPr="00903A82">
        <w:t>ь</w:t>
      </w:r>
      <w:r w:rsidRPr="00903A82">
        <w:t>ном языке.</w:t>
      </w:r>
    </w:p>
    <w:p w:rsidR="00343E61" w:rsidRPr="00903A82" w:rsidRDefault="00343E61" w:rsidP="00343E61">
      <w:pPr>
        <w:pStyle w:val="SingleTxt"/>
      </w:pPr>
      <w:r w:rsidRPr="00903A82">
        <w:t>81.</w:t>
      </w:r>
      <w:r w:rsidRPr="00903A82">
        <w:tab/>
        <w:t>Страница «Многосторонние соглашения»</w:t>
      </w:r>
      <w:r w:rsidRPr="004055E8">
        <w:rPr>
          <w:vertAlign w:val="superscript"/>
        </w:rPr>
        <w:footnoteReference w:id="7"/>
      </w:r>
      <w:r w:rsidRPr="00903A82">
        <w:t xml:space="preserve"> содержит перечень действующих двусторонних и многосторонних соглашений, заключенных в соответствии с ра</w:t>
      </w:r>
      <w:r w:rsidRPr="00903A82">
        <w:t>з</w:t>
      </w:r>
      <w:r w:rsidRPr="00903A82">
        <w:t>делом 1.5.1 ДОПОГ. Секретариат еженедельно обновляет содержание этой стр</w:t>
      </w:r>
      <w:r w:rsidRPr="00903A82">
        <w:t>а</w:t>
      </w:r>
      <w:r w:rsidRPr="00903A82">
        <w:t xml:space="preserve">ницы в соответствии с информацией, поступающей от компетентных органов ДОПОГ. Информация, приведенная на этой странице, считается полной. </w:t>
      </w:r>
    </w:p>
    <w:p w:rsidR="00343E61" w:rsidRPr="00903A82" w:rsidRDefault="00343E61" w:rsidP="00343E61">
      <w:pPr>
        <w:pStyle w:val="SingleTxt"/>
      </w:pPr>
      <w:r w:rsidRPr="00903A82">
        <w:t>82.</w:t>
      </w:r>
      <w:r w:rsidRPr="00903A82">
        <w:tab/>
        <w:t>На странице «Отчеты о происшествиях»</w:t>
      </w:r>
      <w:r w:rsidRPr="004055E8">
        <w:rPr>
          <w:vertAlign w:val="superscript"/>
        </w:rPr>
        <w:footnoteReference w:id="8"/>
      </w:r>
      <w:r w:rsidRPr="00903A82">
        <w:t xml:space="preserve"> размещены отчеты о серьезных авариях или инцидентах, переданные Договаривающимися сторонами в соотве</w:t>
      </w:r>
      <w:r w:rsidRPr="00903A82">
        <w:t>т</w:t>
      </w:r>
      <w:r w:rsidRPr="00903A82">
        <w:t>ствии с пунктом 1.8.5.2 ДОПОГ. С 2004 года отчеты, поступающие от Договар</w:t>
      </w:r>
      <w:r w:rsidRPr="00903A82">
        <w:t>и</w:t>
      </w:r>
      <w:r w:rsidRPr="00903A82">
        <w:t>вающихся сторон, публикуются на веб-сайте ЕЭК, но только с согласия напр</w:t>
      </w:r>
      <w:r w:rsidRPr="00903A82">
        <w:t>а</w:t>
      </w:r>
      <w:r w:rsidRPr="00903A82">
        <w:t>вивших их компетентных органов, поскольку некоторые отчеты могут содержать конфиденциальную информацию. Кроме того, некоторые страны вызвались представить информацию для экспериментальной базы данных, подготовленной Францией в контексте работы Совместного совещания. Опубликованная в базе данных информация не считается официальным уведомлением, поскольку эта деятельность все еще находится на экспериментальном этапе. Участвующие в этом эксперименте страны включают Хорватию, Бельгию, Финляндию, Францию, Германию, Нидерланды, Испанию, Швецию и Швейцарию.</w:t>
      </w:r>
    </w:p>
    <w:p w:rsidR="00343E61" w:rsidRPr="004F778D" w:rsidRDefault="00343E61" w:rsidP="00343E61">
      <w:pPr>
        <w:pStyle w:val="SingleTxt"/>
        <w:spacing w:after="0" w:line="120" w:lineRule="exact"/>
        <w:rPr>
          <w:sz w:val="10"/>
        </w:rPr>
      </w:pPr>
    </w:p>
    <w:p w:rsidR="00343E61" w:rsidRPr="004F778D" w:rsidRDefault="00343E61" w:rsidP="00343E61">
      <w:pPr>
        <w:pStyle w:val="SingleTxt"/>
        <w:spacing w:after="0" w:line="120" w:lineRule="exact"/>
        <w:rPr>
          <w:sz w:val="10"/>
        </w:rPr>
      </w:pPr>
    </w:p>
    <w:p w:rsidR="00343E61" w:rsidRPr="00903A82" w:rsidRDefault="00343E61" w:rsidP="00343E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03A82">
        <w:tab/>
        <w:t>D.</w:t>
      </w:r>
      <w:r w:rsidRPr="00903A82">
        <w:tab/>
        <w:t>Извлеченные уроки/области, в которых необходимы улучшения</w:t>
      </w:r>
    </w:p>
    <w:p w:rsidR="00343E61" w:rsidRPr="004F778D" w:rsidRDefault="00343E61" w:rsidP="00343E61">
      <w:pPr>
        <w:pStyle w:val="SingleTxt"/>
        <w:spacing w:after="0" w:line="120" w:lineRule="exact"/>
        <w:rPr>
          <w:sz w:val="10"/>
        </w:rPr>
      </w:pPr>
    </w:p>
    <w:p w:rsidR="00343E61" w:rsidRPr="004F778D" w:rsidRDefault="00343E61" w:rsidP="00343E61">
      <w:pPr>
        <w:pStyle w:val="SingleTxt"/>
        <w:spacing w:after="0" w:line="120" w:lineRule="exact"/>
        <w:rPr>
          <w:sz w:val="10"/>
        </w:rPr>
      </w:pPr>
    </w:p>
    <w:p w:rsidR="00343E61" w:rsidRPr="00903A82" w:rsidRDefault="00343E61" w:rsidP="00343E61">
      <w:pPr>
        <w:pStyle w:val="SingleTxt"/>
      </w:pPr>
      <w:r w:rsidRPr="00903A82">
        <w:t>83.</w:t>
      </w:r>
      <w:r w:rsidRPr="00903A82">
        <w:tab/>
      </w:r>
      <w:r>
        <w:t>На своей</w:t>
      </w:r>
      <w:r w:rsidRPr="00903A82">
        <w:t xml:space="preserve"> девяносто девятой сессии Рабочая группа </w:t>
      </w:r>
      <w:r>
        <w:t>сделала вывод о том</w:t>
      </w:r>
      <w:r w:rsidRPr="00903A82">
        <w:t>, что она располагает более 75% информации. Страны, которые указали только контактную информацию главного компетентного органа, могли бы представить более подробные сведения. Рабочая группа отметила, что для облегчения вза</w:t>
      </w:r>
      <w:r w:rsidRPr="00903A82">
        <w:t>и</w:t>
      </w:r>
      <w:r w:rsidRPr="00903A82">
        <w:t>модействия между Договаривающимися сторонами было бы полезно указать, по</w:t>
      </w:r>
      <w:r>
        <w:t> </w:t>
      </w:r>
      <w:r w:rsidRPr="00903A82">
        <w:t>крайней мере, адрес электронной почты. Странам, не указавшим эти данные, предлагается сообщить секретариату ЕЭК адреса органов и назначенных ими о</w:t>
      </w:r>
      <w:r w:rsidRPr="00903A82">
        <w:t>р</w:t>
      </w:r>
      <w:r w:rsidRPr="00903A82">
        <w:t>ганизаций, обладающих компетенцией, согласно внутригосударственному зак</w:t>
      </w:r>
      <w:r w:rsidRPr="00903A82">
        <w:t>о</w:t>
      </w:r>
      <w:r w:rsidRPr="00903A82">
        <w:t xml:space="preserve">нодательству, в вопросах применения ДОПОГ, </w:t>
      </w:r>
      <w:r>
        <w:t>со ссылкой</w:t>
      </w:r>
      <w:r w:rsidRPr="00903A82">
        <w:t xml:space="preserve"> в каждом случае </w:t>
      </w:r>
      <w:r>
        <w:t xml:space="preserve">на </w:t>
      </w:r>
      <w:r w:rsidRPr="00903A82">
        <w:t xml:space="preserve">соответствующее положение ДОПОГ, а также адреса, по которым </w:t>
      </w:r>
      <w:r>
        <w:t>следует</w:t>
      </w:r>
      <w:r w:rsidRPr="00903A82">
        <w:t xml:space="preserve"> направлять соответствующие заявки. В </w:t>
      </w:r>
      <w:r>
        <w:t>надлежащих</w:t>
      </w:r>
      <w:r w:rsidRPr="00903A82">
        <w:t xml:space="preserve"> случаях странам предлаг</w:t>
      </w:r>
      <w:r w:rsidRPr="00903A82">
        <w:t>а</w:t>
      </w:r>
      <w:r w:rsidRPr="00903A82">
        <w:t>ется подтвердить, что компетенцией в отношении всех требований ДОПОГ обл</w:t>
      </w:r>
      <w:r w:rsidRPr="00903A82">
        <w:t>а</w:t>
      </w:r>
      <w:r w:rsidRPr="00903A82">
        <w:t>дает только главный компетентный орган.</w:t>
      </w:r>
    </w:p>
    <w:p w:rsidR="00343E61" w:rsidRPr="00903A82" w:rsidRDefault="00343E61" w:rsidP="00343E61">
      <w:pPr>
        <w:pStyle w:val="SingleTxt"/>
      </w:pPr>
      <w:r w:rsidRPr="00903A82">
        <w:lastRenderedPageBreak/>
        <w:t>84.</w:t>
      </w:r>
      <w:r w:rsidRPr="00903A82">
        <w:tab/>
        <w:t>Рабочая группа также предложила странам, не предоставившим образцы выдаваемых ими свидетельств ДОПОГ о подготовке водителей, сделать это или, в соответствующих случаях, подтвердить, что они не осуществляют выдачу т</w:t>
      </w:r>
      <w:r w:rsidRPr="00903A82">
        <w:t>а</w:t>
      </w:r>
      <w:r w:rsidRPr="00903A82">
        <w:t>ких свидетельств.</w:t>
      </w:r>
    </w:p>
    <w:p w:rsidR="00343E61" w:rsidRPr="004F778D" w:rsidRDefault="00343E61" w:rsidP="00343E61">
      <w:pPr>
        <w:pStyle w:val="SingleTxt"/>
        <w:spacing w:after="0" w:line="120" w:lineRule="exact"/>
        <w:rPr>
          <w:b/>
          <w:sz w:val="10"/>
        </w:rPr>
      </w:pPr>
    </w:p>
    <w:p w:rsidR="00343E61" w:rsidRPr="004F778D" w:rsidRDefault="00343E61" w:rsidP="00343E61">
      <w:pPr>
        <w:pStyle w:val="SingleTxt"/>
        <w:spacing w:after="0" w:line="120" w:lineRule="exact"/>
        <w:rPr>
          <w:b/>
          <w:sz w:val="10"/>
        </w:rPr>
      </w:pPr>
    </w:p>
    <w:p w:rsidR="00343E61" w:rsidRPr="00903A82" w:rsidRDefault="00343E61" w:rsidP="00343E6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03A82">
        <w:tab/>
      </w:r>
      <w:r w:rsidRPr="00903A82">
        <w:tab/>
        <w:t>Направление деятельности 10.a</w:t>
      </w:r>
      <w:r w:rsidRPr="00903A82">
        <w:br/>
        <w:t>Перевозка опасных грузов (ЭКОСОС)</w:t>
      </w:r>
    </w:p>
    <w:p w:rsidR="00343E61" w:rsidRPr="004F778D" w:rsidRDefault="00343E61" w:rsidP="00343E61">
      <w:pPr>
        <w:pStyle w:val="SingleTxt"/>
        <w:spacing w:after="0" w:line="120" w:lineRule="exact"/>
        <w:rPr>
          <w:sz w:val="10"/>
        </w:rPr>
      </w:pPr>
    </w:p>
    <w:p w:rsidR="00343E61" w:rsidRPr="004F778D" w:rsidRDefault="00343E61" w:rsidP="00343E61">
      <w:pPr>
        <w:pStyle w:val="SingleTxt"/>
        <w:spacing w:after="0" w:line="120" w:lineRule="exact"/>
        <w:rPr>
          <w:sz w:val="10"/>
        </w:rPr>
      </w:pPr>
    </w:p>
    <w:p w:rsidR="00343E61" w:rsidRPr="00903A82" w:rsidRDefault="00343E61" w:rsidP="00343E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903A82">
        <w:t>A.</w:t>
      </w:r>
      <w:r w:rsidRPr="00903A82">
        <w:tab/>
        <w:t>Ожидаемое достижение (ОД 10.а)</w:t>
      </w:r>
    </w:p>
    <w:p w:rsidR="00343E61" w:rsidRPr="004F778D" w:rsidRDefault="00343E61" w:rsidP="00343E61">
      <w:pPr>
        <w:pStyle w:val="SingleTxt"/>
        <w:spacing w:after="0" w:line="120" w:lineRule="exact"/>
        <w:rPr>
          <w:sz w:val="10"/>
        </w:rPr>
      </w:pPr>
    </w:p>
    <w:p w:rsidR="00343E61" w:rsidRPr="004F778D" w:rsidRDefault="00343E61" w:rsidP="00343E61">
      <w:pPr>
        <w:pStyle w:val="SingleTxt"/>
        <w:spacing w:after="0" w:line="120" w:lineRule="exact"/>
        <w:rPr>
          <w:sz w:val="10"/>
        </w:rPr>
      </w:pPr>
    </w:p>
    <w:p w:rsidR="00343E61" w:rsidRPr="00903A82" w:rsidRDefault="00343E61" w:rsidP="00343E61">
      <w:pPr>
        <w:pStyle w:val="SingleTxt"/>
      </w:pPr>
      <w:r w:rsidRPr="00903A82">
        <w:t>85.</w:t>
      </w:r>
      <w:r w:rsidRPr="00903A82">
        <w:tab/>
        <w:t>Принятие поправок к Рекомендациям Организации Объединенных Наций по перевозке опасных грузов (Типовые правила) и Руководству по испытаниям и критериям и выпуск новых рекомендаций в 2014 году, а также опубликование в 2015 году новых сводных вариантов Типовых правил и Руководства по испыт</w:t>
      </w:r>
      <w:r w:rsidRPr="00903A82">
        <w:t>а</w:t>
      </w:r>
      <w:r w:rsidRPr="00903A82">
        <w:t>ниям и критериям, включающих поправки и новые рекомендации.</w:t>
      </w:r>
    </w:p>
    <w:p w:rsidR="00343E61" w:rsidRPr="004F778D" w:rsidRDefault="00343E61" w:rsidP="00343E61">
      <w:pPr>
        <w:pStyle w:val="SingleTxt"/>
        <w:spacing w:after="0" w:line="120" w:lineRule="exact"/>
        <w:rPr>
          <w:sz w:val="10"/>
        </w:rPr>
      </w:pPr>
    </w:p>
    <w:p w:rsidR="00343E61" w:rsidRPr="004F778D" w:rsidRDefault="00343E61" w:rsidP="00343E61">
      <w:pPr>
        <w:pStyle w:val="SingleTxt"/>
        <w:spacing w:after="0" w:line="120" w:lineRule="exact"/>
        <w:rPr>
          <w:sz w:val="10"/>
        </w:rPr>
      </w:pPr>
    </w:p>
    <w:p w:rsidR="00343E61" w:rsidRPr="00903A82" w:rsidRDefault="00343E61" w:rsidP="00343E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03A82">
        <w:tab/>
        <w:t>B.</w:t>
      </w:r>
      <w:r w:rsidRPr="00903A82">
        <w:tab/>
        <w:t>Показатели достижения</w:t>
      </w:r>
    </w:p>
    <w:p w:rsidR="00343E61" w:rsidRPr="004F778D" w:rsidRDefault="00343E61" w:rsidP="00343E61">
      <w:pPr>
        <w:pStyle w:val="SingleTxt"/>
        <w:spacing w:after="0" w:line="120" w:lineRule="exact"/>
        <w:rPr>
          <w:sz w:val="10"/>
        </w:rPr>
      </w:pPr>
    </w:p>
    <w:p w:rsidR="00343E61" w:rsidRPr="004F778D" w:rsidRDefault="00343E61" w:rsidP="00343E61">
      <w:pPr>
        <w:pStyle w:val="SingleTxt"/>
        <w:spacing w:after="0" w:line="120" w:lineRule="exact"/>
        <w:rPr>
          <w:sz w:val="10"/>
        </w:rPr>
      </w:pPr>
    </w:p>
    <w:p w:rsidR="00343E61" w:rsidRPr="00903A82" w:rsidRDefault="00343E61" w:rsidP="00343E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03A82">
        <w:tab/>
        <w:t>1.</w:t>
      </w:r>
      <w:r w:rsidRPr="00903A82">
        <w:tab/>
        <w:t>Поправки к восемнадцатому пересмотренному изданию Типовых правил и</w:t>
      </w:r>
      <w:r>
        <w:t> </w:t>
      </w:r>
      <w:r w:rsidRPr="00903A82">
        <w:t>к</w:t>
      </w:r>
      <w:r>
        <w:t> </w:t>
      </w:r>
      <w:r w:rsidRPr="00903A82">
        <w:t>пятому пересмотренному изданию Руководства по испытаниям и</w:t>
      </w:r>
      <w:r>
        <w:t> </w:t>
      </w:r>
      <w:r w:rsidRPr="00903A82">
        <w:t>критериям, принятые в 2014 году (ПД 10.a. а))</w:t>
      </w:r>
    </w:p>
    <w:p w:rsidR="00343E61" w:rsidRPr="004F778D" w:rsidRDefault="00343E61" w:rsidP="00DE4412">
      <w:pPr>
        <w:pStyle w:val="SingleTxt"/>
        <w:spacing w:after="0" w:line="120" w:lineRule="exact"/>
        <w:ind w:left="360"/>
        <w:rPr>
          <w:i/>
          <w:sz w:val="10"/>
        </w:rPr>
      </w:pPr>
      <w:r w:rsidRPr="00903A82">
        <w:rPr>
          <w:i/>
        </w:rPr>
        <w:tab/>
      </w:r>
    </w:p>
    <w:p w:rsidR="00343E61" w:rsidRPr="00903A82" w:rsidRDefault="00343E61" w:rsidP="00343E6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903A82">
        <w:tab/>
        <w:t>Показатели результативности:</w:t>
      </w:r>
    </w:p>
    <w:p w:rsidR="00343E61" w:rsidRPr="004F778D" w:rsidRDefault="00343E61" w:rsidP="00343E61">
      <w:pPr>
        <w:pStyle w:val="SingleTxt"/>
        <w:spacing w:after="0" w:line="120" w:lineRule="exact"/>
        <w:rPr>
          <w:sz w:val="10"/>
        </w:rPr>
      </w:pPr>
    </w:p>
    <w:p w:rsidR="00343E61" w:rsidRPr="00903A82" w:rsidRDefault="00343E61" w:rsidP="00343E61">
      <w:pPr>
        <w:pStyle w:val="SingleTxt"/>
      </w:pPr>
      <w:r w:rsidRPr="00903A82">
        <w:t>Исходные показатели за 2012–2013 годы: 2 набора поправок</w:t>
      </w:r>
      <w:r>
        <w:t>.</w:t>
      </w:r>
    </w:p>
    <w:p w:rsidR="00343E61" w:rsidRPr="00903A82" w:rsidRDefault="00343E61" w:rsidP="00343E61">
      <w:pPr>
        <w:pStyle w:val="SingleTxt"/>
        <w:rPr>
          <w:b/>
        </w:rPr>
      </w:pPr>
      <w:r w:rsidRPr="00903A82">
        <w:t>Целевые показатели на 2014–2015 годы: 2 набора поправок</w:t>
      </w:r>
      <w:r>
        <w:t>.</w:t>
      </w:r>
      <w:r w:rsidRPr="00903A82">
        <w:t xml:space="preserve"> </w:t>
      </w:r>
    </w:p>
    <w:p w:rsidR="00343E61" w:rsidRPr="00903A82" w:rsidRDefault="00343E61" w:rsidP="00343E61">
      <w:pPr>
        <w:pStyle w:val="SingleTxt"/>
        <w:rPr>
          <w:b/>
          <w:bCs/>
        </w:rPr>
      </w:pPr>
      <w:r w:rsidRPr="00903A82">
        <w:rPr>
          <w:b/>
          <w:bCs/>
        </w:rPr>
        <w:t>Фактические показатели за 2014–2015 годы: 2 набора поправок (</w:t>
      </w:r>
      <w:r w:rsidRPr="00F431DF">
        <w:rPr>
          <w:b/>
          <w:bCs/>
        </w:rPr>
        <w:t>ST/SG/</w:t>
      </w:r>
      <w:r w:rsidRPr="00F431DF">
        <w:rPr>
          <w:b/>
          <w:bCs/>
        </w:rPr>
        <w:br/>
        <w:t>AC.10/42/Add.1</w:t>
      </w:r>
      <w:r w:rsidRPr="00903A82">
        <w:rPr>
          <w:b/>
          <w:bCs/>
        </w:rPr>
        <w:t xml:space="preserve">, </w:t>
      </w:r>
      <w:r w:rsidRPr="00F431DF">
        <w:rPr>
          <w:b/>
          <w:bCs/>
        </w:rPr>
        <w:t>ST/SG/AC.10/42/Add.2</w:t>
      </w:r>
      <w:r w:rsidRPr="00903A82">
        <w:rPr>
          <w:b/>
          <w:bCs/>
        </w:rPr>
        <w:t>)</w:t>
      </w:r>
      <w:r>
        <w:rPr>
          <w:b/>
          <w:bCs/>
        </w:rPr>
        <w:t>.</w:t>
      </w:r>
    </w:p>
    <w:p w:rsidR="00343E61" w:rsidRPr="004F778D" w:rsidRDefault="00343E61" w:rsidP="00343E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343E61" w:rsidRPr="00903A82" w:rsidRDefault="00343E61" w:rsidP="00343E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03A82">
        <w:tab/>
        <w:t>2.</w:t>
      </w:r>
      <w:r w:rsidRPr="00903A82">
        <w:tab/>
        <w:t>Опубликование девятнадцатого пересмотренного издания Типовых правил и</w:t>
      </w:r>
      <w:r>
        <w:t> </w:t>
      </w:r>
      <w:r w:rsidRPr="00903A82">
        <w:t>шестого пересмотренного издания Руководства (или поправки 3 к пятому пересмотренному изданию) до конца 2015 года (ПД 10.a. b))</w:t>
      </w:r>
    </w:p>
    <w:p w:rsidR="00343E61" w:rsidRPr="004F778D" w:rsidRDefault="00343E61" w:rsidP="00343E61">
      <w:pPr>
        <w:pStyle w:val="SingleTxt"/>
        <w:spacing w:after="0" w:line="120" w:lineRule="exact"/>
        <w:rPr>
          <w:sz w:val="10"/>
        </w:rPr>
      </w:pPr>
    </w:p>
    <w:p w:rsidR="00343E61" w:rsidRPr="00903A82" w:rsidRDefault="00343E61" w:rsidP="00343E61">
      <w:pPr>
        <w:pStyle w:val="SingleTxt"/>
      </w:pPr>
      <w:r w:rsidRPr="00903A82">
        <w:t>Исходные показатели за 2012–2013 годы: 1 Типовые правила, 1 поправка к Рук</w:t>
      </w:r>
      <w:r w:rsidRPr="00903A82">
        <w:t>о</w:t>
      </w:r>
      <w:r w:rsidRPr="00903A82">
        <w:t>водству</w:t>
      </w:r>
      <w:r>
        <w:t>.</w:t>
      </w:r>
    </w:p>
    <w:p w:rsidR="00343E61" w:rsidRPr="00903A82" w:rsidRDefault="00343E61" w:rsidP="00343E61">
      <w:pPr>
        <w:pStyle w:val="SingleTxt"/>
      </w:pPr>
      <w:r w:rsidRPr="00903A82">
        <w:t>Целевые показатели на 2014–2015 годы: 1 Типовые правила, 1 Руководство (или</w:t>
      </w:r>
      <w:r w:rsidR="00DE4412">
        <w:t> </w:t>
      </w:r>
      <w:r w:rsidRPr="00903A82">
        <w:t>поправка 3 к пятому пересмотренному изданию Руководства)</w:t>
      </w:r>
      <w:r>
        <w:t>.</w:t>
      </w:r>
    </w:p>
    <w:p w:rsidR="00343E61" w:rsidRPr="00903A82" w:rsidRDefault="00343E61" w:rsidP="00343E61">
      <w:pPr>
        <w:pStyle w:val="SingleTxt"/>
        <w:rPr>
          <w:b/>
          <w:bCs/>
        </w:rPr>
      </w:pPr>
      <w:r w:rsidRPr="00903A82">
        <w:rPr>
          <w:b/>
          <w:bCs/>
        </w:rPr>
        <w:t>Фактические показатели за 2014–2015 годы: Типовые правила (</w:t>
      </w:r>
      <w:r w:rsidRPr="00F431DF">
        <w:rPr>
          <w:b/>
          <w:bCs/>
        </w:rPr>
        <w:t>ST/SG/</w:t>
      </w:r>
      <w:r w:rsidRPr="00F431DF">
        <w:rPr>
          <w:b/>
          <w:bCs/>
        </w:rPr>
        <w:br/>
        <w:t>AC.10/1/Rev.19</w:t>
      </w:r>
      <w:r w:rsidRPr="00903A82">
        <w:rPr>
          <w:b/>
          <w:bCs/>
        </w:rPr>
        <w:t>, в продаже под № E.15.VIII.1); Руководство (</w:t>
      </w:r>
      <w:r w:rsidRPr="00F431DF">
        <w:rPr>
          <w:b/>
          <w:bCs/>
        </w:rPr>
        <w:t>ST/SG/</w:t>
      </w:r>
      <w:r w:rsidRPr="00F431DF">
        <w:rPr>
          <w:b/>
          <w:bCs/>
        </w:rPr>
        <w:br/>
        <w:t>AC.10/11/Rev.6</w:t>
      </w:r>
      <w:r w:rsidRPr="00903A82">
        <w:rPr>
          <w:b/>
          <w:bCs/>
        </w:rPr>
        <w:t>, в продаже под № E.15.VIII.3)</w:t>
      </w:r>
      <w:r>
        <w:rPr>
          <w:b/>
          <w:bCs/>
        </w:rPr>
        <w:t>.</w:t>
      </w:r>
    </w:p>
    <w:p w:rsidR="00343E61" w:rsidRPr="004F778D" w:rsidRDefault="00343E61" w:rsidP="00343E61">
      <w:pPr>
        <w:pStyle w:val="SingleTxt"/>
        <w:spacing w:after="0" w:line="120" w:lineRule="exact"/>
        <w:rPr>
          <w:sz w:val="10"/>
        </w:rPr>
      </w:pPr>
    </w:p>
    <w:p w:rsidR="00343E61" w:rsidRPr="004F778D" w:rsidRDefault="00343E61" w:rsidP="00343E61">
      <w:pPr>
        <w:pStyle w:val="SingleTxt"/>
        <w:spacing w:after="0" w:line="120" w:lineRule="exact"/>
        <w:rPr>
          <w:sz w:val="10"/>
        </w:rPr>
      </w:pPr>
    </w:p>
    <w:p w:rsidR="00343E61" w:rsidRPr="00903A82" w:rsidRDefault="00343E61" w:rsidP="00343E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03A82">
        <w:tab/>
        <w:t>C.</w:t>
      </w:r>
      <w:r w:rsidRPr="00903A82">
        <w:tab/>
        <w:t>Оценка результативности</w:t>
      </w:r>
    </w:p>
    <w:p w:rsidR="00343E61" w:rsidRPr="004F778D" w:rsidRDefault="00343E61" w:rsidP="00343E61">
      <w:pPr>
        <w:pStyle w:val="SingleTxt"/>
        <w:spacing w:after="0" w:line="120" w:lineRule="exact"/>
        <w:rPr>
          <w:sz w:val="10"/>
        </w:rPr>
      </w:pPr>
    </w:p>
    <w:p w:rsidR="00343E61" w:rsidRPr="0030507E" w:rsidRDefault="00343E61" w:rsidP="00343E61">
      <w:pPr>
        <w:pStyle w:val="SingleTxt"/>
        <w:spacing w:after="0" w:line="120" w:lineRule="exact"/>
        <w:rPr>
          <w:sz w:val="10"/>
        </w:rPr>
      </w:pPr>
    </w:p>
    <w:p w:rsidR="00343E61" w:rsidRPr="00903A82" w:rsidRDefault="00343E61" w:rsidP="00343E61">
      <w:pPr>
        <w:pStyle w:val="SingleTxt"/>
      </w:pPr>
      <w:r w:rsidRPr="00903A82">
        <w:t>86.</w:t>
      </w:r>
      <w:r w:rsidRPr="00903A82">
        <w:tab/>
        <w:t>Набор поправок к Типовым правилам Организации Объединенных Наций по перевозке опасных грузов и набор поправок к Руководству по испытаниям и критериям были утверждены Комитетом экспертов Экономического и Социал</w:t>
      </w:r>
      <w:r w:rsidRPr="00903A82">
        <w:t>ь</w:t>
      </w:r>
      <w:r w:rsidRPr="00903A82">
        <w:t>ного Совета по перевозке опасных грузов и Согласованной на глобальном уровне системе классификации опасности и маркировки химической продукции в дека</w:t>
      </w:r>
      <w:r w:rsidRPr="00903A82">
        <w:t>б</w:t>
      </w:r>
      <w:r w:rsidRPr="00903A82">
        <w:t>ре 2014 года</w:t>
      </w:r>
      <w:r>
        <w:t>, т.е.</w:t>
      </w:r>
      <w:r w:rsidRPr="00903A82">
        <w:t xml:space="preserve"> в конце двухгодичного рабочего периода 2013–2014 годов. По</w:t>
      </w:r>
      <w:r>
        <w:t> </w:t>
      </w:r>
      <w:r w:rsidRPr="00903A82">
        <w:t xml:space="preserve">просьбе Совета, </w:t>
      </w:r>
      <w:r>
        <w:t>изложенной</w:t>
      </w:r>
      <w:r w:rsidRPr="00903A82">
        <w:t xml:space="preserve"> в его резолюции 2015/7, эти поправки были о</w:t>
      </w:r>
      <w:r w:rsidRPr="00903A82">
        <w:t>т</w:t>
      </w:r>
      <w:r w:rsidRPr="00903A82">
        <w:t>ражены в пересмотренных изданиях Рекомендаций, Типовых правил (</w:t>
      </w:r>
      <w:r w:rsidRPr="00F431DF">
        <w:t>ST/SG/</w:t>
      </w:r>
      <w:r w:rsidRPr="00F431DF">
        <w:br/>
        <w:t>AC.10/1/Rev.19</w:t>
      </w:r>
      <w:r w:rsidRPr="00903A82">
        <w:t>) и Руководства по испытаниям и критериям (</w:t>
      </w:r>
      <w:r w:rsidRPr="00F431DF">
        <w:t>ST/SG/AC.10/</w:t>
      </w:r>
      <w:r w:rsidRPr="00F431DF">
        <w:br/>
      </w:r>
      <w:r w:rsidRPr="00F431DF">
        <w:lastRenderedPageBreak/>
        <w:t>11/Rev.6</w:t>
      </w:r>
      <w:r w:rsidRPr="00903A82">
        <w:t>) Организации Объединенных Наций, опубликованных секретариатом в 2015 году. В</w:t>
      </w:r>
      <w:r>
        <w:t> </w:t>
      </w:r>
      <w:r w:rsidRPr="00903A82">
        <w:t>текущ</w:t>
      </w:r>
      <w:r>
        <w:t>ий</w:t>
      </w:r>
      <w:r w:rsidRPr="00903A82">
        <w:t xml:space="preserve"> двухгодичн</w:t>
      </w:r>
      <w:r>
        <w:t>ый</w:t>
      </w:r>
      <w:r w:rsidRPr="00903A82">
        <w:t xml:space="preserve"> рабоч</w:t>
      </w:r>
      <w:r>
        <w:t>ий период</w:t>
      </w:r>
      <w:r w:rsidRPr="00903A82">
        <w:t xml:space="preserve"> 2015–2016 годов Подком</w:t>
      </w:r>
      <w:r w:rsidRPr="00903A82">
        <w:t>и</w:t>
      </w:r>
      <w:r w:rsidRPr="00903A82">
        <w:t>тет экспертов по пе</w:t>
      </w:r>
      <w:r>
        <w:t>ревозке опасных грузов приступает</w:t>
      </w:r>
      <w:r w:rsidRPr="00903A82">
        <w:t xml:space="preserve"> к обсуждению новых п</w:t>
      </w:r>
      <w:r w:rsidRPr="00903A82">
        <w:t>о</w:t>
      </w:r>
      <w:r w:rsidRPr="00903A82">
        <w:t>правок для принятия Комитетом в декабре 2016 года.</w:t>
      </w:r>
    </w:p>
    <w:p w:rsidR="00343E61" w:rsidRPr="006D498D" w:rsidRDefault="00343E61" w:rsidP="00343E61">
      <w:pPr>
        <w:pStyle w:val="SingleTxt"/>
        <w:spacing w:after="0" w:line="120" w:lineRule="exact"/>
        <w:rPr>
          <w:sz w:val="10"/>
        </w:rPr>
      </w:pPr>
    </w:p>
    <w:p w:rsidR="00343E61" w:rsidRPr="006D498D" w:rsidRDefault="00343E61" w:rsidP="00343E61">
      <w:pPr>
        <w:pStyle w:val="SingleTxt"/>
        <w:spacing w:after="0" w:line="120" w:lineRule="exact"/>
        <w:rPr>
          <w:sz w:val="10"/>
        </w:rPr>
      </w:pPr>
    </w:p>
    <w:p w:rsidR="00343E61" w:rsidRPr="00903A82" w:rsidRDefault="00343E61" w:rsidP="00343E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03A82">
        <w:tab/>
        <w:t>D.</w:t>
      </w:r>
      <w:r w:rsidRPr="00903A82">
        <w:tab/>
        <w:t>Извлеченные уроки/области, в которых необходимы улучшения</w:t>
      </w:r>
    </w:p>
    <w:p w:rsidR="00343E61" w:rsidRPr="006D498D" w:rsidRDefault="00343E61" w:rsidP="00343E61">
      <w:pPr>
        <w:pStyle w:val="SingleTxt"/>
        <w:spacing w:after="0" w:line="120" w:lineRule="exact"/>
        <w:rPr>
          <w:sz w:val="10"/>
        </w:rPr>
      </w:pPr>
    </w:p>
    <w:p w:rsidR="00343E61" w:rsidRPr="006D498D" w:rsidRDefault="00343E61" w:rsidP="00343E61">
      <w:pPr>
        <w:pStyle w:val="SingleTxt"/>
        <w:spacing w:after="0" w:line="120" w:lineRule="exact"/>
        <w:rPr>
          <w:sz w:val="10"/>
        </w:rPr>
      </w:pPr>
    </w:p>
    <w:p w:rsidR="00343E61" w:rsidRPr="00903A82" w:rsidRDefault="00343E61" w:rsidP="00343E61">
      <w:pPr>
        <w:pStyle w:val="SingleTxt"/>
      </w:pPr>
      <w:r w:rsidRPr="00903A82">
        <w:t>87.</w:t>
      </w:r>
      <w:r w:rsidRPr="00903A82">
        <w:tab/>
        <w:t>Подкомитет экспертов по перевозке опасных грузов по-прежнему активно занимается решением постоянно возникающих новых вопросов, связанных гла</w:t>
      </w:r>
      <w:r w:rsidRPr="00903A82">
        <w:t>в</w:t>
      </w:r>
      <w:r w:rsidRPr="00903A82">
        <w:t>ным образом с технологическими достижениями или практическим осуществл</w:t>
      </w:r>
      <w:r w:rsidRPr="00903A82">
        <w:t>е</w:t>
      </w:r>
      <w:r>
        <w:t>нием его</w:t>
      </w:r>
      <w:r w:rsidRPr="00903A82">
        <w:t xml:space="preserve"> действующих рекомендаций.</w:t>
      </w:r>
    </w:p>
    <w:p w:rsidR="00343E61" w:rsidRPr="006D498D" w:rsidRDefault="00343E61" w:rsidP="00343E61">
      <w:pPr>
        <w:pStyle w:val="SingleTxt"/>
        <w:spacing w:after="0" w:line="120" w:lineRule="exact"/>
        <w:rPr>
          <w:sz w:val="10"/>
        </w:rPr>
      </w:pPr>
    </w:p>
    <w:p w:rsidR="00343E61" w:rsidRPr="006D498D" w:rsidRDefault="00343E61" w:rsidP="00343E61">
      <w:pPr>
        <w:pStyle w:val="SingleTxt"/>
        <w:spacing w:after="0" w:line="120" w:lineRule="exact"/>
        <w:rPr>
          <w:sz w:val="10"/>
        </w:rPr>
      </w:pPr>
    </w:p>
    <w:p w:rsidR="00343E61" w:rsidRPr="00903A82" w:rsidRDefault="00343E61" w:rsidP="00343E6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03A82">
        <w:tab/>
      </w:r>
      <w:r w:rsidRPr="00903A82">
        <w:tab/>
        <w:t>Направление деятельности 10.b</w:t>
      </w:r>
      <w:r w:rsidRPr="00903A82">
        <w:br/>
        <w:t>Перевозка опасных грузов (ЭКОСОС)</w:t>
      </w:r>
    </w:p>
    <w:p w:rsidR="00343E61" w:rsidRPr="006D498D" w:rsidRDefault="00343E61" w:rsidP="00343E61">
      <w:pPr>
        <w:pStyle w:val="SingleTxt"/>
        <w:spacing w:after="0" w:line="120" w:lineRule="exact"/>
        <w:rPr>
          <w:sz w:val="10"/>
        </w:rPr>
      </w:pPr>
    </w:p>
    <w:p w:rsidR="00343E61" w:rsidRPr="006D498D" w:rsidRDefault="00343E61" w:rsidP="00343E61">
      <w:pPr>
        <w:pStyle w:val="SingleTxt"/>
        <w:spacing w:after="0" w:line="120" w:lineRule="exact"/>
        <w:rPr>
          <w:sz w:val="10"/>
        </w:rPr>
      </w:pPr>
    </w:p>
    <w:p w:rsidR="00343E61" w:rsidRPr="00903A82" w:rsidRDefault="00343E61" w:rsidP="00343E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03A82">
        <w:tab/>
        <w:t>A.</w:t>
      </w:r>
      <w:r w:rsidRPr="00903A82">
        <w:tab/>
        <w:t>Ожидаемое достижение (ОД 10.b)</w:t>
      </w:r>
    </w:p>
    <w:p w:rsidR="00343E61" w:rsidRPr="006D498D" w:rsidRDefault="00343E61" w:rsidP="00343E61">
      <w:pPr>
        <w:pStyle w:val="SingleTxt"/>
        <w:spacing w:after="0" w:line="120" w:lineRule="exact"/>
        <w:rPr>
          <w:sz w:val="10"/>
        </w:rPr>
      </w:pPr>
    </w:p>
    <w:p w:rsidR="00343E61" w:rsidRPr="006D498D" w:rsidRDefault="00343E61" w:rsidP="00343E61">
      <w:pPr>
        <w:pStyle w:val="SingleTxt"/>
        <w:spacing w:after="0" w:line="120" w:lineRule="exact"/>
        <w:rPr>
          <w:sz w:val="10"/>
        </w:rPr>
      </w:pPr>
    </w:p>
    <w:p w:rsidR="00343E61" w:rsidRPr="00903A82" w:rsidRDefault="00343E61" w:rsidP="00343E61">
      <w:pPr>
        <w:pStyle w:val="SingleTxt"/>
      </w:pPr>
      <w:r w:rsidRPr="00903A82">
        <w:t>88.</w:t>
      </w:r>
      <w:r w:rsidRPr="00903A82">
        <w:tab/>
        <w:t>Эффективное осуществление рекомендаций с помощью национальных и международных правовых документов.</w:t>
      </w:r>
    </w:p>
    <w:p w:rsidR="00343E61" w:rsidRPr="006D498D" w:rsidRDefault="00343E61" w:rsidP="00343E61">
      <w:pPr>
        <w:pStyle w:val="SingleTxt"/>
        <w:spacing w:after="0" w:line="120" w:lineRule="exact"/>
        <w:rPr>
          <w:sz w:val="10"/>
        </w:rPr>
      </w:pPr>
    </w:p>
    <w:p w:rsidR="00343E61" w:rsidRPr="006D498D" w:rsidRDefault="00343E61" w:rsidP="00343E61">
      <w:pPr>
        <w:pStyle w:val="SingleTxt"/>
        <w:spacing w:after="0" w:line="120" w:lineRule="exact"/>
        <w:rPr>
          <w:sz w:val="10"/>
        </w:rPr>
      </w:pPr>
    </w:p>
    <w:p w:rsidR="00343E61" w:rsidRPr="00903A82" w:rsidRDefault="00343E61" w:rsidP="00343E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03A82">
        <w:tab/>
        <w:t>B.</w:t>
      </w:r>
      <w:r w:rsidRPr="00903A82">
        <w:tab/>
        <w:t>Показатели достижения</w:t>
      </w:r>
    </w:p>
    <w:p w:rsidR="00343E61" w:rsidRPr="006D498D" w:rsidRDefault="00343E61" w:rsidP="00343E61">
      <w:pPr>
        <w:pStyle w:val="SingleTxt"/>
        <w:spacing w:after="0" w:line="120" w:lineRule="exact"/>
        <w:rPr>
          <w:sz w:val="10"/>
        </w:rPr>
      </w:pPr>
    </w:p>
    <w:p w:rsidR="00343E61" w:rsidRPr="006D498D" w:rsidRDefault="00343E61" w:rsidP="00343E61">
      <w:pPr>
        <w:pStyle w:val="SingleTxt"/>
        <w:spacing w:after="0" w:line="120" w:lineRule="exact"/>
        <w:rPr>
          <w:sz w:val="10"/>
        </w:rPr>
      </w:pPr>
    </w:p>
    <w:p w:rsidR="00343E61" w:rsidRPr="00903A82" w:rsidRDefault="00343E61" w:rsidP="00343E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03A82">
        <w:tab/>
        <w:t>1.</w:t>
      </w:r>
      <w:r w:rsidRPr="00903A82">
        <w:tab/>
        <w:t>Число поправок, внесенных в международные правовые документы с учетом Рекомендаций Организации Объединенных Наций по перевозке опасных грузов (Типовые правила) 2013 года (восемнадцатое пересмотренное издание) (ПД 10.b. а))</w:t>
      </w:r>
    </w:p>
    <w:p w:rsidR="00343E61" w:rsidRPr="006D498D" w:rsidRDefault="00343E61" w:rsidP="00343E61">
      <w:pPr>
        <w:pStyle w:val="SingleTxt"/>
        <w:numPr>
          <w:ilvl w:val="0"/>
          <w:numId w:val="11"/>
        </w:numPr>
        <w:spacing w:after="0" w:line="120" w:lineRule="exact"/>
        <w:rPr>
          <w:i/>
          <w:sz w:val="10"/>
        </w:rPr>
      </w:pPr>
      <w:r w:rsidRPr="00903A82">
        <w:rPr>
          <w:i/>
        </w:rPr>
        <w:tab/>
      </w:r>
    </w:p>
    <w:p w:rsidR="00343E61" w:rsidRPr="00903A82" w:rsidRDefault="00343E61" w:rsidP="00343E6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903A82">
        <w:tab/>
        <w:t>Показатели результативности:</w:t>
      </w:r>
    </w:p>
    <w:p w:rsidR="00343E61" w:rsidRPr="006D498D" w:rsidRDefault="00343E61" w:rsidP="00343E61">
      <w:pPr>
        <w:pStyle w:val="SingleTxt"/>
        <w:spacing w:after="0" w:line="120" w:lineRule="exact"/>
        <w:rPr>
          <w:sz w:val="10"/>
        </w:rPr>
      </w:pPr>
    </w:p>
    <w:p w:rsidR="00343E61" w:rsidRPr="00903A82" w:rsidRDefault="00343E61" w:rsidP="00343E61">
      <w:pPr>
        <w:pStyle w:val="SingleTxt"/>
      </w:pPr>
      <w:r w:rsidRPr="00903A82">
        <w:t>Исходные показатели за 2012–2013 годы: 6</w:t>
      </w:r>
      <w:r>
        <w:t>.</w:t>
      </w:r>
    </w:p>
    <w:p w:rsidR="00343E61" w:rsidRPr="00903A82" w:rsidRDefault="00343E61" w:rsidP="00343E61">
      <w:pPr>
        <w:pStyle w:val="SingleTxt"/>
      </w:pPr>
      <w:r w:rsidRPr="00903A82">
        <w:t>Целевые показатели на 2014–2015 годы: 6</w:t>
      </w:r>
      <w:r>
        <w:t>.</w:t>
      </w:r>
    </w:p>
    <w:p w:rsidR="00343E61" w:rsidRPr="00903A82" w:rsidRDefault="00343E61" w:rsidP="00343E61">
      <w:pPr>
        <w:pStyle w:val="SingleTxt"/>
        <w:rPr>
          <w:b/>
          <w:bCs/>
        </w:rPr>
      </w:pPr>
      <w:r w:rsidRPr="00903A82">
        <w:rPr>
          <w:b/>
          <w:bCs/>
        </w:rPr>
        <w:t>Фактические показатели за 2014–2015 годы: 6</w:t>
      </w:r>
      <w:r>
        <w:rPr>
          <w:b/>
          <w:bCs/>
        </w:rPr>
        <w:t>.</w:t>
      </w:r>
    </w:p>
    <w:p w:rsidR="00343E61" w:rsidRPr="006D498D" w:rsidRDefault="00343E61" w:rsidP="00343E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343E61" w:rsidRPr="00903A82" w:rsidRDefault="00343E61" w:rsidP="00343E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03A82">
        <w:tab/>
        <w:t>2.</w:t>
      </w:r>
      <w:r w:rsidRPr="00903A82">
        <w:tab/>
        <w:t>Число правительств, которые приняли требования последнего пересмотренного издания Рекомендаций Организации Объединенных Наций по перевозке опасных грузов (Типовые правила) для регулирования национальных перевозок внутренним транспортом (ПД 10.b. b))</w:t>
      </w:r>
    </w:p>
    <w:p w:rsidR="00343E61" w:rsidRPr="006D498D" w:rsidRDefault="00343E61" w:rsidP="00343E61">
      <w:pPr>
        <w:pStyle w:val="SingleTxt"/>
        <w:spacing w:after="0" w:line="120" w:lineRule="exact"/>
        <w:rPr>
          <w:sz w:val="10"/>
        </w:rPr>
      </w:pPr>
    </w:p>
    <w:p w:rsidR="00343E61" w:rsidRPr="00903A82" w:rsidRDefault="00343E61" w:rsidP="00343E61">
      <w:pPr>
        <w:pStyle w:val="SingleTxt"/>
      </w:pPr>
      <w:r w:rsidRPr="00903A82">
        <w:t>Исходные показатели за 2012–2013 годы: 38</w:t>
      </w:r>
      <w:r>
        <w:t>.</w:t>
      </w:r>
    </w:p>
    <w:p w:rsidR="00343E61" w:rsidRPr="00903A82" w:rsidRDefault="00343E61" w:rsidP="00343E61">
      <w:pPr>
        <w:pStyle w:val="SingleTxt"/>
      </w:pPr>
      <w:r w:rsidRPr="00903A82">
        <w:t>Целевые показатели на 2014–2015 годы: 38</w:t>
      </w:r>
      <w:r>
        <w:t>.</w:t>
      </w:r>
    </w:p>
    <w:p w:rsidR="00343E61" w:rsidRPr="00903A82" w:rsidRDefault="00343E61" w:rsidP="00343E61">
      <w:pPr>
        <w:pStyle w:val="SingleTxt"/>
        <w:rPr>
          <w:b/>
          <w:bCs/>
        </w:rPr>
      </w:pPr>
      <w:r w:rsidRPr="00903A82">
        <w:rPr>
          <w:b/>
          <w:bCs/>
        </w:rPr>
        <w:t>Фактические показатели за 2014–2015 годы: 38</w:t>
      </w:r>
      <w:r>
        <w:rPr>
          <w:b/>
          <w:bCs/>
        </w:rPr>
        <w:t>.</w:t>
      </w:r>
    </w:p>
    <w:p w:rsidR="00343E61" w:rsidRPr="006D498D" w:rsidRDefault="00343E61" w:rsidP="00343E61">
      <w:pPr>
        <w:pStyle w:val="SingleTxt"/>
        <w:spacing w:after="0" w:line="120" w:lineRule="exact"/>
        <w:rPr>
          <w:b/>
          <w:bCs/>
          <w:sz w:val="10"/>
        </w:rPr>
      </w:pPr>
    </w:p>
    <w:p w:rsidR="00343E61" w:rsidRPr="006D498D" w:rsidRDefault="00343E61" w:rsidP="00343E61">
      <w:pPr>
        <w:pStyle w:val="SingleTxt"/>
        <w:spacing w:after="0" w:line="120" w:lineRule="exact"/>
        <w:rPr>
          <w:b/>
          <w:bCs/>
          <w:sz w:val="10"/>
        </w:rPr>
      </w:pPr>
    </w:p>
    <w:p w:rsidR="00343E61" w:rsidRPr="00903A82" w:rsidRDefault="00343E61" w:rsidP="00343E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03A82">
        <w:tab/>
        <w:t>C.</w:t>
      </w:r>
      <w:r w:rsidRPr="00903A82">
        <w:tab/>
        <w:t>Оценка результативности</w:t>
      </w:r>
    </w:p>
    <w:p w:rsidR="00343E61" w:rsidRPr="006D498D" w:rsidRDefault="00343E61" w:rsidP="00343E61">
      <w:pPr>
        <w:pStyle w:val="SingleTxt"/>
        <w:spacing w:after="0" w:line="120" w:lineRule="exact"/>
        <w:rPr>
          <w:sz w:val="10"/>
        </w:rPr>
      </w:pPr>
    </w:p>
    <w:p w:rsidR="00343E61" w:rsidRPr="006D498D" w:rsidRDefault="00343E61" w:rsidP="00343E61">
      <w:pPr>
        <w:pStyle w:val="SingleTxt"/>
        <w:spacing w:after="0" w:line="120" w:lineRule="exact"/>
        <w:rPr>
          <w:sz w:val="10"/>
        </w:rPr>
      </w:pPr>
    </w:p>
    <w:p w:rsidR="00343E61" w:rsidRPr="00903A82" w:rsidRDefault="00343E61" w:rsidP="00343E61">
      <w:pPr>
        <w:pStyle w:val="SingleTxt"/>
      </w:pPr>
      <w:r w:rsidRPr="00903A82">
        <w:t>89.</w:t>
      </w:r>
      <w:r w:rsidRPr="00903A82">
        <w:tab/>
        <w:t>Все основные организации, занимающиеся разработкой положений о пер</w:t>
      </w:r>
      <w:r w:rsidRPr="00903A82">
        <w:t>е</w:t>
      </w:r>
      <w:r w:rsidRPr="00903A82">
        <w:t>возке опасных грузов, проанализировали новые и пересмотренные положения, содержащиеся в опубликованном в 2013 году восемнадцатом пересмотренном издании Типовых правил Организации Объединенных Наций. Они внесли соо</w:t>
      </w:r>
      <w:r w:rsidRPr="00903A82">
        <w:t>т</w:t>
      </w:r>
      <w:r w:rsidRPr="00903A82">
        <w:t>ветствующие изменения в свои правовые документы с целью обеспечить их по</w:t>
      </w:r>
      <w:r w:rsidRPr="00903A82">
        <w:t>л</w:t>
      </w:r>
      <w:r w:rsidRPr="00903A82">
        <w:t xml:space="preserve">ное взаимное соответствие и согласованность друг с другом; эти пересмотренные </w:t>
      </w:r>
      <w:r w:rsidRPr="00903A82">
        <w:lastRenderedPageBreak/>
        <w:t>документы, вступившие в силу одновременно с 1 января 2015 года, перечислены ниже:</w:t>
      </w:r>
    </w:p>
    <w:p w:rsidR="00343E61" w:rsidRPr="00903A82" w:rsidRDefault="00343E61" w:rsidP="00C76D71">
      <w:pPr>
        <w:pStyle w:val="Bullet1"/>
        <w:ind w:left="1743" w:hanging="130"/>
      </w:pPr>
      <w:r w:rsidRPr="00903A82">
        <w:t>Международная морская организация (ИМО): поправка 37−14 к Междун</w:t>
      </w:r>
      <w:r w:rsidRPr="00903A82">
        <w:t>а</w:t>
      </w:r>
      <w:r w:rsidRPr="00903A82">
        <w:t>родному кодексу морской перевозки опасных грузов;</w:t>
      </w:r>
    </w:p>
    <w:p w:rsidR="00343E61" w:rsidRPr="00903A82" w:rsidRDefault="00343E61" w:rsidP="00C76D71">
      <w:pPr>
        <w:pStyle w:val="Bullet1"/>
        <w:ind w:left="1743" w:hanging="130"/>
      </w:pPr>
      <w:r w:rsidRPr="00903A82">
        <w:t>Международная организация гражданской авиации (ИКАО): Технические инструкции по безопасной перевозке опасных грузов воздушным транспо</w:t>
      </w:r>
      <w:r w:rsidRPr="00903A82">
        <w:t>р</w:t>
      </w:r>
      <w:r w:rsidRPr="00903A82">
        <w:t>том, из</w:t>
      </w:r>
      <w:r>
        <w:t>дание 2015–2016 годов;</w:t>
      </w:r>
    </w:p>
    <w:p w:rsidR="00343E61" w:rsidRPr="00903A82" w:rsidRDefault="00343E61" w:rsidP="00C76D71">
      <w:pPr>
        <w:pStyle w:val="Bullet1"/>
        <w:ind w:left="1743" w:hanging="130"/>
      </w:pPr>
      <w:r w:rsidRPr="00903A82">
        <w:t>ЕЭК: Европейское соглашение о международной дорожной перевозке опа</w:t>
      </w:r>
      <w:r w:rsidRPr="00903A82">
        <w:t>с</w:t>
      </w:r>
      <w:r w:rsidRPr="00903A82">
        <w:t>ных грузов (издание ДОПОГ 2015 года); Европейское соглашение о межд</w:t>
      </w:r>
      <w:r w:rsidRPr="00903A82">
        <w:t>у</w:t>
      </w:r>
      <w:r w:rsidRPr="00903A82">
        <w:t>народной перевозке опасных грузов по внутренним водным путям (издание ВОПОГ 2015 года);</w:t>
      </w:r>
    </w:p>
    <w:p w:rsidR="00343E61" w:rsidRPr="00903A82" w:rsidRDefault="00343E61" w:rsidP="00C76D71">
      <w:pPr>
        <w:pStyle w:val="Bullet1"/>
        <w:ind w:left="1743" w:hanging="130"/>
      </w:pPr>
      <w:r w:rsidRPr="00903A82">
        <w:t>ОТИФ: Правила международной перевозки опасных грузов по железным дорогам (издание МПОГ 2015 года);</w:t>
      </w:r>
    </w:p>
    <w:p w:rsidR="00343E61" w:rsidRPr="00903A82" w:rsidRDefault="00343E61" w:rsidP="00C76D71">
      <w:pPr>
        <w:pStyle w:val="Bullet1"/>
        <w:ind w:left="1743" w:hanging="130"/>
      </w:pPr>
      <w:r w:rsidRPr="00903A82">
        <w:t>ЕС: директива 2008/68/EC с поправками, внесенными в нее согласно дире</w:t>
      </w:r>
      <w:r w:rsidRPr="00903A82">
        <w:t>к</w:t>
      </w:r>
      <w:r w:rsidRPr="00903A82">
        <w:t xml:space="preserve">тиве 2014/103/EU </w:t>
      </w:r>
      <w:r>
        <w:t>К</w:t>
      </w:r>
      <w:r w:rsidRPr="00903A82">
        <w:t>омиссии о применении положений ДОПОГ, МПОГ и ВОПОГ к перевозкам внутренним транспортом.</w:t>
      </w:r>
    </w:p>
    <w:p w:rsidR="00343E61" w:rsidRPr="00903A82" w:rsidRDefault="00343E61" w:rsidP="00343E61">
      <w:pPr>
        <w:pStyle w:val="SingleTxt"/>
      </w:pPr>
      <w:r w:rsidRPr="00903A82">
        <w:t>90.</w:t>
      </w:r>
      <w:r w:rsidRPr="00903A82">
        <w:tab/>
        <w:t xml:space="preserve">Положения восемнадцатого пересмотренного издания нашли отражение в национальном законодательстве о внутренних перевозках не менее 28 </w:t>
      </w:r>
      <w:proofErr w:type="spellStart"/>
      <w:r w:rsidRPr="00903A82">
        <w:t>госу</w:t>
      </w:r>
      <w:r>
        <w:t>-</w:t>
      </w:r>
      <w:r w:rsidRPr="00903A82">
        <w:t>дарств</w:t>
      </w:r>
      <w:proofErr w:type="spellEnd"/>
      <w:r w:rsidRPr="00903A82">
        <w:t xml:space="preserve"> − членов ЕС, а также Австралии, Исландии, Канады, Лихтенштейна, Н</w:t>
      </w:r>
      <w:r w:rsidRPr="00903A82">
        <w:t>о</w:t>
      </w:r>
      <w:r w:rsidRPr="00903A82">
        <w:t>вой Зеландии, Норвегии, Российской Федерации, Соединенных Штатов Америки</w:t>
      </w:r>
      <w:r>
        <w:t>,</w:t>
      </w:r>
      <w:r w:rsidRPr="00903A82">
        <w:t xml:space="preserve"> Турции </w:t>
      </w:r>
      <w:r>
        <w:t xml:space="preserve">и </w:t>
      </w:r>
      <w:r w:rsidRPr="00903A82">
        <w:t>Швейцарии (раздел 49 КФП), т.е. по крайней мере, 38 стран. Секрет</w:t>
      </w:r>
      <w:r w:rsidRPr="00903A82">
        <w:t>а</w:t>
      </w:r>
      <w:r w:rsidRPr="00903A82">
        <w:t>риат не располагает достаточными ресурсами для отслеживания точного статуса осуществления национальных положений во всех странах мира, в частности за пределами региона ЕЭК, но в 2016 году по просьбе Экономического и Социал</w:t>
      </w:r>
      <w:r w:rsidRPr="00903A82">
        <w:t>ь</w:t>
      </w:r>
      <w:r w:rsidRPr="00903A82">
        <w:t xml:space="preserve">ного Совета будет принимать меры </w:t>
      </w:r>
      <w:r>
        <w:t>для получения</w:t>
      </w:r>
      <w:r w:rsidRPr="00903A82">
        <w:t xml:space="preserve"> эт</w:t>
      </w:r>
      <w:r>
        <w:t>ой</w:t>
      </w:r>
      <w:r w:rsidRPr="00903A82">
        <w:t xml:space="preserve"> информаци</w:t>
      </w:r>
      <w:r>
        <w:t>и</w:t>
      </w:r>
      <w:r w:rsidRPr="00903A82">
        <w:t xml:space="preserve"> от всех го</w:t>
      </w:r>
      <w:r w:rsidRPr="00903A82">
        <w:t>с</w:t>
      </w:r>
      <w:r w:rsidRPr="00903A82">
        <w:t>ударств</w:t>
      </w:r>
      <w:r>
        <w:t xml:space="preserve"> – </w:t>
      </w:r>
      <w:r w:rsidRPr="00903A82">
        <w:t xml:space="preserve">членов Организации Объединенных Наций. </w:t>
      </w:r>
    </w:p>
    <w:p w:rsidR="00343E61" w:rsidRPr="00903A82" w:rsidRDefault="00343E61" w:rsidP="00343E61">
      <w:pPr>
        <w:pStyle w:val="SingleTxt"/>
      </w:pPr>
      <w:r w:rsidRPr="00903A82">
        <w:t>91.</w:t>
      </w:r>
      <w:r w:rsidRPr="00903A82">
        <w:tab/>
        <w:t>В 2013 и 2014 годах Подкомитет экспертов Организации Объединенных Наций продолж</w:t>
      </w:r>
      <w:r>
        <w:t>и</w:t>
      </w:r>
      <w:r w:rsidRPr="00903A82">
        <w:t>л работу по обновлению своих рекомендаций и в декабре 2014</w:t>
      </w:r>
      <w:r>
        <w:t> </w:t>
      </w:r>
      <w:r w:rsidRPr="00903A82">
        <w:t>года принял два набора поправок к Типовым правилам и к Руководству по испытаниям и критериям, включенных в девятнадцатое пересмотренное издание Типовых правил и шестое пересмотренное издание Руководства по испытаниям и критериям. Эти поправки будут положены в основу намеченного на 2017 год о</w:t>
      </w:r>
      <w:r w:rsidRPr="00903A82">
        <w:t>б</w:t>
      </w:r>
      <w:r w:rsidRPr="00903A82">
        <w:t xml:space="preserve">новления международных и национальных правовых документов. 2015 год </w:t>
      </w:r>
      <w:r>
        <w:t>озн</w:t>
      </w:r>
      <w:r>
        <w:t>а</w:t>
      </w:r>
      <w:r>
        <w:t>меновался</w:t>
      </w:r>
      <w:r w:rsidRPr="00903A82">
        <w:t xml:space="preserve"> началом нового двухгодичного цикла работы.</w:t>
      </w:r>
    </w:p>
    <w:p w:rsidR="00343E61" w:rsidRPr="006D498D" w:rsidRDefault="00343E61" w:rsidP="00343E61">
      <w:pPr>
        <w:pStyle w:val="SingleTxt"/>
        <w:spacing w:after="0" w:line="120" w:lineRule="exact"/>
        <w:rPr>
          <w:b/>
          <w:bCs/>
          <w:sz w:val="10"/>
        </w:rPr>
      </w:pPr>
    </w:p>
    <w:p w:rsidR="00343E61" w:rsidRPr="006D498D" w:rsidRDefault="00343E61" w:rsidP="00343E61">
      <w:pPr>
        <w:pStyle w:val="SingleTxt"/>
        <w:spacing w:after="0" w:line="120" w:lineRule="exact"/>
        <w:rPr>
          <w:b/>
          <w:bCs/>
          <w:sz w:val="10"/>
        </w:rPr>
      </w:pPr>
    </w:p>
    <w:p w:rsidR="00343E61" w:rsidRPr="00903A82" w:rsidRDefault="00343E61" w:rsidP="00343E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03A82">
        <w:tab/>
        <w:t>D.</w:t>
      </w:r>
      <w:r w:rsidRPr="00903A82">
        <w:tab/>
        <w:t>Извлеченные уроки/области, в которых необходимы улучшения</w:t>
      </w:r>
    </w:p>
    <w:p w:rsidR="00343E61" w:rsidRPr="006D498D" w:rsidRDefault="00343E61" w:rsidP="00343E61">
      <w:pPr>
        <w:pStyle w:val="SingleTxt"/>
        <w:spacing w:after="0" w:line="120" w:lineRule="exact"/>
        <w:rPr>
          <w:sz w:val="10"/>
        </w:rPr>
      </w:pPr>
    </w:p>
    <w:p w:rsidR="00343E61" w:rsidRPr="006D498D" w:rsidRDefault="00343E61" w:rsidP="00343E61">
      <w:pPr>
        <w:pStyle w:val="SingleTxt"/>
        <w:spacing w:after="0" w:line="120" w:lineRule="exact"/>
        <w:rPr>
          <w:sz w:val="10"/>
        </w:rPr>
      </w:pPr>
    </w:p>
    <w:p w:rsidR="00343E61" w:rsidRPr="00903A82" w:rsidRDefault="00343E61" w:rsidP="00343E61">
      <w:pPr>
        <w:pStyle w:val="SingleTxt"/>
      </w:pPr>
      <w:r w:rsidRPr="00903A82">
        <w:t>92.</w:t>
      </w:r>
      <w:r w:rsidRPr="00903A82">
        <w:tab/>
        <w:t>Все основные международные организации, которые занимаются разрабо</w:t>
      </w:r>
      <w:r w:rsidRPr="00903A82">
        <w:t>т</w:t>
      </w:r>
      <w:r w:rsidRPr="00903A82">
        <w:t>кой правил международной перевозки опасных грузов (ИМО, ИКАО и ЕЭК), по-прежнему стремятся обеспечить осуществление Рекомендаций Организации Объединенных Наций посредством включения их положений в свои соотве</w:t>
      </w:r>
      <w:r w:rsidRPr="00903A82">
        <w:t>т</w:t>
      </w:r>
      <w:r w:rsidRPr="00903A82">
        <w:t>ствующие правовые документы. Это позволяет добиться не только высокого уровня безопасности международных перевозок всеми видами транспорта, рег</w:t>
      </w:r>
      <w:r w:rsidRPr="00903A82">
        <w:t>у</w:t>
      </w:r>
      <w:r w:rsidRPr="00903A82">
        <w:t>лируемых соответствующими правилами, но и согласованности таких правил. Во</w:t>
      </w:r>
      <w:r>
        <w:t> </w:t>
      </w:r>
      <w:r w:rsidRPr="00903A82">
        <w:t>многих странах, и в частности в странах, перечисленных в пункте 84 выше, эти рекомендации применяются к внутренним перевозкам и обновляются по мере обновления международных документов. Ситуация с их выполнением в странах, не являющихся членами ЕЭК, улучшается с каждым годом, особенно в госуда</w:t>
      </w:r>
      <w:r w:rsidRPr="00903A82">
        <w:t>р</w:t>
      </w:r>
      <w:r w:rsidRPr="00903A82">
        <w:t>ствах, участвующих в деятельности Подкомитета (например, в Китае, Японии, Австралии, Южной Африке и Бразилии), даже несмотря на то, что развива</w:t>
      </w:r>
      <w:r w:rsidRPr="00903A82">
        <w:t>ю</w:t>
      </w:r>
      <w:r w:rsidRPr="00903A82">
        <w:lastRenderedPageBreak/>
        <w:t>щимся странам обычно бывает нелегко поддерживать темп, заданный двухгоди</w:t>
      </w:r>
      <w:r w:rsidRPr="00903A82">
        <w:t>ч</w:t>
      </w:r>
      <w:r w:rsidRPr="00903A82">
        <w:t>ным циклом обновления. Хотя импортируемые этими странами опасные грузы ввозятся на условиях транспортировки, оговоренных в последнем издании Рек</w:t>
      </w:r>
      <w:r w:rsidRPr="00903A82">
        <w:t>о</w:t>
      </w:r>
      <w:r w:rsidRPr="00903A82">
        <w:t>мендаций Организации Объединенных Наций, их собственные национальные правила обычно обновляются реже, т.е. каждые пять−десять лет. Из-за нехватки ресурсов секретариату трудно следить за положением дел в странах, не относ</w:t>
      </w:r>
      <w:r w:rsidRPr="00903A82">
        <w:t>я</w:t>
      </w:r>
      <w:r w:rsidRPr="00903A82">
        <w:t>щихся к региону ЕЭК. Круг участников сессии Подкомитета свидетельствует о весьма высокой активности (от 120 до 170 делегатов на каждой сессии) приме</w:t>
      </w:r>
      <w:r w:rsidRPr="00903A82">
        <w:t>р</w:t>
      </w:r>
      <w:r w:rsidRPr="00903A82">
        <w:t>но 30 стран всех регионов, а также многих НПО (представляющих в основном химическую промышленность, транспортные организации и изготовителей уп</w:t>
      </w:r>
      <w:r w:rsidRPr="00903A82">
        <w:t>а</w:t>
      </w:r>
      <w:r w:rsidRPr="00903A82">
        <w:t xml:space="preserve">ковочных материалов/цистерн). Интерес к этой деятельности постоянно растет, что в свою очередь приводит к увеличению </w:t>
      </w:r>
      <w:r>
        <w:t>числа</w:t>
      </w:r>
      <w:r w:rsidRPr="00903A82">
        <w:t xml:space="preserve"> делегатов, количества пре</w:t>
      </w:r>
      <w:r w:rsidRPr="00903A82">
        <w:t>д</w:t>
      </w:r>
      <w:r w:rsidRPr="00903A82">
        <w:t>ставляемых документов и запросов о получении информации или о поддержке мероприятий по созданию потенциала, т.е. к непрерывному повышению рабочей нагрузки для подразделения секретариата, отвечающего за данное направление.</w:t>
      </w:r>
    </w:p>
    <w:p w:rsidR="00343E61" w:rsidRPr="006D498D" w:rsidRDefault="00343E61" w:rsidP="00343E61">
      <w:pPr>
        <w:pStyle w:val="SingleTxt"/>
        <w:spacing w:after="0" w:line="120" w:lineRule="exact"/>
        <w:rPr>
          <w:sz w:val="10"/>
        </w:rPr>
      </w:pPr>
    </w:p>
    <w:p w:rsidR="00343E61" w:rsidRPr="00EF58C6" w:rsidRDefault="00343E61" w:rsidP="00343E61">
      <w:pPr>
        <w:pStyle w:val="SingleTxt"/>
        <w:spacing w:after="0" w:line="120" w:lineRule="exact"/>
        <w:rPr>
          <w:sz w:val="10"/>
        </w:rPr>
      </w:pPr>
    </w:p>
    <w:p w:rsidR="00343E61" w:rsidRPr="00903A82" w:rsidRDefault="00343E61" w:rsidP="00343E6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03A82">
        <w:tab/>
      </w:r>
      <w:r w:rsidRPr="00903A82">
        <w:tab/>
        <w:t>Направление деятельности 11.a</w:t>
      </w:r>
      <w:r w:rsidRPr="00903A82">
        <w:br/>
        <w:t>Согласованная на глобальном уровне система классификации опасности и маркировки химической продукции (СГС)</w:t>
      </w:r>
    </w:p>
    <w:p w:rsidR="00343E61" w:rsidRPr="006D498D" w:rsidRDefault="00343E61" w:rsidP="00343E61">
      <w:pPr>
        <w:pStyle w:val="SingleTxt"/>
        <w:spacing w:after="0" w:line="120" w:lineRule="exact"/>
        <w:rPr>
          <w:sz w:val="10"/>
        </w:rPr>
      </w:pPr>
    </w:p>
    <w:p w:rsidR="00343E61" w:rsidRPr="006D498D" w:rsidRDefault="00343E61" w:rsidP="00343E61">
      <w:pPr>
        <w:pStyle w:val="SingleTxt"/>
        <w:spacing w:after="0" w:line="120" w:lineRule="exact"/>
        <w:rPr>
          <w:sz w:val="10"/>
        </w:rPr>
      </w:pPr>
    </w:p>
    <w:p w:rsidR="00343E61" w:rsidRPr="00903A82" w:rsidRDefault="00343E61" w:rsidP="00343E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03A82">
        <w:tab/>
        <w:t>A.</w:t>
      </w:r>
      <w:r w:rsidRPr="00903A82">
        <w:tab/>
        <w:t>Ожидаемое достижение (ОД 11.а)</w:t>
      </w:r>
    </w:p>
    <w:p w:rsidR="00343E61" w:rsidRPr="006D498D" w:rsidRDefault="00343E61" w:rsidP="00343E61">
      <w:pPr>
        <w:pStyle w:val="SingleTxt"/>
        <w:spacing w:after="0" w:line="120" w:lineRule="exact"/>
        <w:rPr>
          <w:sz w:val="10"/>
        </w:rPr>
      </w:pPr>
    </w:p>
    <w:p w:rsidR="00343E61" w:rsidRPr="006D498D" w:rsidRDefault="00343E61" w:rsidP="00343E61">
      <w:pPr>
        <w:pStyle w:val="SingleTxt"/>
        <w:spacing w:after="0" w:line="120" w:lineRule="exact"/>
        <w:rPr>
          <w:sz w:val="10"/>
        </w:rPr>
      </w:pPr>
    </w:p>
    <w:p w:rsidR="00343E61" w:rsidRPr="00903A82" w:rsidRDefault="00343E61" w:rsidP="00343E61">
      <w:pPr>
        <w:pStyle w:val="SingleTxt"/>
      </w:pPr>
      <w:r w:rsidRPr="00903A82">
        <w:t>93.</w:t>
      </w:r>
      <w:r w:rsidRPr="00903A82">
        <w:tab/>
        <w:t>Принятие поправок к Согласованной на глобальном уровне системе в целях дальнейшего уточнения или гармонизации существующих критериев классиф</w:t>
      </w:r>
      <w:r w:rsidRPr="00903A82">
        <w:t>и</w:t>
      </w:r>
      <w:r w:rsidRPr="00903A82">
        <w:t>кации и маркировки опасности или введения новых критериев, с тем чтобы с</w:t>
      </w:r>
      <w:r w:rsidRPr="00903A82">
        <w:t>о</w:t>
      </w:r>
      <w:r w:rsidRPr="00903A82">
        <w:t>хранить либо усилить единообразным, согласованным и последовательным обр</w:t>
      </w:r>
      <w:r w:rsidRPr="00903A82">
        <w:t>а</w:t>
      </w:r>
      <w:r w:rsidRPr="00903A82">
        <w:t>зом степень защиты окружающей среды и работников химических предприятий, а также лиц, занимающихся обработкой, перевозкой или использованием опасной химической продукции; содействие эффективному применению этого документа путем принятия международных и национальных правовых документов и опу</w:t>
      </w:r>
      <w:r w:rsidRPr="00903A82">
        <w:t>б</w:t>
      </w:r>
      <w:r w:rsidRPr="00903A82">
        <w:t>ликование в 2015 году шестого пересмотренного издания СГС.</w:t>
      </w:r>
    </w:p>
    <w:p w:rsidR="00343E61" w:rsidRPr="006D498D" w:rsidRDefault="00343E61" w:rsidP="00343E61">
      <w:pPr>
        <w:pStyle w:val="SingleTxt"/>
        <w:spacing w:after="0" w:line="120" w:lineRule="exact"/>
        <w:rPr>
          <w:sz w:val="10"/>
        </w:rPr>
      </w:pPr>
    </w:p>
    <w:p w:rsidR="00343E61" w:rsidRPr="006D498D" w:rsidRDefault="00343E61" w:rsidP="00343E61">
      <w:pPr>
        <w:pStyle w:val="SingleTxt"/>
        <w:spacing w:after="0" w:line="120" w:lineRule="exact"/>
        <w:rPr>
          <w:sz w:val="10"/>
        </w:rPr>
      </w:pPr>
    </w:p>
    <w:p w:rsidR="00343E61" w:rsidRPr="00903A82" w:rsidRDefault="00343E61" w:rsidP="00343E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03A82">
        <w:tab/>
        <w:t>B.</w:t>
      </w:r>
      <w:r w:rsidRPr="00903A82">
        <w:tab/>
        <w:t>Показатели достижения</w:t>
      </w:r>
    </w:p>
    <w:p w:rsidR="00343E61" w:rsidRPr="006D498D" w:rsidRDefault="00343E61" w:rsidP="00343E61">
      <w:pPr>
        <w:pStyle w:val="SingleTxt"/>
        <w:spacing w:after="0" w:line="120" w:lineRule="exact"/>
        <w:rPr>
          <w:sz w:val="10"/>
        </w:rPr>
      </w:pPr>
    </w:p>
    <w:p w:rsidR="00343E61" w:rsidRPr="00EF58C6" w:rsidRDefault="00343E61" w:rsidP="00343E61">
      <w:pPr>
        <w:pStyle w:val="SingleTxt"/>
        <w:spacing w:after="0" w:line="120" w:lineRule="exact"/>
        <w:rPr>
          <w:sz w:val="10"/>
        </w:rPr>
      </w:pPr>
    </w:p>
    <w:p w:rsidR="00343E61" w:rsidRPr="00903A82" w:rsidRDefault="00343E61" w:rsidP="00343E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03A82">
        <w:tab/>
        <w:t>1.</w:t>
      </w:r>
      <w:r w:rsidRPr="00903A82">
        <w:tab/>
        <w:t>Один набор поправок к СГС для принятия в 2014 году (ПД 11.a. a))</w:t>
      </w:r>
    </w:p>
    <w:p w:rsidR="00343E61" w:rsidRPr="006D498D" w:rsidRDefault="00343E61" w:rsidP="00343E61">
      <w:pPr>
        <w:pStyle w:val="SingleTxt"/>
        <w:numPr>
          <w:ilvl w:val="0"/>
          <w:numId w:val="11"/>
        </w:numPr>
        <w:spacing w:after="0" w:line="120" w:lineRule="exact"/>
        <w:rPr>
          <w:i/>
          <w:sz w:val="10"/>
        </w:rPr>
      </w:pPr>
      <w:r w:rsidRPr="00903A82">
        <w:rPr>
          <w:i/>
        </w:rPr>
        <w:tab/>
      </w:r>
    </w:p>
    <w:p w:rsidR="00343E61" w:rsidRPr="00903A82" w:rsidRDefault="00343E61" w:rsidP="00343E6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58C6">
        <w:tab/>
      </w:r>
      <w:r w:rsidRPr="00903A82">
        <w:tab/>
        <w:t>Показатели результативности:</w:t>
      </w:r>
    </w:p>
    <w:p w:rsidR="00343E61" w:rsidRPr="006D498D" w:rsidRDefault="00343E61" w:rsidP="00343E61">
      <w:pPr>
        <w:pStyle w:val="SingleTxt"/>
        <w:spacing w:after="0" w:line="120" w:lineRule="exact"/>
        <w:rPr>
          <w:sz w:val="10"/>
        </w:rPr>
      </w:pPr>
    </w:p>
    <w:p w:rsidR="00343E61" w:rsidRPr="006D498D" w:rsidRDefault="00343E61" w:rsidP="00343E61">
      <w:pPr>
        <w:pStyle w:val="SingleTxt"/>
      </w:pPr>
      <w:r w:rsidRPr="00903A82">
        <w:t>Исходные показатели за 2012–2013 годы: 1 набор поправок</w:t>
      </w:r>
      <w:r>
        <w:t>.</w:t>
      </w:r>
    </w:p>
    <w:p w:rsidR="00343E61" w:rsidRPr="006D498D" w:rsidRDefault="00343E61" w:rsidP="00343E61">
      <w:pPr>
        <w:pStyle w:val="SingleTxt"/>
      </w:pPr>
      <w:r w:rsidRPr="00903A82">
        <w:t>Целевые показатели на 2014–2015 годы: 1 набор поправок</w:t>
      </w:r>
      <w:r>
        <w:t>.</w:t>
      </w:r>
    </w:p>
    <w:p w:rsidR="00343E61" w:rsidRPr="006D498D" w:rsidRDefault="00343E61" w:rsidP="00343E61">
      <w:pPr>
        <w:pStyle w:val="SingleTxt"/>
        <w:rPr>
          <w:b/>
          <w:bCs/>
        </w:rPr>
      </w:pPr>
      <w:r w:rsidRPr="00903A82">
        <w:rPr>
          <w:b/>
          <w:bCs/>
        </w:rPr>
        <w:t>Фактические показатели за 2012–2013 годы: 1 набор поправок</w:t>
      </w:r>
      <w:r>
        <w:rPr>
          <w:b/>
          <w:bCs/>
        </w:rPr>
        <w:t>.</w:t>
      </w:r>
    </w:p>
    <w:p w:rsidR="00343E61" w:rsidRPr="006D498D" w:rsidRDefault="00343E61" w:rsidP="00343E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r w:rsidRPr="00903A82">
        <w:tab/>
      </w:r>
    </w:p>
    <w:p w:rsidR="00343E61" w:rsidRPr="00903A82" w:rsidRDefault="00343E61" w:rsidP="00343E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0507E">
        <w:tab/>
      </w:r>
      <w:r w:rsidRPr="00903A82">
        <w:t>2.</w:t>
      </w:r>
      <w:r w:rsidRPr="00903A82">
        <w:tab/>
        <w:t>Опубликование шестого пересмотренного издания С</w:t>
      </w:r>
      <w:r>
        <w:t xml:space="preserve">ГС до конца 2015 года (ПД 11.a. </w:t>
      </w:r>
      <w:r w:rsidRPr="00903A82">
        <w:t>b))</w:t>
      </w:r>
    </w:p>
    <w:p w:rsidR="00343E61" w:rsidRPr="006D498D" w:rsidRDefault="00343E61" w:rsidP="00343E61">
      <w:pPr>
        <w:pStyle w:val="SingleTxt"/>
        <w:numPr>
          <w:ilvl w:val="0"/>
          <w:numId w:val="11"/>
        </w:numPr>
        <w:spacing w:after="0" w:line="120" w:lineRule="exact"/>
        <w:rPr>
          <w:i/>
          <w:sz w:val="10"/>
        </w:rPr>
      </w:pPr>
      <w:r w:rsidRPr="00903A82">
        <w:rPr>
          <w:i/>
        </w:rPr>
        <w:tab/>
      </w:r>
    </w:p>
    <w:p w:rsidR="00343E61" w:rsidRPr="00903A82" w:rsidRDefault="00343E61" w:rsidP="00343E6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D2B3E">
        <w:tab/>
      </w:r>
      <w:r w:rsidRPr="00903A82">
        <w:tab/>
        <w:t>Показатели результативности:</w:t>
      </w:r>
    </w:p>
    <w:p w:rsidR="00343E61" w:rsidRPr="006D498D" w:rsidRDefault="00343E61" w:rsidP="00343E61">
      <w:pPr>
        <w:pStyle w:val="SingleTxt"/>
        <w:spacing w:after="0" w:line="120" w:lineRule="exact"/>
        <w:rPr>
          <w:sz w:val="10"/>
        </w:rPr>
      </w:pPr>
    </w:p>
    <w:p w:rsidR="00343E61" w:rsidRPr="006D498D" w:rsidRDefault="00343E61" w:rsidP="00343E61">
      <w:pPr>
        <w:pStyle w:val="SingleTxt"/>
      </w:pPr>
      <w:r w:rsidRPr="00903A82">
        <w:t>Исходные показатели за 2012–2013 годы: 1 СГС</w:t>
      </w:r>
      <w:r>
        <w:t>.</w:t>
      </w:r>
    </w:p>
    <w:p w:rsidR="00343E61" w:rsidRPr="006D498D" w:rsidRDefault="00343E61" w:rsidP="00343E61">
      <w:pPr>
        <w:pStyle w:val="SingleTxt"/>
      </w:pPr>
      <w:r w:rsidRPr="00903A82">
        <w:t>Целевые показатели на 2014–2015 годы: 1 СГС</w:t>
      </w:r>
      <w:r>
        <w:t>.</w:t>
      </w:r>
    </w:p>
    <w:p w:rsidR="00343E61" w:rsidRPr="006D498D" w:rsidRDefault="00343E61" w:rsidP="00343E61">
      <w:pPr>
        <w:pStyle w:val="SingleTxt"/>
        <w:rPr>
          <w:b/>
          <w:bCs/>
        </w:rPr>
      </w:pPr>
      <w:r w:rsidRPr="00903A82">
        <w:rPr>
          <w:b/>
          <w:bCs/>
        </w:rPr>
        <w:t>Фактические показатели за 2014–2015 годы: 1 СГС</w:t>
      </w:r>
      <w:r>
        <w:rPr>
          <w:b/>
          <w:bCs/>
        </w:rPr>
        <w:t>.</w:t>
      </w:r>
    </w:p>
    <w:p w:rsidR="00343E61" w:rsidRPr="000D2B3E" w:rsidRDefault="00343E61" w:rsidP="00343E61">
      <w:pPr>
        <w:pStyle w:val="SingleTxt"/>
        <w:spacing w:after="0" w:line="120" w:lineRule="exact"/>
        <w:rPr>
          <w:sz w:val="10"/>
        </w:rPr>
      </w:pPr>
    </w:p>
    <w:p w:rsidR="00343E61" w:rsidRPr="000D2B3E" w:rsidRDefault="00343E61" w:rsidP="00343E61">
      <w:pPr>
        <w:pStyle w:val="SingleTxt"/>
        <w:spacing w:after="0" w:line="120" w:lineRule="exact"/>
        <w:rPr>
          <w:sz w:val="10"/>
        </w:rPr>
      </w:pPr>
    </w:p>
    <w:p w:rsidR="00343E61" w:rsidRPr="00903A82" w:rsidRDefault="00343E61" w:rsidP="00343E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03A82">
        <w:lastRenderedPageBreak/>
        <w:tab/>
        <w:t>C.</w:t>
      </w:r>
      <w:r w:rsidRPr="00903A82">
        <w:tab/>
        <w:t>Оценка результативности</w:t>
      </w:r>
    </w:p>
    <w:p w:rsidR="00343E61" w:rsidRPr="000D2B3E" w:rsidRDefault="00343E61" w:rsidP="00343E61">
      <w:pPr>
        <w:pStyle w:val="SingleTxt"/>
        <w:spacing w:after="0" w:line="120" w:lineRule="exact"/>
        <w:rPr>
          <w:sz w:val="10"/>
        </w:rPr>
      </w:pPr>
    </w:p>
    <w:p w:rsidR="00343E61" w:rsidRPr="000D2B3E" w:rsidRDefault="00343E61" w:rsidP="00343E61">
      <w:pPr>
        <w:pStyle w:val="SingleTxt"/>
        <w:spacing w:after="0" w:line="120" w:lineRule="exact"/>
        <w:rPr>
          <w:sz w:val="10"/>
        </w:rPr>
      </w:pPr>
    </w:p>
    <w:p w:rsidR="00343E61" w:rsidRPr="00903A82" w:rsidRDefault="00343E61" w:rsidP="00343E61">
      <w:pPr>
        <w:pStyle w:val="SingleTxt"/>
      </w:pPr>
      <w:r w:rsidRPr="00903A82">
        <w:t>94.</w:t>
      </w:r>
      <w:r w:rsidRPr="00903A82">
        <w:tab/>
        <w:t>Набор поправок к СГС был принят Комитетом экспертов Экономического и Социального Совета по перевозке опасных грузов и Согласованной на глобал</w:t>
      </w:r>
      <w:r w:rsidRPr="00903A82">
        <w:t>ь</w:t>
      </w:r>
      <w:r w:rsidRPr="00903A82">
        <w:t>ном уровне системе классификации опасности и маркировки химической пр</w:t>
      </w:r>
      <w:r w:rsidRPr="00903A82">
        <w:t>о</w:t>
      </w:r>
      <w:r>
        <w:t xml:space="preserve">дукции в декабре 2014 года, т.е. </w:t>
      </w:r>
      <w:r w:rsidRPr="00903A82">
        <w:t>в конце его двух</w:t>
      </w:r>
      <w:r>
        <w:t>годичного рабочего периода 2013–</w:t>
      </w:r>
      <w:r w:rsidRPr="00903A82">
        <w:t>2014 годов. По просьбе Совета, высказанной в его резолюции 2015/7, эти поправки были отражены в шестом пересмотренном издании СГС, опубликова</w:t>
      </w:r>
      <w:r w:rsidRPr="00903A82">
        <w:t>н</w:t>
      </w:r>
      <w:r w:rsidRPr="00903A82">
        <w:t>ном секретариатом в 2015 году. В текущ</w:t>
      </w:r>
      <w:r>
        <w:t>ий</w:t>
      </w:r>
      <w:r w:rsidRPr="00903A82">
        <w:t xml:space="preserve"> двухгодичн</w:t>
      </w:r>
      <w:r>
        <w:t>ый</w:t>
      </w:r>
      <w:r w:rsidRPr="00903A82">
        <w:t xml:space="preserve"> рабоч</w:t>
      </w:r>
      <w:r>
        <w:t>ий период</w:t>
      </w:r>
      <w:r w:rsidRPr="00903A82">
        <w:t xml:space="preserve"> </w:t>
      </w:r>
      <w:r>
        <w:br/>
      </w:r>
      <w:r w:rsidRPr="00903A82">
        <w:t>2015–2016 годов Подкомитет экспертов по Согласованной на глобальном уровне системе классификации опасности и маркировки химической продукции прист</w:t>
      </w:r>
      <w:r w:rsidRPr="00903A82">
        <w:t>у</w:t>
      </w:r>
      <w:r>
        <w:t>пает</w:t>
      </w:r>
      <w:r w:rsidRPr="00903A82">
        <w:t xml:space="preserve"> к обсуждению новых поправок для принятия Комитетом в декабре 2016 г</w:t>
      </w:r>
      <w:r w:rsidRPr="00903A82">
        <w:t>о</w:t>
      </w:r>
      <w:r w:rsidRPr="00903A82">
        <w:t>да.</w:t>
      </w:r>
    </w:p>
    <w:p w:rsidR="00343E61" w:rsidRPr="000D2B3E" w:rsidRDefault="00343E61" w:rsidP="00343E61">
      <w:pPr>
        <w:pStyle w:val="SingleTxt"/>
        <w:spacing w:after="0" w:line="120" w:lineRule="exact"/>
        <w:rPr>
          <w:sz w:val="10"/>
        </w:rPr>
      </w:pPr>
    </w:p>
    <w:p w:rsidR="00343E61" w:rsidRPr="000D2B3E" w:rsidRDefault="00343E61" w:rsidP="00343E61">
      <w:pPr>
        <w:pStyle w:val="SingleTxt"/>
        <w:spacing w:after="0" w:line="120" w:lineRule="exact"/>
        <w:rPr>
          <w:sz w:val="10"/>
        </w:rPr>
      </w:pPr>
    </w:p>
    <w:p w:rsidR="00343E61" w:rsidRPr="00903A82" w:rsidRDefault="00343E61" w:rsidP="00343E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903A82">
        <w:t>D.</w:t>
      </w:r>
      <w:r w:rsidRPr="00903A82">
        <w:tab/>
        <w:t>Извлеченные уроки/области, в которых необходимы улучшения</w:t>
      </w:r>
    </w:p>
    <w:p w:rsidR="00343E61" w:rsidRPr="000D2B3E" w:rsidRDefault="00343E61" w:rsidP="00343E61">
      <w:pPr>
        <w:pStyle w:val="SingleTxt"/>
        <w:spacing w:after="0" w:line="120" w:lineRule="exact"/>
        <w:rPr>
          <w:sz w:val="10"/>
        </w:rPr>
      </w:pPr>
    </w:p>
    <w:p w:rsidR="00343E61" w:rsidRPr="000D2B3E" w:rsidRDefault="00343E61" w:rsidP="00343E61">
      <w:pPr>
        <w:pStyle w:val="SingleTxt"/>
        <w:spacing w:after="0" w:line="120" w:lineRule="exact"/>
        <w:rPr>
          <w:sz w:val="10"/>
        </w:rPr>
      </w:pPr>
    </w:p>
    <w:p w:rsidR="00343E61" w:rsidRPr="00903A82" w:rsidRDefault="00343E61" w:rsidP="00343E61">
      <w:pPr>
        <w:pStyle w:val="SingleTxt"/>
      </w:pPr>
      <w:r w:rsidRPr="00903A82">
        <w:t>95.</w:t>
      </w:r>
      <w:r w:rsidRPr="00903A82">
        <w:tab/>
        <w:t xml:space="preserve">С </w:t>
      </w:r>
      <w:r>
        <w:t>постепенным</w:t>
      </w:r>
      <w:r w:rsidRPr="00903A82">
        <w:t xml:space="preserve"> ростом числа стран, применяющих СГС (в настоящее время 51 страна), увеличиваются и объемы представляемой многими странами инфо</w:t>
      </w:r>
      <w:r w:rsidRPr="00903A82">
        <w:t>р</w:t>
      </w:r>
      <w:r w:rsidRPr="00903A82">
        <w:t>мации о практических трудностях внедрения этой системы, которые Подкомит</w:t>
      </w:r>
      <w:r w:rsidRPr="00903A82">
        <w:t>е</w:t>
      </w:r>
      <w:r w:rsidRPr="00903A82">
        <w:t>ту экспертов необходимо устранять посредством принятия поправок к СГС.</w:t>
      </w:r>
    </w:p>
    <w:p w:rsidR="00343E61" w:rsidRPr="000D2B3E" w:rsidRDefault="00343E61" w:rsidP="00343E61">
      <w:pPr>
        <w:pStyle w:val="SingleTxt"/>
        <w:spacing w:after="0" w:line="120" w:lineRule="exact"/>
        <w:rPr>
          <w:sz w:val="10"/>
        </w:rPr>
      </w:pPr>
    </w:p>
    <w:p w:rsidR="00343E61" w:rsidRPr="000D2B3E" w:rsidRDefault="00343E61" w:rsidP="00343E61">
      <w:pPr>
        <w:pStyle w:val="SingleTxt"/>
        <w:spacing w:after="0" w:line="120" w:lineRule="exact"/>
        <w:rPr>
          <w:sz w:val="10"/>
        </w:rPr>
      </w:pPr>
    </w:p>
    <w:p w:rsidR="00343E61" w:rsidRPr="00903A82" w:rsidRDefault="00343E61" w:rsidP="00343E6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03A82">
        <w:tab/>
      </w:r>
      <w:r w:rsidRPr="00903A82">
        <w:tab/>
        <w:t>Направление деятельности 11.b</w:t>
      </w:r>
      <w:r w:rsidRPr="00903A82">
        <w:br/>
        <w:t>Согласованная на глобальном уровне система классификации опасности и маркировки химической продукции (СГС)</w:t>
      </w:r>
    </w:p>
    <w:p w:rsidR="00343E61" w:rsidRPr="000D2B3E" w:rsidRDefault="00343E61" w:rsidP="00343E61">
      <w:pPr>
        <w:pStyle w:val="SingleTxt"/>
        <w:spacing w:after="0" w:line="120" w:lineRule="exact"/>
        <w:rPr>
          <w:sz w:val="10"/>
        </w:rPr>
      </w:pPr>
    </w:p>
    <w:p w:rsidR="00343E61" w:rsidRPr="000D2B3E" w:rsidRDefault="00343E61" w:rsidP="00343E61">
      <w:pPr>
        <w:pStyle w:val="SingleTxt"/>
        <w:spacing w:after="0" w:line="120" w:lineRule="exact"/>
        <w:rPr>
          <w:sz w:val="10"/>
        </w:rPr>
      </w:pPr>
    </w:p>
    <w:p w:rsidR="00343E61" w:rsidRPr="00903A82" w:rsidRDefault="00343E61" w:rsidP="00343E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03A82">
        <w:tab/>
        <w:t>A.</w:t>
      </w:r>
      <w:r w:rsidRPr="00903A82">
        <w:tab/>
        <w:t>Ожидаемое достижение (ОД 11.b)</w:t>
      </w:r>
    </w:p>
    <w:p w:rsidR="00343E61" w:rsidRPr="000D2B3E" w:rsidRDefault="00343E61" w:rsidP="00343E61">
      <w:pPr>
        <w:pStyle w:val="SingleTxt"/>
        <w:spacing w:after="0" w:line="120" w:lineRule="exact"/>
        <w:rPr>
          <w:sz w:val="10"/>
        </w:rPr>
      </w:pPr>
    </w:p>
    <w:p w:rsidR="00343E61" w:rsidRPr="0030507E" w:rsidRDefault="00343E61" w:rsidP="00343E61">
      <w:pPr>
        <w:pStyle w:val="SingleTxt"/>
        <w:spacing w:after="0" w:line="120" w:lineRule="exact"/>
        <w:rPr>
          <w:sz w:val="10"/>
        </w:rPr>
      </w:pPr>
    </w:p>
    <w:p w:rsidR="00343E61" w:rsidRPr="00903A82" w:rsidRDefault="00343E61" w:rsidP="00343E61">
      <w:pPr>
        <w:pStyle w:val="SingleTxt"/>
      </w:pPr>
      <w:r w:rsidRPr="00903A82">
        <w:t>96.</w:t>
      </w:r>
      <w:r w:rsidRPr="00903A82">
        <w:tab/>
        <w:t>Эффективное внедрение СГС на основе национальных и международных правовых документов</w:t>
      </w:r>
      <w:r>
        <w:t>.</w:t>
      </w:r>
    </w:p>
    <w:p w:rsidR="00343E61" w:rsidRPr="000D2B3E" w:rsidRDefault="00343E61" w:rsidP="00343E61">
      <w:pPr>
        <w:pStyle w:val="SingleTxt"/>
        <w:spacing w:after="0" w:line="120" w:lineRule="exact"/>
        <w:rPr>
          <w:b/>
          <w:sz w:val="10"/>
        </w:rPr>
      </w:pPr>
    </w:p>
    <w:p w:rsidR="00343E61" w:rsidRPr="000D2B3E" w:rsidRDefault="00343E61" w:rsidP="00343E61">
      <w:pPr>
        <w:pStyle w:val="SingleTxt"/>
        <w:spacing w:after="0" w:line="120" w:lineRule="exact"/>
        <w:rPr>
          <w:b/>
          <w:sz w:val="10"/>
        </w:rPr>
      </w:pPr>
    </w:p>
    <w:p w:rsidR="00343E61" w:rsidRPr="00903A82" w:rsidRDefault="00343E61" w:rsidP="00343E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03A82">
        <w:tab/>
        <w:t>B.</w:t>
      </w:r>
      <w:r w:rsidRPr="00903A82">
        <w:tab/>
        <w:t>Показатели достижения</w:t>
      </w:r>
    </w:p>
    <w:p w:rsidR="00343E61" w:rsidRPr="000D2B3E" w:rsidRDefault="00343E61" w:rsidP="00343E61">
      <w:pPr>
        <w:pStyle w:val="SingleTxt"/>
        <w:spacing w:after="0" w:line="120" w:lineRule="exact"/>
        <w:rPr>
          <w:b/>
          <w:sz w:val="10"/>
        </w:rPr>
      </w:pPr>
    </w:p>
    <w:p w:rsidR="00343E61" w:rsidRPr="000D2B3E" w:rsidRDefault="00343E61" w:rsidP="00343E61">
      <w:pPr>
        <w:pStyle w:val="SingleTxt"/>
        <w:spacing w:after="0" w:line="120" w:lineRule="exact"/>
        <w:rPr>
          <w:b/>
          <w:sz w:val="10"/>
        </w:rPr>
      </w:pPr>
    </w:p>
    <w:p w:rsidR="00343E61" w:rsidRPr="00903A82" w:rsidRDefault="00343E61" w:rsidP="00343E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03A82">
        <w:tab/>
        <w:t>1.</w:t>
      </w:r>
      <w:r w:rsidRPr="00903A82">
        <w:tab/>
        <w:t>Число международных правовых документов, кодексов, руководств или стандартов, которые были приняты или изменены с учетом положений СГС (ПД 11.b. а))</w:t>
      </w:r>
    </w:p>
    <w:p w:rsidR="00343E61" w:rsidRPr="000D2B3E" w:rsidRDefault="00343E61" w:rsidP="00343E61">
      <w:pPr>
        <w:pStyle w:val="SingleTxt"/>
        <w:numPr>
          <w:ilvl w:val="0"/>
          <w:numId w:val="11"/>
        </w:numPr>
        <w:spacing w:after="0" w:line="120" w:lineRule="exact"/>
        <w:rPr>
          <w:i/>
          <w:sz w:val="10"/>
        </w:rPr>
      </w:pPr>
      <w:r w:rsidRPr="00903A82">
        <w:rPr>
          <w:i/>
        </w:rPr>
        <w:tab/>
      </w:r>
    </w:p>
    <w:p w:rsidR="00343E61" w:rsidRPr="00903A82" w:rsidRDefault="00343E61" w:rsidP="00343E6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903A82">
        <w:tab/>
        <w:t>Показатели результативности:</w:t>
      </w:r>
    </w:p>
    <w:p w:rsidR="00343E61" w:rsidRPr="000D2B3E" w:rsidRDefault="00343E61" w:rsidP="00343E61">
      <w:pPr>
        <w:pStyle w:val="SingleTxt"/>
        <w:spacing w:after="0" w:line="120" w:lineRule="exact"/>
        <w:rPr>
          <w:sz w:val="10"/>
        </w:rPr>
      </w:pPr>
    </w:p>
    <w:p w:rsidR="00343E61" w:rsidRPr="00903A82" w:rsidRDefault="00343E61" w:rsidP="00343E61">
      <w:pPr>
        <w:pStyle w:val="SingleTxt"/>
      </w:pPr>
      <w:r w:rsidRPr="00903A82">
        <w:t>Исходные показатели за 2012–2013 годы: 16</w:t>
      </w:r>
      <w:r>
        <w:t>.</w:t>
      </w:r>
    </w:p>
    <w:p w:rsidR="00343E61" w:rsidRPr="00903A82" w:rsidRDefault="00343E61" w:rsidP="00343E61">
      <w:pPr>
        <w:pStyle w:val="SingleTxt"/>
      </w:pPr>
      <w:r w:rsidRPr="00903A82">
        <w:t>Целевые показатели на 2014–2015 годы: 16</w:t>
      </w:r>
      <w:r>
        <w:t>.</w:t>
      </w:r>
    </w:p>
    <w:p w:rsidR="00343E61" w:rsidRPr="00903A82" w:rsidRDefault="00343E61" w:rsidP="00343E61">
      <w:pPr>
        <w:pStyle w:val="SingleTxt"/>
        <w:rPr>
          <w:b/>
          <w:bCs/>
        </w:rPr>
      </w:pPr>
      <w:r w:rsidRPr="00903A82">
        <w:rPr>
          <w:b/>
          <w:bCs/>
        </w:rPr>
        <w:t>Фактические показатели за 2014–2015 годы: 16</w:t>
      </w:r>
      <w:r>
        <w:rPr>
          <w:b/>
          <w:bCs/>
        </w:rPr>
        <w:t>.</w:t>
      </w:r>
    </w:p>
    <w:p w:rsidR="00343E61" w:rsidRPr="000D2B3E" w:rsidRDefault="00343E61" w:rsidP="00343E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r w:rsidRPr="00903A82">
        <w:tab/>
      </w:r>
    </w:p>
    <w:p w:rsidR="00343E61" w:rsidRPr="00903A82" w:rsidRDefault="00343E61" w:rsidP="00343E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903A82">
        <w:t>2.</w:t>
      </w:r>
      <w:r w:rsidRPr="00903A82">
        <w:tab/>
        <w:t>Число государств, правительства которых учли положения СГС и поправок к</w:t>
      </w:r>
      <w:r>
        <w:t> </w:t>
      </w:r>
      <w:r w:rsidRPr="00903A82">
        <w:t>ней в своих национальных системах нормативного регулирования, применимых к классификации и маркировке опасности химической продукции в других секторах, помимо транспорта (ПД 11.b. b))</w:t>
      </w:r>
    </w:p>
    <w:p w:rsidR="00343E61" w:rsidRPr="000D2B3E" w:rsidRDefault="00343E61" w:rsidP="00343E61">
      <w:pPr>
        <w:pStyle w:val="SingleTxt"/>
        <w:numPr>
          <w:ilvl w:val="0"/>
          <w:numId w:val="11"/>
        </w:numPr>
        <w:spacing w:after="0" w:line="120" w:lineRule="exact"/>
        <w:rPr>
          <w:i/>
          <w:sz w:val="10"/>
        </w:rPr>
      </w:pPr>
      <w:r w:rsidRPr="00903A82">
        <w:rPr>
          <w:i/>
        </w:rPr>
        <w:tab/>
      </w:r>
    </w:p>
    <w:p w:rsidR="00343E61" w:rsidRPr="00903A82" w:rsidRDefault="00343E61" w:rsidP="00343E6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903A82">
        <w:tab/>
        <w:t>Показатели результативности:</w:t>
      </w:r>
    </w:p>
    <w:p w:rsidR="00343E61" w:rsidRPr="000D2B3E" w:rsidRDefault="00343E61" w:rsidP="00343E61">
      <w:pPr>
        <w:pStyle w:val="SingleTxt"/>
        <w:spacing w:after="0" w:line="120" w:lineRule="exact"/>
        <w:rPr>
          <w:sz w:val="10"/>
        </w:rPr>
      </w:pPr>
    </w:p>
    <w:p w:rsidR="00343E61" w:rsidRPr="00903A82" w:rsidRDefault="00343E61" w:rsidP="00343E61">
      <w:pPr>
        <w:pStyle w:val="SingleTxt"/>
      </w:pPr>
      <w:r w:rsidRPr="00903A82">
        <w:t>Исходные показатели за 2012–2013 годы: 50</w:t>
      </w:r>
      <w:r>
        <w:t>.</w:t>
      </w:r>
    </w:p>
    <w:p w:rsidR="00343E61" w:rsidRPr="00903A82" w:rsidRDefault="00343E61" w:rsidP="00343E61">
      <w:pPr>
        <w:pStyle w:val="SingleTxt"/>
      </w:pPr>
      <w:r w:rsidRPr="00903A82">
        <w:t>Целевые показатели на 2014–2015 годы: 51</w:t>
      </w:r>
      <w:r>
        <w:t>.</w:t>
      </w:r>
    </w:p>
    <w:p w:rsidR="00343E61" w:rsidRPr="00903A82" w:rsidRDefault="00343E61" w:rsidP="00343E61">
      <w:pPr>
        <w:pStyle w:val="SingleTxt"/>
        <w:rPr>
          <w:b/>
          <w:bCs/>
        </w:rPr>
      </w:pPr>
      <w:r w:rsidRPr="00903A82">
        <w:rPr>
          <w:b/>
          <w:bCs/>
        </w:rPr>
        <w:lastRenderedPageBreak/>
        <w:t>Фактические показатели за 2014–2015 годы: 5</w:t>
      </w:r>
      <w:r>
        <w:rPr>
          <w:b/>
          <w:bCs/>
        </w:rPr>
        <w:t>.</w:t>
      </w:r>
    </w:p>
    <w:p w:rsidR="00343E61" w:rsidRPr="000A40A7" w:rsidRDefault="00343E61" w:rsidP="000A40A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sz w:val="10"/>
        </w:rPr>
      </w:pPr>
      <w:r w:rsidRPr="00903A82">
        <w:tab/>
      </w:r>
      <w:r>
        <w:tab/>
      </w:r>
    </w:p>
    <w:p w:rsidR="00343E61" w:rsidRPr="000D2B3E" w:rsidRDefault="00343E61" w:rsidP="00343E6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343E61" w:rsidRPr="00903A82" w:rsidRDefault="00343E61" w:rsidP="00343E6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rsidRPr="00903A82">
        <w:t>C.</w:t>
      </w:r>
      <w:r w:rsidRPr="00903A82">
        <w:tab/>
        <w:t>Оценка результативности</w:t>
      </w:r>
    </w:p>
    <w:p w:rsidR="00343E61" w:rsidRPr="000D2B3E" w:rsidRDefault="00343E61" w:rsidP="00343E61">
      <w:pPr>
        <w:pStyle w:val="SingleTxt"/>
        <w:spacing w:after="0" w:line="120" w:lineRule="exact"/>
        <w:rPr>
          <w:sz w:val="10"/>
        </w:rPr>
      </w:pPr>
    </w:p>
    <w:p w:rsidR="00343E61" w:rsidRPr="000D2B3E" w:rsidRDefault="00343E61" w:rsidP="00343E61">
      <w:pPr>
        <w:pStyle w:val="SingleTxt"/>
        <w:spacing w:after="0" w:line="120" w:lineRule="exact"/>
        <w:rPr>
          <w:sz w:val="10"/>
        </w:rPr>
      </w:pPr>
    </w:p>
    <w:p w:rsidR="00343E61" w:rsidRPr="00903A82" w:rsidRDefault="00343E61" w:rsidP="00343E61">
      <w:pPr>
        <w:pStyle w:val="SingleTxt"/>
      </w:pPr>
      <w:r w:rsidRPr="00903A82">
        <w:t>97.</w:t>
      </w:r>
      <w:r w:rsidRPr="00903A82">
        <w:tab/>
        <w:t>Учитывая необходимость в том, чтобы информация об опасных свойствах химических веществ носила согласованный характер и была легкодоступной в интересах более надежной защиты здоровья людей и окружающей среды, и пр</w:t>
      </w:r>
      <w:r w:rsidRPr="00903A82">
        <w:t>и</w:t>
      </w:r>
      <w:r w:rsidRPr="00903A82">
        <w:t>знавая, что гармонизация будет способствовать большей согласованности наци</w:t>
      </w:r>
      <w:r w:rsidRPr="00903A82">
        <w:t>о</w:t>
      </w:r>
      <w:r w:rsidRPr="00903A82">
        <w:t>нальных требований к классификации и указанию опасных свойств химических веществ, которые должны выполнять предприятия, участвующие в междунаро</w:t>
      </w:r>
      <w:r w:rsidRPr="00903A82">
        <w:t>д</w:t>
      </w:r>
      <w:r w:rsidRPr="00903A82">
        <w:t>ной торговл</w:t>
      </w:r>
      <w:r>
        <w:t>е, государства-члены предпринимают</w:t>
      </w:r>
      <w:r w:rsidRPr="00903A82">
        <w:t xml:space="preserve"> значительные усилия для пер</w:t>
      </w:r>
      <w:r w:rsidRPr="00903A82">
        <w:t>е</w:t>
      </w:r>
      <w:r w:rsidRPr="00903A82">
        <w:t xml:space="preserve">смотра своих правовых документов, касающихся химической безопасности, или для принятия нового законодательства о внедрении СГС. </w:t>
      </w:r>
    </w:p>
    <w:p w:rsidR="00343E61" w:rsidRPr="00903A82" w:rsidRDefault="00343E61" w:rsidP="00343E61">
      <w:pPr>
        <w:pStyle w:val="SingleTxt"/>
      </w:pPr>
      <w:r w:rsidRPr="00903A82">
        <w:t>98.</w:t>
      </w:r>
      <w:r w:rsidRPr="00903A82">
        <w:tab/>
        <w:t>В 2014–2015 годах, согласно информации, представленной секретариату, ряд международных правовых документов, кодексов, руководящих принципов и стандартов, касающихся воздействия потенциально опасных химических в</w:t>
      </w:r>
      <w:r w:rsidRPr="00903A82">
        <w:t>е</w:t>
      </w:r>
      <w:r w:rsidRPr="00903A82">
        <w:t>ществ на всех этапах жизненного цикла, включая производство, хранение, пер</w:t>
      </w:r>
      <w:r w:rsidRPr="00903A82">
        <w:t>е</w:t>
      </w:r>
      <w:r w:rsidRPr="00903A82">
        <w:t>возку, использование на рабочем месте и присутствие в окружающей среде, был изменен в свете положений СГС. К ним относятся пятый, шестой и седьмой адаптированные с учетом технического прогресса варианты Европейского регл</w:t>
      </w:r>
      <w:r w:rsidRPr="00903A82">
        <w:t>а</w:t>
      </w:r>
      <w:r w:rsidRPr="00903A82">
        <w:t>мента применения СГС (регламент №</w:t>
      </w:r>
      <w:r>
        <w:t xml:space="preserve"> </w:t>
      </w:r>
      <w:r w:rsidRPr="00903A82">
        <w:t>1272/2008</w:t>
      </w:r>
      <w:r>
        <w:t xml:space="preserve"> </w:t>
      </w:r>
      <w:r w:rsidRPr="00903A82">
        <w:t>ЕС) и восемнадцатое пересмо</w:t>
      </w:r>
      <w:r w:rsidRPr="00903A82">
        <w:t>т</w:t>
      </w:r>
      <w:r w:rsidRPr="00903A82">
        <w:t>ренное издание Типовых правил ООН (и связанных с ними соответствующих д</w:t>
      </w:r>
      <w:r w:rsidRPr="00903A82">
        <w:t>о</w:t>
      </w:r>
      <w:r w:rsidRPr="00903A82">
        <w:t>кументов по перевозке опасных грузов морским, воздушным и наземным тран</w:t>
      </w:r>
      <w:r w:rsidRPr="00903A82">
        <w:t>с</w:t>
      </w:r>
      <w:r w:rsidRPr="00903A82">
        <w:t xml:space="preserve">портом). Оба </w:t>
      </w:r>
      <w:r>
        <w:t xml:space="preserve">эти </w:t>
      </w:r>
      <w:r w:rsidRPr="00903A82">
        <w:t>документа влияют на многие другие законодательные акты (например, более 11 директив ЕС связаны с регламентом № 1272/2008 ЕС и, по меньшей мере, в шесть международных документов по перевозке отдельными видами транспорта внесены поправки в соответствии с Типовыми правилами ООН). Положения СГС также используются для оценки опасных свойств хим</w:t>
      </w:r>
      <w:r w:rsidRPr="00903A82">
        <w:t>и</w:t>
      </w:r>
      <w:r w:rsidRPr="00903A82">
        <w:t>ческих веществ в рамках таких международных конвенций, кодексов или руков</w:t>
      </w:r>
      <w:r w:rsidRPr="00903A82">
        <w:t>о</w:t>
      </w:r>
      <w:r w:rsidRPr="00903A82">
        <w:t xml:space="preserve">дящих принципов, как </w:t>
      </w:r>
      <w:proofErr w:type="spellStart"/>
      <w:r w:rsidRPr="00903A82">
        <w:t>Роттердамская</w:t>
      </w:r>
      <w:proofErr w:type="spellEnd"/>
      <w:r w:rsidRPr="00903A82">
        <w:t xml:space="preserve"> конвенция о процедуре предварительного обоснованного согласия в отношении отдельных опасных химических веществ и пестицидов в международной торговле, Стокгольмская конвенция о стойких о</w:t>
      </w:r>
      <w:r w:rsidRPr="00903A82">
        <w:t>р</w:t>
      </w:r>
      <w:r w:rsidRPr="00903A82">
        <w:t xml:space="preserve">ганических загрязнителях, рекомендованная ВОЗ Классификация пестицидов по видам опасностей, краткие международные документы по оценке химических веществ (КМДОХ) или международные карточки химической безопасности (МКХБ). Это означает, что целевой показатель (16 документов) уже превышен. </w:t>
      </w:r>
    </w:p>
    <w:p w:rsidR="00343E61" w:rsidRDefault="00343E61" w:rsidP="00343E61">
      <w:pPr>
        <w:pStyle w:val="SingleTxt"/>
      </w:pPr>
      <w:r w:rsidRPr="00903A82">
        <w:t>99.</w:t>
      </w:r>
      <w:r w:rsidRPr="00903A82">
        <w:tab/>
        <w:t>Кроме того, в 2014 году была завершена деятельность по приведению п</w:t>
      </w:r>
      <w:r w:rsidRPr="00903A82">
        <w:t>о</w:t>
      </w:r>
      <w:r w:rsidRPr="00903A82">
        <w:t>ложений приложения I к Конвенции ЕЭК о трансграничном воздействии пр</w:t>
      </w:r>
      <w:r w:rsidRPr="00903A82">
        <w:t>о</w:t>
      </w:r>
      <w:r w:rsidRPr="00903A82">
        <w:t>мышленных аварий в соответствие с СГС.</w:t>
      </w:r>
    </w:p>
    <w:p w:rsidR="00E15401" w:rsidRDefault="00E15401" w:rsidP="00E15401">
      <w:pPr>
        <w:pStyle w:val="SingleTxt"/>
      </w:pPr>
      <w:r w:rsidRPr="001062EC">
        <w:t>100.</w:t>
      </w:r>
      <w:r w:rsidRPr="001062EC">
        <w:tab/>
        <w:t>Число государств, правительство которых уже обеспечило или в настоящее время обеспечивает включение положений СГС или поправок к ней в свои нац</w:t>
      </w:r>
      <w:r w:rsidRPr="001062EC">
        <w:t>и</w:t>
      </w:r>
      <w:r w:rsidRPr="001062EC">
        <w:t>ональные системы, регламентирующие классификацию опасности и маркировку химических веществ в других отраслях, помимо транспорта, продолжает увел</w:t>
      </w:r>
      <w:r w:rsidRPr="001062EC">
        <w:t>и</w:t>
      </w:r>
      <w:r w:rsidRPr="001062EC">
        <w:t xml:space="preserve">чиваться. В перечень государств, где приняты надлежащие меры по внедрению СГС, входят все 28 стран − членов ЕС, все </w:t>
      </w:r>
      <w:r>
        <w:t>3</w:t>
      </w:r>
      <w:r w:rsidRPr="001062EC">
        <w:t xml:space="preserve"> страны ЕЭП, а также Швейцария, Австралия, Новая Зеландия, Маврикий, Уругвай, Сингапур, Япония, Китай, Ро</w:t>
      </w:r>
      <w:r w:rsidRPr="001062EC">
        <w:t>с</w:t>
      </w:r>
      <w:r w:rsidRPr="001062EC">
        <w:t>сийская Федерация, Израиль, Малайзия, Аргентина, Турция, Республика Корея, Мексика, Бразилия, Соединенные Штаты Америки, Канада, Сербия, Филиппины, Южная Африка, Замбия, Вьетнам и Та</w:t>
      </w:r>
      <w:r>
        <w:t>иланд (т.е. не менее 55 стран).</w:t>
      </w:r>
    </w:p>
    <w:p w:rsidR="00E15401" w:rsidRPr="005A754F" w:rsidRDefault="00E15401" w:rsidP="00E15401">
      <w:pPr>
        <w:pStyle w:val="SingleTxt"/>
      </w:pPr>
      <w:r w:rsidRPr="001062EC">
        <w:t>101.</w:t>
      </w:r>
      <w:r w:rsidRPr="001062EC">
        <w:tab/>
        <w:t>Подкомитет экспертов по СГС принял набор поправок к пятому пересмо</w:t>
      </w:r>
      <w:r w:rsidRPr="001062EC">
        <w:t>т</w:t>
      </w:r>
      <w:r w:rsidRPr="001062EC">
        <w:t>ренному изданию СГС в декабре 2014 года, когда завершился двухгодичный цикл его работы. Принятые поправки были одобрены Комитетом экспертов по пер</w:t>
      </w:r>
      <w:r w:rsidRPr="001062EC">
        <w:t>е</w:t>
      </w:r>
      <w:r w:rsidRPr="001062EC">
        <w:lastRenderedPageBreak/>
        <w:t>возке опасных грузов и по СГС, а также Экономическим и Социальным Советом, что было отмечено в его резолюции 2015/7 от 8 июня 2015 года.</w:t>
      </w:r>
    </w:p>
    <w:p w:rsidR="00E15401" w:rsidRPr="005A754F" w:rsidRDefault="00E15401" w:rsidP="00E15401">
      <w:pPr>
        <w:pStyle w:val="SingleTxt"/>
        <w:spacing w:after="0" w:line="120" w:lineRule="exact"/>
        <w:rPr>
          <w:sz w:val="10"/>
        </w:rPr>
      </w:pPr>
    </w:p>
    <w:p w:rsidR="00E15401" w:rsidRPr="005A754F" w:rsidRDefault="00E15401" w:rsidP="00E15401">
      <w:pPr>
        <w:pStyle w:val="SingleTxt"/>
        <w:spacing w:after="0" w:line="120" w:lineRule="exact"/>
        <w:rPr>
          <w:sz w:val="10"/>
        </w:rPr>
      </w:pPr>
    </w:p>
    <w:p w:rsidR="00E15401" w:rsidRPr="005C22B8" w:rsidRDefault="00E15401" w:rsidP="00E1540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2EC">
        <w:tab/>
        <w:t>D.</w:t>
      </w:r>
      <w:r w:rsidRPr="001062EC">
        <w:tab/>
        <w:t>Извлеченные уроки/области, в которых необходимы улучшения</w:t>
      </w:r>
    </w:p>
    <w:p w:rsidR="00E15401" w:rsidRPr="005C22B8" w:rsidRDefault="00E15401" w:rsidP="00E15401">
      <w:pPr>
        <w:pStyle w:val="SingleTxt"/>
        <w:spacing w:after="0" w:line="120" w:lineRule="exact"/>
        <w:rPr>
          <w:sz w:val="10"/>
        </w:rPr>
      </w:pPr>
    </w:p>
    <w:p w:rsidR="00E15401" w:rsidRPr="005C22B8" w:rsidRDefault="00E15401" w:rsidP="00E15401">
      <w:pPr>
        <w:pStyle w:val="SingleTxt"/>
        <w:spacing w:after="0" w:line="120" w:lineRule="exact"/>
        <w:rPr>
          <w:sz w:val="10"/>
        </w:rPr>
      </w:pPr>
    </w:p>
    <w:p w:rsidR="00E15401" w:rsidRPr="001062EC" w:rsidRDefault="00E15401" w:rsidP="00E15401">
      <w:pPr>
        <w:pStyle w:val="SingleTxt"/>
      </w:pPr>
      <w:r w:rsidRPr="001062EC">
        <w:t>102.</w:t>
      </w:r>
      <w:r w:rsidRPr="001062EC">
        <w:tab/>
        <w:t>СГС является инструментом, предназначенным для целого ряда секторов (транспорт, защита потребителей, производственная безопасность и гигиена тр</w:t>
      </w:r>
      <w:r w:rsidRPr="001062EC">
        <w:t>у</w:t>
      </w:r>
      <w:r w:rsidRPr="001062EC">
        <w:t>да, а также охрана окружающей среды); таким образом, для ее эффективного применения от государств-членов требуются значительные усилия по внесению изменений во все имеющиеся у них правовые документы по вопросам химич</w:t>
      </w:r>
      <w:r w:rsidRPr="001062EC">
        <w:t>е</w:t>
      </w:r>
      <w:r w:rsidRPr="001062EC">
        <w:t>ской безопасности в каждом из соответствующих секторов либо по принятию нового законодательства.</w:t>
      </w:r>
    </w:p>
    <w:p w:rsidR="00E15401" w:rsidRPr="001062EC" w:rsidRDefault="00E15401" w:rsidP="00E15401">
      <w:pPr>
        <w:pStyle w:val="SingleTxt"/>
      </w:pPr>
      <w:r w:rsidRPr="001062EC">
        <w:t>103.</w:t>
      </w:r>
      <w:r w:rsidRPr="001062EC">
        <w:tab/>
        <w:t>СГС уже широко применяется при перевозке опасных грузов благодаря Т</w:t>
      </w:r>
      <w:r w:rsidRPr="001062EC">
        <w:t>и</w:t>
      </w:r>
      <w:r w:rsidRPr="001062EC">
        <w:t>повым правилам и связанным с ними нормативным документам (см. направление деятельности 12), в которые в 2015 году в целях их эффективного осуществления были внесены соответствующие поправки в свете положений пятого пересмо</w:t>
      </w:r>
      <w:r w:rsidRPr="001062EC">
        <w:t>т</w:t>
      </w:r>
      <w:r w:rsidRPr="001062EC">
        <w:t>ренного издания СГС. Вместе с тем в других секторах положение является более сложным, и внедрение СГС может занять некоторое время, так как для него необходимы изменение или пересмотр значительного числа различных правовых документов, а также наличие руководящих указаний по применению системы (например, для принятия СГС Европейским союзом в 2008 году потребовались многочисленные поправки к 11 директивам ЕС, относящимся к различным сф</w:t>
      </w:r>
      <w:r w:rsidRPr="001062EC">
        <w:t>е</w:t>
      </w:r>
      <w:r w:rsidRPr="001062EC">
        <w:t>рам регулирования, а также издание нового регламен</w:t>
      </w:r>
      <w:r>
        <w:t>та по КМУ (классификации, маркировке, упаковке)).</w:t>
      </w:r>
    </w:p>
    <w:p w:rsidR="00E15401" w:rsidRPr="001062EC" w:rsidRDefault="00E15401" w:rsidP="00E15401">
      <w:pPr>
        <w:pStyle w:val="SingleTxt"/>
      </w:pPr>
      <w:r w:rsidRPr="001062EC">
        <w:t>104.</w:t>
      </w:r>
      <w:r w:rsidRPr="001062EC">
        <w:tab/>
        <w:t>Несмотря на все усилия секретариата по сбору информации о ходе внедр</w:t>
      </w:r>
      <w:r w:rsidRPr="001062EC">
        <w:t>е</w:t>
      </w:r>
      <w:r w:rsidRPr="001062EC">
        <w:t xml:space="preserve">ния СГС (см. </w:t>
      </w:r>
      <w:hyperlink r:id="rId20" w:history="1">
        <w:r w:rsidRPr="009A1BAE">
          <w:rPr>
            <w:rStyle w:val="Hyperlink"/>
            <w:color w:val="auto"/>
            <w:u w:val="none"/>
          </w:rPr>
          <w:t>www.unece.org/trans/danger/publi/ghs/implementation_e.html</w:t>
        </w:r>
      </w:hyperlink>
      <w:r w:rsidRPr="001062EC">
        <w:t>), не вс</w:t>
      </w:r>
      <w:r w:rsidRPr="001062EC">
        <w:t>е</w:t>
      </w:r>
      <w:r w:rsidRPr="001062EC">
        <w:t>гда удается получить из надежных источников такую информацию по странам и организациям, не участвующим в работе сессий Подкомитета.</w:t>
      </w:r>
      <w:r>
        <w:t xml:space="preserve"> </w:t>
      </w:r>
      <w:r w:rsidRPr="001062EC">
        <w:t>Кроме того, речь идет о большом числе национальных законодательных актов, и темпы внедрения в одной и той же стране − в зависимости от конкретного сектора − могут разл</w:t>
      </w:r>
      <w:r w:rsidRPr="001062EC">
        <w:t>и</w:t>
      </w:r>
      <w:r w:rsidRPr="001062EC">
        <w:t>чаться. Поэтому в некоторых случаях представленные показатели достижения за отчетный период могут быть заниженными по сравнению с фактическим уро</w:t>
      </w:r>
      <w:r w:rsidRPr="001062EC">
        <w:t>в</w:t>
      </w:r>
      <w:r w:rsidRPr="001062EC">
        <w:t>нем внедрения СГС, так как приведенные данные основываются лишь на инфо</w:t>
      </w:r>
      <w:r w:rsidRPr="001062EC">
        <w:t>р</w:t>
      </w:r>
      <w:r w:rsidRPr="001062EC">
        <w:t>ма</w:t>
      </w:r>
      <w:r>
        <w:t>ции, поступившей в секретариат.</w:t>
      </w:r>
    </w:p>
    <w:p w:rsidR="00E15401" w:rsidRPr="001062EC" w:rsidRDefault="00E15401" w:rsidP="00E15401">
      <w:pPr>
        <w:pStyle w:val="SingleTxt"/>
      </w:pPr>
      <w:r w:rsidRPr="001062EC">
        <w:t>105.</w:t>
      </w:r>
      <w:r w:rsidRPr="001062EC">
        <w:tab/>
        <w:t>Особенно полезную роль в процессе внедрения играет сотрудничество с МОТ, Всемирной организацией здравоохранения (ВОЗ) и Учебным и научно-исследовательским институтом Организац</w:t>
      </w:r>
      <w:r>
        <w:t>ии Объединенных Наций (УНИТАР),</w:t>
      </w:r>
      <w:r>
        <w:br/>
      </w:r>
      <w:r w:rsidRPr="001062EC">
        <w:t>а также с такими организациями, как Европейская комиссия, Организация эк</w:t>
      </w:r>
      <w:r w:rsidRPr="001062EC">
        <w:t>о</w:t>
      </w:r>
      <w:r w:rsidRPr="001062EC">
        <w:t>номического сотрудничества и развития (ОЭСР) и Организация азиатско-тихоокеанского экономического сотрудничества (АТЭС), в области создания п</w:t>
      </w:r>
      <w:r w:rsidRPr="001062EC">
        <w:t>о</w:t>
      </w:r>
      <w:r w:rsidRPr="001062EC">
        <w:t>тенциала.</w:t>
      </w:r>
    </w:p>
    <w:p w:rsidR="00E15401" w:rsidRDefault="00E15401" w:rsidP="00E15401">
      <w:pPr>
        <w:pStyle w:val="SingleTxt"/>
      </w:pPr>
      <w:r w:rsidRPr="001062EC">
        <w:t>106.</w:t>
      </w:r>
      <w:r w:rsidRPr="001062EC">
        <w:tab/>
        <w:t>Участие в совещаниях по СГС является весьма активным (порядка 120 д</w:t>
      </w:r>
      <w:r w:rsidRPr="001062EC">
        <w:t>е</w:t>
      </w:r>
      <w:r w:rsidRPr="001062EC">
        <w:t>легатов на каждой сессии); интерес, проявляемый к внедрению этой системы, растет по мере ее все более широкого развертывания на глобальном уровне.</w:t>
      </w:r>
    </w:p>
    <w:p w:rsidR="00E15401" w:rsidRPr="001062EC" w:rsidRDefault="00E15401" w:rsidP="00E15401">
      <w:pPr>
        <w:pStyle w:val="SingleTxt"/>
        <w:spacing w:after="0" w:line="120" w:lineRule="exact"/>
        <w:rPr>
          <w:sz w:val="10"/>
        </w:rPr>
      </w:pPr>
    </w:p>
    <w:p w:rsidR="00E15401" w:rsidRPr="001062EC" w:rsidRDefault="00E15401" w:rsidP="00E15401">
      <w:pPr>
        <w:pStyle w:val="SingleTxt"/>
        <w:spacing w:after="0" w:line="120" w:lineRule="exact"/>
        <w:rPr>
          <w:sz w:val="10"/>
        </w:rPr>
      </w:pPr>
    </w:p>
    <w:p w:rsidR="00E15401" w:rsidRDefault="00E15401" w:rsidP="009A1BA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2EC">
        <w:lastRenderedPageBreak/>
        <w:tab/>
      </w:r>
      <w:r w:rsidRPr="001062EC">
        <w:tab/>
        <w:t>Направление деятельности 12.a</w:t>
      </w:r>
      <w:r w:rsidRPr="001062EC">
        <w:br/>
        <w:t>Перевозка скоропортящихся пищевых продуктов</w:t>
      </w:r>
    </w:p>
    <w:p w:rsidR="00E15401" w:rsidRPr="001062EC" w:rsidRDefault="00E15401" w:rsidP="009A1BAE">
      <w:pPr>
        <w:pStyle w:val="SingleTxt"/>
        <w:keepNext/>
        <w:keepLines/>
        <w:spacing w:after="0" w:line="120" w:lineRule="exact"/>
        <w:rPr>
          <w:sz w:val="10"/>
        </w:rPr>
      </w:pPr>
    </w:p>
    <w:p w:rsidR="00E15401" w:rsidRPr="001062EC" w:rsidRDefault="00E15401" w:rsidP="009A1BAE">
      <w:pPr>
        <w:pStyle w:val="SingleTxt"/>
        <w:keepNext/>
        <w:keepLines/>
        <w:spacing w:after="0" w:line="120" w:lineRule="exact"/>
        <w:rPr>
          <w:sz w:val="10"/>
        </w:rPr>
      </w:pPr>
    </w:p>
    <w:p w:rsidR="00E15401" w:rsidRDefault="00E15401" w:rsidP="009A1BAE">
      <w:pPr>
        <w:pStyle w:val="H1"/>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2EC">
        <w:tab/>
        <w:t>A.</w:t>
      </w:r>
      <w:r w:rsidRPr="001062EC">
        <w:tab/>
        <w:t>Ожидаемое достижение (ОД 12.а)</w:t>
      </w:r>
    </w:p>
    <w:p w:rsidR="00E15401" w:rsidRPr="001062EC" w:rsidRDefault="00E15401" w:rsidP="009A1BAE">
      <w:pPr>
        <w:pStyle w:val="SingleTxt"/>
        <w:keepNext/>
        <w:keepLines/>
        <w:spacing w:after="0" w:line="120" w:lineRule="exact"/>
        <w:rPr>
          <w:sz w:val="10"/>
        </w:rPr>
      </w:pPr>
    </w:p>
    <w:p w:rsidR="00E15401" w:rsidRPr="001062EC" w:rsidRDefault="00E15401" w:rsidP="009A1BAE">
      <w:pPr>
        <w:pStyle w:val="SingleTxt"/>
        <w:keepNext/>
        <w:keepLines/>
        <w:spacing w:after="0" w:line="120" w:lineRule="exact"/>
        <w:rPr>
          <w:sz w:val="10"/>
        </w:rPr>
      </w:pPr>
    </w:p>
    <w:p w:rsidR="00E15401" w:rsidRDefault="00E15401" w:rsidP="009A1BAE">
      <w:pPr>
        <w:pStyle w:val="SingleTxt"/>
        <w:keepNext/>
        <w:keepLines/>
      </w:pPr>
      <w:r w:rsidRPr="001062EC">
        <w:t>107.</w:t>
      </w:r>
      <w:r w:rsidRPr="001062EC">
        <w:tab/>
        <w:t>Повышение и обновление международных требований, касающихся пер</w:t>
      </w:r>
      <w:r w:rsidRPr="001062EC">
        <w:t>е</w:t>
      </w:r>
      <w:r w:rsidRPr="001062EC">
        <w:t>возки скоропортящихся пищевых продуктов</w:t>
      </w:r>
      <w:r>
        <w:t>.</w:t>
      </w:r>
    </w:p>
    <w:p w:rsidR="00E15401" w:rsidRPr="001062EC" w:rsidRDefault="00E15401" w:rsidP="00E15401">
      <w:pPr>
        <w:pStyle w:val="SingleTxt"/>
        <w:spacing w:after="0" w:line="120" w:lineRule="exact"/>
        <w:rPr>
          <w:sz w:val="10"/>
        </w:rPr>
      </w:pPr>
    </w:p>
    <w:p w:rsidR="00E15401" w:rsidRPr="001062EC" w:rsidRDefault="00E15401" w:rsidP="00E15401">
      <w:pPr>
        <w:pStyle w:val="SingleTxt"/>
        <w:spacing w:after="0" w:line="120" w:lineRule="exact"/>
        <w:rPr>
          <w:sz w:val="10"/>
        </w:rPr>
      </w:pPr>
    </w:p>
    <w:p w:rsidR="00E15401" w:rsidRDefault="00E15401" w:rsidP="00E1540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2EC">
        <w:tab/>
        <w:t>B.</w:t>
      </w:r>
      <w:r w:rsidRPr="001062EC">
        <w:tab/>
        <w:t>Показатели достижения</w:t>
      </w:r>
    </w:p>
    <w:p w:rsidR="00E15401" w:rsidRPr="001062EC" w:rsidRDefault="00E15401" w:rsidP="00E15401">
      <w:pPr>
        <w:pStyle w:val="SingleTxt"/>
        <w:spacing w:after="0" w:line="120" w:lineRule="exact"/>
        <w:rPr>
          <w:sz w:val="10"/>
        </w:rPr>
      </w:pPr>
    </w:p>
    <w:p w:rsidR="00E15401" w:rsidRPr="001062EC" w:rsidRDefault="00E15401" w:rsidP="00E15401">
      <w:pPr>
        <w:pStyle w:val="SingleTxt"/>
        <w:spacing w:after="0" w:line="120" w:lineRule="exact"/>
        <w:rPr>
          <w:sz w:val="10"/>
        </w:rPr>
      </w:pPr>
    </w:p>
    <w:p w:rsidR="00E15401" w:rsidRDefault="00E15401" w:rsidP="00E154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2EC">
        <w:tab/>
        <w:t>1.</w:t>
      </w:r>
      <w:r w:rsidRPr="001062EC">
        <w:tab/>
        <w:t xml:space="preserve">Общая процентная доля предложений о </w:t>
      </w:r>
      <w:proofErr w:type="spellStart"/>
      <w:r w:rsidRPr="001062EC">
        <w:t>нередакционных</w:t>
      </w:r>
      <w:proofErr w:type="spellEnd"/>
      <w:r w:rsidRPr="001062EC">
        <w:t xml:space="preserve"> поправках, принятых WP.11 (ПД 12.a. а))</w:t>
      </w:r>
    </w:p>
    <w:p w:rsidR="00E15401" w:rsidRPr="001062EC" w:rsidRDefault="00E15401" w:rsidP="00E15401">
      <w:pPr>
        <w:pStyle w:val="SingleTxt"/>
        <w:spacing w:after="0" w:line="120" w:lineRule="exact"/>
        <w:rPr>
          <w:sz w:val="10"/>
        </w:rPr>
      </w:pPr>
    </w:p>
    <w:p w:rsidR="00E15401" w:rsidRDefault="00E15401" w:rsidP="00E1540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2EC">
        <w:tab/>
      </w:r>
      <w:r w:rsidRPr="001062EC">
        <w:tab/>
        <w:t>Показатели результативности:</w:t>
      </w:r>
    </w:p>
    <w:p w:rsidR="00E15401" w:rsidRPr="001062EC" w:rsidRDefault="00E15401" w:rsidP="00E15401">
      <w:pPr>
        <w:pStyle w:val="SingleTxt"/>
        <w:spacing w:after="0" w:line="120" w:lineRule="exact"/>
        <w:rPr>
          <w:sz w:val="10"/>
        </w:rPr>
      </w:pPr>
    </w:p>
    <w:p w:rsidR="00E15401" w:rsidRPr="001062EC" w:rsidRDefault="00E15401" w:rsidP="00E15401">
      <w:pPr>
        <w:pStyle w:val="SingleTxt"/>
      </w:pPr>
      <w:r w:rsidRPr="001062EC">
        <w:t>Исходные показатели за 2012–2013 годы: 10%</w:t>
      </w:r>
      <w:r>
        <w:t>.</w:t>
      </w:r>
    </w:p>
    <w:p w:rsidR="00E15401" w:rsidRPr="001062EC" w:rsidRDefault="00E15401" w:rsidP="00E15401">
      <w:pPr>
        <w:pStyle w:val="SingleTxt"/>
      </w:pPr>
      <w:r w:rsidRPr="001062EC">
        <w:t>Целевые показатели на 2014–2015 годы: 25%</w:t>
      </w:r>
      <w:r>
        <w:t>.</w:t>
      </w:r>
    </w:p>
    <w:p w:rsidR="00E15401" w:rsidRDefault="00E15401" w:rsidP="00E15401">
      <w:pPr>
        <w:pStyle w:val="SingleTxt"/>
        <w:rPr>
          <w:b/>
          <w:bCs/>
        </w:rPr>
      </w:pPr>
      <w:r w:rsidRPr="001062EC">
        <w:rPr>
          <w:b/>
          <w:bCs/>
        </w:rPr>
        <w:t>Фактические показатели за 2014–2015 годы: 50%</w:t>
      </w:r>
      <w:r>
        <w:rPr>
          <w:b/>
          <w:bCs/>
        </w:rPr>
        <w:t>.</w:t>
      </w:r>
    </w:p>
    <w:p w:rsidR="00E15401" w:rsidRPr="008E1F4E" w:rsidRDefault="00E15401" w:rsidP="00E15401">
      <w:pPr>
        <w:pStyle w:val="SingleTxt"/>
        <w:spacing w:after="0" w:line="120" w:lineRule="exact"/>
        <w:rPr>
          <w:b/>
          <w:bCs/>
          <w:sz w:val="10"/>
        </w:rPr>
      </w:pPr>
    </w:p>
    <w:p w:rsidR="00E15401" w:rsidRDefault="00E15401" w:rsidP="00E154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2EC">
        <w:tab/>
        <w:t>2.</w:t>
      </w:r>
      <w:r w:rsidRPr="001062EC">
        <w:tab/>
        <w:t>Общее число Договаривающихся сторон Соглашения СПС (ПД 12.a. b))</w:t>
      </w:r>
    </w:p>
    <w:p w:rsidR="00E15401" w:rsidRPr="008E1F4E" w:rsidRDefault="00E15401" w:rsidP="00E15401">
      <w:pPr>
        <w:pStyle w:val="SingleTxt"/>
        <w:spacing w:after="0" w:line="120" w:lineRule="exact"/>
        <w:rPr>
          <w:sz w:val="10"/>
        </w:rPr>
      </w:pPr>
    </w:p>
    <w:p w:rsidR="00E15401" w:rsidRDefault="00E15401" w:rsidP="00E1540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2EC">
        <w:tab/>
      </w:r>
      <w:r w:rsidRPr="001062EC">
        <w:tab/>
        <w:t>Показатели результативности:</w:t>
      </w:r>
    </w:p>
    <w:p w:rsidR="00E15401" w:rsidRPr="008E1F4E" w:rsidRDefault="00E15401" w:rsidP="00E15401">
      <w:pPr>
        <w:pStyle w:val="SingleTxt"/>
        <w:spacing w:after="0" w:line="120" w:lineRule="exact"/>
        <w:rPr>
          <w:sz w:val="10"/>
        </w:rPr>
      </w:pPr>
    </w:p>
    <w:p w:rsidR="00E15401" w:rsidRPr="001062EC" w:rsidRDefault="00E15401" w:rsidP="00E15401">
      <w:pPr>
        <w:pStyle w:val="SingleTxt"/>
      </w:pPr>
      <w:r w:rsidRPr="001062EC">
        <w:t>Исходные показатели за 2012–2013 годы: 48</w:t>
      </w:r>
      <w:r>
        <w:t>.</w:t>
      </w:r>
    </w:p>
    <w:p w:rsidR="00E15401" w:rsidRPr="001062EC" w:rsidRDefault="00E15401" w:rsidP="00E15401">
      <w:pPr>
        <w:pStyle w:val="SingleTxt"/>
      </w:pPr>
      <w:r w:rsidRPr="001062EC">
        <w:t>Целевые показатели на 2014–2015 годы: 50</w:t>
      </w:r>
      <w:r>
        <w:t>.</w:t>
      </w:r>
    </w:p>
    <w:p w:rsidR="00E15401" w:rsidRDefault="00E15401" w:rsidP="00E15401">
      <w:pPr>
        <w:pStyle w:val="SingleTxt"/>
        <w:rPr>
          <w:b/>
          <w:bCs/>
        </w:rPr>
      </w:pPr>
      <w:r w:rsidRPr="001062EC">
        <w:rPr>
          <w:b/>
          <w:bCs/>
        </w:rPr>
        <w:t>Фактические показатели за 2014–2015 годы: 49</w:t>
      </w:r>
      <w:r>
        <w:rPr>
          <w:b/>
          <w:bCs/>
        </w:rPr>
        <w:t>.</w:t>
      </w:r>
    </w:p>
    <w:p w:rsidR="00E15401" w:rsidRPr="008E1F4E" w:rsidRDefault="00E15401" w:rsidP="00E15401">
      <w:pPr>
        <w:pStyle w:val="SingleTxt"/>
        <w:spacing w:after="0" w:line="120" w:lineRule="exact"/>
        <w:rPr>
          <w:b/>
          <w:bCs/>
          <w:sz w:val="10"/>
        </w:rPr>
      </w:pPr>
    </w:p>
    <w:p w:rsidR="00E15401" w:rsidRDefault="00E15401" w:rsidP="00E154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2EC">
        <w:tab/>
        <w:t>3.</w:t>
      </w:r>
      <w:r w:rsidRPr="001062EC">
        <w:tab/>
        <w:t>Число стран, направивших ответ</w:t>
      </w:r>
      <w:r>
        <w:t>ы на вопросник по осуществлению</w:t>
      </w:r>
      <w:r>
        <w:br/>
      </w:r>
      <w:r w:rsidRPr="001062EC">
        <w:t>СПС (ПД 12.a. c))</w:t>
      </w:r>
    </w:p>
    <w:p w:rsidR="00E15401" w:rsidRPr="008E1F4E" w:rsidRDefault="00E15401" w:rsidP="00E15401">
      <w:pPr>
        <w:pStyle w:val="SingleTxt"/>
        <w:spacing w:after="0" w:line="120" w:lineRule="exact"/>
        <w:rPr>
          <w:sz w:val="10"/>
        </w:rPr>
      </w:pPr>
    </w:p>
    <w:p w:rsidR="00E15401" w:rsidRDefault="00E15401" w:rsidP="00E1540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2EC">
        <w:tab/>
      </w:r>
      <w:r w:rsidRPr="001062EC">
        <w:tab/>
        <w:t>Показатели результативности:</w:t>
      </w:r>
    </w:p>
    <w:p w:rsidR="00E15401" w:rsidRPr="008E1F4E" w:rsidRDefault="00E15401" w:rsidP="00E15401">
      <w:pPr>
        <w:pStyle w:val="SingleTxt"/>
        <w:spacing w:after="0" w:line="120" w:lineRule="exact"/>
        <w:rPr>
          <w:sz w:val="10"/>
        </w:rPr>
      </w:pPr>
    </w:p>
    <w:p w:rsidR="00E15401" w:rsidRPr="001062EC" w:rsidRDefault="00E15401" w:rsidP="00E15401">
      <w:pPr>
        <w:pStyle w:val="SingleTxt"/>
      </w:pPr>
      <w:r w:rsidRPr="001062EC">
        <w:t>Исходные показатели за 2012–2013 годы: 16</w:t>
      </w:r>
      <w:r>
        <w:t>.</w:t>
      </w:r>
    </w:p>
    <w:p w:rsidR="00E15401" w:rsidRPr="001062EC" w:rsidRDefault="00E15401" w:rsidP="00E15401">
      <w:pPr>
        <w:pStyle w:val="SingleTxt"/>
      </w:pPr>
      <w:r w:rsidRPr="001062EC">
        <w:t>Целевые показатели на 2014−2015 годы: 20</w:t>
      </w:r>
      <w:r>
        <w:t>.</w:t>
      </w:r>
    </w:p>
    <w:p w:rsidR="00E15401" w:rsidRDefault="00E15401" w:rsidP="00E15401">
      <w:pPr>
        <w:pStyle w:val="SingleTxt"/>
        <w:rPr>
          <w:b/>
          <w:bCs/>
        </w:rPr>
      </w:pPr>
      <w:r w:rsidRPr="001062EC">
        <w:rPr>
          <w:b/>
          <w:bCs/>
        </w:rPr>
        <w:t>Фактические показатели за 2014–2015 годы: 21</w:t>
      </w:r>
      <w:r>
        <w:rPr>
          <w:b/>
          <w:bCs/>
        </w:rPr>
        <w:t>.</w:t>
      </w:r>
    </w:p>
    <w:p w:rsidR="00E15401" w:rsidRPr="008E1F4E" w:rsidRDefault="00E15401" w:rsidP="00E15401">
      <w:pPr>
        <w:pStyle w:val="SingleTxt"/>
        <w:spacing w:after="0" w:line="120" w:lineRule="exact"/>
        <w:rPr>
          <w:b/>
          <w:bCs/>
          <w:sz w:val="10"/>
        </w:rPr>
      </w:pPr>
    </w:p>
    <w:p w:rsidR="00E15401" w:rsidRPr="008E1F4E" w:rsidRDefault="00E15401" w:rsidP="00E15401">
      <w:pPr>
        <w:pStyle w:val="SingleTxt"/>
        <w:spacing w:after="0" w:line="120" w:lineRule="exact"/>
        <w:rPr>
          <w:b/>
          <w:bCs/>
          <w:sz w:val="10"/>
        </w:rPr>
      </w:pPr>
    </w:p>
    <w:p w:rsidR="00E15401" w:rsidRDefault="00E15401" w:rsidP="00E1540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2EC">
        <w:tab/>
        <w:t>C.</w:t>
      </w:r>
      <w:r w:rsidRPr="001062EC">
        <w:tab/>
        <w:t>Оценка результативности</w:t>
      </w:r>
    </w:p>
    <w:p w:rsidR="00E15401" w:rsidRPr="008E1F4E" w:rsidRDefault="00E15401" w:rsidP="00E15401">
      <w:pPr>
        <w:pStyle w:val="SingleTxt"/>
        <w:spacing w:after="0" w:line="120" w:lineRule="exact"/>
        <w:rPr>
          <w:sz w:val="10"/>
        </w:rPr>
      </w:pPr>
    </w:p>
    <w:p w:rsidR="00E15401" w:rsidRPr="008E1F4E" w:rsidRDefault="00E15401" w:rsidP="00E15401">
      <w:pPr>
        <w:pStyle w:val="SingleTxt"/>
        <w:spacing w:after="0" w:line="120" w:lineRule="exact"/>
        <w:rPr>
          <w:sz w:val="10"/>
        </w:rPr>
      </w:pPr>
    </w:p>
    <w:p w:rsidR="00E15401" w:rsidRPr="001062EC" w:rsidRDefault="00E15401" w:rsidP="00E15401">
      <w:pPr>
        <w:pStyle w:val="SingleTxt"/>
      </w:pPr>
      <w:r w:rsidRPr="001062EC">
        <w:t>108.</w:t>
      </w:r>
      <w:r w:rsidRPr="001062EC">
        <w:tab/>
      </w:r>
      <w:r>
        <w:t>На своей</w:t>
      </w:r>
      <w:r w:rsidRPr="001062EC">
        <w:t xml:space="preserve"> семидесятой сессии в 2014 году WP.11 приняла в общей сложн</w:t>
      </w:r>
      <w:r w:rsidRPr="001062EC">
        <w:t>о</w:t>
      </w:r>
      <w:r w:rsidRPr="001062EC">
        <w:t>сти 24 предложенные поправки к СПС, содержащиеся в приложениях I и II к д</w:t>
      </w:r>
      <w:r w:rsidRPr="001062EC">
        <w:t>о</w:t>
      </w:r>
      <w:r w:rsidRPr="001062EC">
        <w:t xml:space="preserve">кладу о работе сессии (ECE/TRANS/WP.11/231). </w:t>
      </w:r>
      <w:r>
        <w:t>На своей</w:t>
      </w:r>
      <w:r w:rsidRPr="001062EC">
        <w:t xml:space="preserve"> семьдесят первой се</w:t>
      </w:r>
      <w:r w:rsidRPr="001062EC">
        <w:t>с</w:t>
      </w:r>
      <w:r w:rsidRPr="001062EC">
        <w:t>сии в 2015 году W</w:t>
      </w:r>
      <w:r>
        <w:t>P.11 приняла в общей сложности шесть</w:t>
      </w:r>
      <w:r w:rsidRPr="001062EC">
        <w:t xml:space="preserve"> предложенных попр</w:t>
      </w:r>
      <w:r w:rsidRPr="001062EC">
        <w:t>а</w:t>
      </w:r>
      <w:r w:rsidRPr="001062EC">
        <w:t>вок к СПС, содержащихся в приложении I к докладу о работе сессии (ECE/TRANS/WP.11/233). Из общего числа указанных поправок 15 могут сч</w:t>
      </w:r>
      <w:r w:rsidRPr="001062EC">
        <w:t>и</w:t>
      </w:r>
      <w:r w:rsidRPr="001062EC">
        <w:t xml:space="preserve">таться редакционными; </w:t>
      </w:r>
      <w:r>
        <w:t>так что</w:t>
      </w:r>
      <w:r w:rsidRPr="001062EC">
        <w:t xml:space="preserve"> процентная доля </w:t>
      </w:r>
      <w:proofErr w:type="spellStart"/>
      <w:r w:rsidRPr="001062EC">
        <w:t>нередакционных</w:t>
      </w:r>
      <w:proofErr w:type="spellEnd"/>
      <w:r w:rsidRPr="001062EC">
        <w:t xml:space="preserve"> поправок пр</w:t>
      </w:r>
      <w:r w:rsidRPr="001062EC">
        <w:t>е</w:t>
      </w:r>
      <w:r w:rsidRPr="001062EC">
        <w:t>высит целевые показате</w:t>
      </w:r>
      <w:r>
        <w:t>ли на 2014–2015 годы.</w:t>
      </w:r>
    </w:p>
    <w:p w:rsidR="00E15401" w:rsidRPr="001062EC" w:rsidRDefault="00E15401" w:rsidP="00E15401">
      <w:pPr>
        <w:pStyle w:val="SingleTxt"/>
      </w:pPr>
      <w:r w:rsidRPr="001062EC">
        <w:t>109.</w:t>
      </w:r>
      <w:r>
        <w:tab/>
        <w:t>На момент составления настоящего</w:t>
      </w:r>
      <w:r w:rsidRPr="001062EC">
        <w:t xml:space="preserve"> </w:t>
      </w:r>
      <w:r>
        <w:t>документа</w:t>
      </w:r>
      <w:r w:rsidRPr="001062EC">
        <w:t xml:space="preserve"> число Договаривающихся сторон СПС </w:t>
      </w:r>
      <w:r>
        <w:t>составляло</w:t>
      </w:r>
      <w:r w:rsidRPr="001062EC">
        <w:t xml:space="preserve"> 49. Таким образом, на</w:t>
      </w:r>
      <w:r>
        <w:t>меченная цель, которая состояла</w:t>
      </w:r>
      <w:r>
        <w:br/>
      </w:r>
      <w:r w:rsidRPr="001062EC">
        <w:t>в том, чтобы обеспечить присоединение к СПС двух новых Договаривающихся сторон, в течение двухгодичного периода 2014–2015 годов не была достигнута. Последней Договаривающейся стороной ст</w:t>
      </w:r>
      <w:r>
        <w:t>ала Саудовская Аравия (январь</w:t>
      </w:r>
      <w:r>
        <w:br/>
      </w:r>
      <w:r w:rsidRPr="001062EC">
        <w:t>2016 года). Потенциал для присоединения к нему новых Договаривающихся ст</w:t>
      </w:r>
      <w:r w:rsidRPr="001062EC">
        <w:t>о</w:t>
      </w:r>
      <w:r w:rsidRPr="001062EC">
        <w:lastRenderedPageBreak/>
        <w:t>рон по-прежнему существует. Из 56 государств − членов ЕЭК Договаривающ</w:t>
      </w:r>
      <w:r w:rsidRPr="001062EC">
        <w:t>и</w:t>
      </w:r>
      <w:r w:rsidRPr="001062EC">
        <w:t>мися сторонами СПС пока не являются Армения, Израиль, Исландия, Канада, Кипр, Лихтенштейн, Мальта, Сан-Марино, Туркменистан и Швейцария. Работа по пропаганде СПС ведется также среди таких других стран Средиземноморья, как Алжир, Египет, Израиль и Иордания. Они уже являются сторонами других правовых документов ЕЭК. Данный показатель достижения рекомендуется с</w:t>
      </w:r>
      <w:r w:rsidRPr="001062EC">
        <w:t>о</w:t>
      </w:r>
      <w:r w:rsidRPr="001062EC">
        <w:t>хранить на период 2016–2017 годов.</w:t>
      </w:r>
    </w:p>
    <w:p w:rsidR="00E15401" w:rsidRDefault="00E15401" w:rsidP="00E15401">
      <w:pPr>
        <w:pStyle w:val="SingleTxt"/>
      </w:pPr>
      <w:r w:rsidRPr="001062EC">
        <w:t>110.</w:t>
      </w:r>
      <w:r w:rsidRPr="001062EC">
        <w:tab/>
        <w:t>В 2014 году на вопросник по осуще</w:t>
      </w:r>
      <w:r>
        <w:t>ствлению СПС ответили 19 стран.</w:t>
      </w:r>
      <w:r>
        <w:br/>
      </w:r>
      <w:r w:rsidRPr="001062EC">
        <w:t xml:space="preserve">В 2015 году ответы на него предоставила 21 страна. Таким образом, фактический результат </w:t>
      </w:r>
      <w:r>
        <w:t>превысил</w:t>
      </w:r>
      <w:r w:rsidRPr="001062EC">
        <w:t xml:space="preserve"> целевой показатель, предусматривающий получение ответов от 20 стран.</w:t>
      </w:r>
    </w:p>
    <w:p w:rsidR="00E15401" w:rsidRPr="008E1F4E" w:rsidRDefault="00E15401" w:rsidP="00E15401">
      <w:pPr>
        <w:pStyle w:val="SingleTxt"/>
        <w:spacing w:after="0" w:line="120" w:lineRule="exact"/>
        <w:rPr>
          <w:sz w:val="10"/>
        </w:rPr>
      </w:pPr>
    </w:p>
    <w:p w:rsidR="00E15401" w:rsidRPr="008E1F4E" w:rsidRDefault="00E15401" w:rsidP="00E15401">
      <w:pPr>
        <w:pStyle w:val="SingleTxt"/>
        <w:spacing w:after="0" w:line="120" w:lineRule="exact"/>
        <w:rPr>
          <w:sz w:val="10"/>
        </w:rPr>
      </w:pPr>
    </w:p>
    <w:p w:rsidR="00E15401" w:rsidRDefault="00E15401" w:rsidP="00E1540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2EC">
        <w:tab/>
        <w:t>D.</w:t>
      </w:r>
      <w:r w:rsidRPr="001062EC">
        <w:tab/>
        <w:t>Извлеченные уроки/области, в которых необходимы улучшения</w:t>
      </w:r>
    </w:p>
    <w:p w:rsidR="00E15401" w:rsidRPr="008E1F4E" w:rsidRDefault="00E15401" w:rsidP="00E15401">
      <w:pPr>
        <w:pStyle w:val="SingleTxt"/>
        <w:spacing w:after="0" w:line="120" w:lineRule="exact"/>
        <w:rPr>
          <w:sz w:val="10"/>
        </w:rPr>
      </w:pPr>
    </w:p>
    <w:p w:rsidR="00E15401" w:rsidRPr="008E1F4E" w:rsidRDefault="00E15401" w:rsidP="00E15401">
      <w:pPr>
        <w:pStyle w:val="SingleTxt"/>
        <w:spacing w:after="0" w:line="120" w:lineRule="exact"/>
        <w:rPr>
          <w:sz w:val="10"/>
        </w:rPr>
      </w:pPr>
    </w:p>
    <w:p w:rsidR="00E15401" w:rsidRPr="001062EC" w:rsidRDefault="00E15401" w:rsidP="00E15401">
      <w:pPr>
        <w:pStyle w:val="SingleTxt"/>
      </w:pPr>
      <w:r w:rsidRPr="001062EC">
        <w:t>111.</w:t>
      </w:r>
      <w:r w:rsidRPr="001062EC">
        <w:tab/>
        <w:t>WP.11 решила сохранить этот показатель достижения, поэтому целевые процентные показатели на 2016–2017 годы рекомендуется повысить.</w:t>
      </w:r>
    </w:p>
    <w:p w:rsidR="00E15401" w:rsidRPr="001062EC" w:rsidRDefault="00E15401" w:rsidP="00E15401">
      <w:pPr>
        <w:pStyle w:val="SingleTxt"/>
      </w:pPr>
      <w:r w:rsidRPr="001062EC">
        <w:t>112.</w:t>
      </w:r>
      <w:r w:rsidRPr="001062EC">
        <w:tab/>
        <w:t>Потенциал для присоединения к Соглашению новых Договаривающихся сторон по-прежнему существует. Данный показатель достижения рекомендуется сохранить на период 2016–2017 годов.</w:t>
      </w:r>
    </w:p>
    <w:p w:rsidR="00E15401" w:rsidRDefault="00E15401" w:rsidP="00E15401">
      <w:pPr>
        <w:pStyle w:val="SingleTxt"/>
      </w:pPr>
      <w:r w:rsidRPr="001062EC">
        <w:t>113.</w:t>
      </w:r>
      <w:r w:rsidRPr="001062EC">
        <w:tab/>
        <w:t>Целевой показатель, характеризующий число ответов на вопросник по ос</w:t>
      </w:r>
      <w:r w:rsidRPr="001062EC">
        <w:t>у</w:t>
      </w:r>
      <w:r w:rsidRPr="001062EC">
        <w:t>ществлени</w:t>
      </w:r>
      <w:r>
        <w:t>ю СПС, был достигнут,</w:t>
      </w:r>
      <w:r w:rsidRPr="001062EC">
        <w:t xml:space="preserve"> поэтому на следующий период его рекоменд</w:t>
      </w:r>
      <w:r w:rsidRPr="001062EC">
        <w:t>у</w:t>
      </w:r>
      <w:r w:rsidRPr="001062EC">
        <w:t xml:space="preserve">ется повысить. </w:t>
      </w:r>
      <w:r>
        <w:t>Некоторые</w:t>
      </w:r>
      <w:r w:rsidRPr="001062EC">
        <w:t xml:space="preserve"> страны заявляют, что они не в состоянии представить требуемые данные в силу особенностей их административных структур. Данный показатель достижения рекомендуется сохранить на период 2016–2017 годов.</w:t>
      </w:r>
    </w:p>
    <w:p w:rsidR="00E15401" w:rsidRPr="008E1F4E" w:rsidRDefault="00E15401" w:rsidP="00E15401">
      <w:pPr>
        <w:pStyle w:val="SingleTxt"/>
        <w:spacing w:after="0" w:line="120" w:lineRule="exact"/>
        <w:rPr>
          <w:sz w:val="10"/>
        </w:rPr>
      </w:pPr>
    </w:p>
    <w:p w:rsidR="00E15401" w:rsidRPr="008E1F4E" w:rsidRDefault="00E15401" w:rsidP="00E15401">
      <w:pPr>
        <w:pStyle w:val="SingleTxt"/>
        <w:spacing w:after="0" w:line="120" w:lineRule="exact"/>
        <w:rPr>
          <w:sz w:val="10"/>
        </w:rPr>
      </w:pPr>
    </w:p>
    <w:p w:rsidR="00E15401" w:rsidRDefault="00E15401" w:rsidP="00E1540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2EC">
        <w:tab/>
      </w:r>
      <w:r w:rsidRPr="001062EC">
        <w:tab/>
        <w:t>Направление деятел</w:t>
      </w:r>
      <w:r>
        <w:t>ьности 13</w:t>
      </w:r>
      <w:r>
        <w:br/>
        <w:t>Статистика транспорта</w:t>
      </w:r>
    </w:p>
    <w:p w:rsidR="00E15401" w:rsidRPr="008E1F4E" w:rsidRDefault="00E15401" w:rsidP="00E15401">
      <w:pPr>
        <w:pStyle w:val="SingleTxt"/>
        <w:spacing w:after="0" w:line="120" w:lineRule="exact"/>
        <w:rPr>
          <w:sz w:val="10"/>
        </w:rPr>
      </w:pPr>
    </w:p>
    <w:p w:rsidR="00E15401" w:rsidRPr="008E1F4E" w:rsidRDefault="00E15401" w:rsidP="00E15401">
      <w:pPr>
        <w:pStyle w:val="SingleTxt"/>
        <w:spacing w:after="0" w:line="120" w:lineRule="exact"/>
        <w:rPr>
          <w:sz w:val="10"/>
        </w:rPr>
      </w:pPr>
    </w:p>
    <w:p w:rsidR="00E15401" w:rsidRDefault="00E15401" w:rsidP="00E1540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2EC">
        <w:tab/>
        <w:t>A.</w:t>
      </w:r>
      <w:r w:rsidRPr="001062EC">
        <w:tab/>
        <w:t>Ожидаемое достижение (ОД 13.)</w:t>
      </w:r>
    </w:p>
    <w:p w:rsidR="00E15401" w:rsidRPr="008E1F4E" w:rsidRDefault="00E15401" w:rsidP="00E15401">
      <w:pPr>
        <w:pStyle w:val="SingleTxt"/>
        <w:spacing w:after="0" w:line="120" w:lineRule="exact"/>
        <w:rPr>
          <w:sz w:val="10"/>
        </w:rPr>
      </w:pPr>
    </w:p>
    <w:p w:rsidR="00E15401" w:rsidRPr="008E1F4E" w:rsidRDefault="00E15401" w:rsidP="00E15401">
      <w:pPr>
        <w:pStyle w:val="SingleTxt"/>
        <w:spacing w:after="0" w:line="120" w:lineRule="exact"/>
        <w:rPr>
          <w:sz w:val="10"/>
        </w:rPr>
      </w:pPr>
    </w:p>
    <w:p w:rsidR="00E15401" w:rsidRDefault="00E15401" w:rsidP="00E15401">
      <w:pPr>
        <w:pStyle w:val="SingleTxt"/>
      </w:pPr>
      <w:r w:rsidRPr="001062EC">
        <w:t>114.</w:t>
      </w:r>
      <w:r w:rsidRPr="001062EC">
        <w:tab/>
        <w:t>Более широкая доступность и сфера охвата данных по статистике транспо</w:t>
      </w:r>
      <w:r w:rsidRPr="001062EC">
        <w:t>р</w:t>
      </w:r>
      <w:r w:rsidRPr="001062EC">
        <w:t>та</w:t>
      </w:r>
      <w:r>
        <w:t>.</w:t>
      </w:r>
    </w:p>
    <w:p w:rsidR="00E15401" w:rsidRPr="008E1F4E" w:rsidRDefault="00E15401" w:rsidP="00E15401">
      <w:pPr>
        <w:pStyle w:val="SingleTxt"/>
        <w:spacing w:after="0" w:line="120" w:lineRule="exact"/>
        <w:rPr>
          <w:sz w:val="10"/>
        </w:rPr>
      </w:pPr>
    </w:p>
    <w:p w:rsidR="00E15401" w:rsidRPr="008E1F4E" w:rsidRDefault="00E15401" w:rsidP="00E15401">
      <w:pPr>
        <w:pStyle w:val="SingleTxt"/>
        <w:spacing w:after="0" w:line="120" w:lineRule="exact"/>
        <w:rPr>
          <w:sz w:val="10"/>
        </w:rPr>
      </w:pPr>
    </w:p>
    <w:p w:rsidR="00E15401" w:rsidRDefault="00E15401" w:rsidP="00E1540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2EC">
        <w:tab/>
        <w:t>B.</w:t>
      </w:r>
      <w:r w:rsidRPr="001062EC">
        <w:tab/>
        <w:t>Показатели достижения</w:t>
      </w:r>
    </w:p>
    <w:p w:rsidR="00E15401" w:rsidRPr="008E1F4E" w:rsidRDefault="00E15401" w:rsidP="00E15401">
      <w:pPr>
        <w:pStyle w:val="SingleTxt"/>
        <w:spacing w:after="0" w:line="120" w:lineRule="exact"/>
        <w:rPr>
          <w:sz w:val="10"/>
        </w:rPr>
      </w:pPr>
    </w:p>
    <w:p w:rsidR="00E15401" w:rsidRPr="008E1F4E" w:rsidRDefault="00E15401" w:rsidP="00E15401">
      <w:pPr>
        <w:pStyle w:val="SingleTxt"/>
        <w:spacing w:after="0" w:line="120" w:lineRule="exact"/>
        <w:rPr>
          <w:sz w:val="10"/>
        </w:rPr>
      </w:pPr>
    </w:p>
    <w:p w:rsidR="00E15401" w:rsidRDefault="00E15401" w:rsidP="00E154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2EC">
        <w:tab/>
        <w:t>1.</w:t>
      </w:r>
      <w:r w:rsidRPr="001062EC">
        <w:tab/>
        <w:t>Число надежных статис</w:t>
      </w:r>
      <w:r>
        <w:t>тических продуктов, имеющихся</w:t>
      </w:r>
      <w:r w:rsidR="005F6AA6">
        <w:t xml:space="preserve"> </w:t>
      </w:r>
      <w:r w:rsidRPr="001062EC">
        <w:t>в Интер</w:t>
      </w:r>
      <w:r>
        <w:t xml:space="preserve">нете </w:t>
      </w:r>
      <w:r w:rsidR="005F6AA6">
        <w:br/>
      </w:r>
      <w:r w:rsidRPr="001062EC">
        <w:t>(ПД 13. a))</w:t>
      </w:r>
    </w:p>
    <w:p w:rsidR="00E15401" w:rsidRPr="008E1F4E" w:rsidRDefault="00E15401" w:rsidP="00E15401">
      <w:pPr>
        <w:pStyle w:val="SingleTxt"/>
        <w:spacing w:after="0" w:line="120" w:lineRule="exact"/>
        <w:rPr>
          <w:sz w:val="10"/>
        </w:rPr>
      </w:pPr>
    </w:p>
    <w:p w:rsidR="00E15401" w:rsidRDefault="00E15401" w:rsidP="00E1540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2EC">
        <w:tab/>
      </w:r>
      <w:r w:rsidRPr="001062EC">
        <w:tab/>
        <w:t>Показатели результативности:</w:t>
      </w:r>
    </w:p>
    <w:p w:rsidR="00E15401" w:rsidRPr="008E1F4E" w:rsidRDefault="00E15401" w:rsidP="00E15401">
      <w:pPr>
        <w:pStyle w:val="SingleTxt"/>
        <w:spacing w:after="0" w:line="120" w:lineRule="exact"/>
        <w:rPr>
          <w:sz w:val="10"/>
        </w:rPr>
      </w:pPr>
    </w:p>
    <w:p w:rsidR="00E15401" w:rsidRPr="001062EC" w:rsidRDefault="00E15401" w:rsidP="00E15401">
      <w:pPr>
        <w:pStyle w:val="SingleTxt"/>
      </w:pPr>
      <w:r w:rsidRPr="001062EC">
        <w:t>Исходные показатели за 2012–2013 годы: по</w:t>
      </w:r>
      <w:r>
        <w:t>лная база статистических данных</w:t>
      </w:r>
      <w:r>
        <w:br/>
      </w:r>
      <w:r w:rsidRPr="001062EC">
        <w:t>в онлайновом режиме</w:t>
      </w:r>
      <w:r>
        <w:t>.</w:t>
      </w:r>
    </w:p>
    <w:p w:rsidR="00E15401" w:rsidRPr="001062EC" w:rsidRDefault="00E15401" w:rsidP="00E15401">
      <w:pPr>
        <w:pStyle w:val="SingleTxt"/>
      </w:pPr>
      <w:r w:rsidRPr="001062EC">
        <w:t>Целевые показатели на 2014−2015 годы: вед</w:t>
      </w:r>
      <w:r>
        <w:t>ение базы статистических данных</w:t>
      </w:r>
      <w:r>
        <w:br/>
      </w:r>
      <w:r w:rsidRPr="001062EC">
        <w:t>в онлайновом режиме</w:t>
      </w:r>
      <w:r>
        <w:t>.</w:t>
      </w:r>
    </w:p>
    <w:p w:rsidR="00E15401" w:rsidRDefault="00E15401" w:rsidP="00E15401">
      <w:pPr>
        <w:pStyle w:val="SingleTxt"/>
        <w:rPr>
          <w:b/>
          <w:bCs/>
        </w:rPr>
      </w:pPr>
      <w:r w:rsidRPr="001062EC">
        <w:rPr>
          <w:b/>
          <w:bCs/>
        </w:rPr>
        <w:t>Фактические показатели за 2014–2015 годы: полная база статистических данных в онлайновом режиме</w:t>
      </w:r>
      <w:r>
        <w:rPr>
          <w:b/>
          <w:bCs/>
        </w:rPr>
        <w:t>.</w:t>
      </w:r>
    </w:p>
    <w:p w:rsidR="00E15401" w:rsidRPr="008E1F4E" w:rsidRDefault="00E15401" w:rsidP="00E15401">
      <w:pPr>
        <w:pStyle w:val="SingleTxt"/>
        <w:spacing w:after="0" w:line="120" w:lineRule="exact"/>
        <w:rPr>
          <w:b/>
          <w:bCs/>
          <w:sz w:val="10"/>
        </w:rPr>
      </w:pPr>
    </w:p>
    <w:p w:rsidR="00E15401" w:rsidRDefault="00E15401" w:rsidP="00E154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2EC">
        <w:tab/>
        <w:t>2.</w:t>
      </w:r>
      <w:r w:rsidRPr="001062EC">
        <w:tab/>
        <w:t xml:space="preserve">Использование данных, определяемое по </w:t>
      </w:r>
      <w:r>
        <w:t>числу загрузок</w:t>
      </w:r>
      <w:r>
        <w:br/>
      </w:r>
      <w:r w:rsidRPr="001062EC">
        <w:t>с веб-сайтов (ПД 13. b))</w:t>
      </w:r>
    </w:p>
    <w:p w:rsidR="00E15401" w:rsidRPr="008E1F4E" w:rsidRDefault="00E15401" w:rsidP="00E15401">
      <w:pPr>
        <w:pStyle w:val="SingleTxt"/>
        <w:spacing w:after="0" w:line="120" w:lineRule="exact"/>
        <w:rPr>
          <w:sz w:val="10"/>
        </w:rPr>
      </w:pPr>
    </w:p>
    <w:p w:rsidR="00E15401" w:rsidRDefault="00E15401" w:rsidP="00E1540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2EC">
        <w:tab/>
      </w:r>
      <w:r w:rsidRPr="001062EC">
        <w:tab/>
        <w:t>Показатели результативности:</w:t>
      </w:r>
    </w:p>
    <w:p w:rsidR="00E15401" w:rsidRPr="008E1F4E" w:rsidRDefault="00E15401" w:rsidP="00E15401">
      <w:pPr>
        <w:pStyle w:val="SingleTxt"/>
        <w:spacing w:after="0" w:line="120" w:lineRule="exact"/>
        <w:rPr>
          <w:sz w:val="10"/>
        </w:rPr>
      </w:pPr>
    </w:p>
    <w:p w:rsidR="00E15401" w:rsidRPr="001062EC" w:rsidRDefault="00E15401" w:rsidP="00E15401">
      <w:pPr>
        <w:pStyle w:val="SingleTxt"/>
      </w:pPr>
      <w:r w:rsidRPr="001062EC">
        <w:lastRenderedPageBreak/>
        <w:t>Исходные показатели за 2012–2013 годы: 84 000 загрузок</w:t>
      </w:r>
      <w:r>
        <w:t>.</w:t>
      </w:r>
    </w:p>
    <w:p w:rsidR="00E15401" w:rsidRPr="001062EC" w:rsidRDefault="00E15401" w:rsidP="00E15401">
      <w:pPr>
        <w:pStyle w:val="SingleTxt"/>
      </w:pPr>
      <w:r w:rsidRPr="001062EC">
        <w:t>Целевые показатели на 2014–2015 годы: 88 000 загрузок</w:t>
      </w:r>
      <w:r>
        <w:t>.</w:t>
      </w:r>
    </w:p>
    <w:p w:rsidR="00E15401" w:rsidRDefault="00E15401" w:rsidP="00E15401">
      <w:pPr>
        <w:pStyle w:val="SingleTxt"/>
        <w:rPr>
          <w:b/>
          <w:bCs/>
        </w:rPr>
      </w:pPr>
      <w:r w:rsidRPr="001062EC">
        <w:rPr>
          <w:b/>
          <w:bCs/>
        </w:rPr>
        <w:t>Фактические показатели за 2014–2015 годы</w:t>
      </w:r>
      <w:r w:rsidRPr="008E1F4E">
        <w:rPr>
          <w:bCs/>
          <w:vertAlign w:val="superscript"/>
        </w:rPr>
        <w:footnoteReference w:id="9"/>
      </w:r>
      <w:r>
        <w:rPr>
          <w:b/>
          <w:bCs/>
        </w:rPr>
        <w:t>.</w:t>
      </w:r>
    </w:p>
    <w:p w:rsidR="00E15401" w:rsidRPr="008E1F4E" w:rsidRDefault="00E15401" w:rsidP="00E15401">
      <w:pPr>
        <w:pStyle w:val="SingleTxt"/>
        <w:spacing w:after="0" w:line="120" w:lineRule="exact"/>
        <w:rPr>
          <w:b/>
          <w:bCs/>
          <w:sz w:val="10"/>
        </w:rPr>
      </w:pPr>
    </w:p>
    <w:p w:rsidR="00E15401" w:rsidRPr="008E1F4E" w:rsidRDefault="00E15401" w:rsidP="00E15401">
      <w:pPr>
        <w:pStyle w:val="SingleTxt"/>
        <w:spacing w:after="0" w:line="120" w:lineRule="exact"/>
        <w:rPr>
          <w:b/>
          <w:bCs/>
          <w:sz w:val="10"/>
        </w:rPr>
      </w:pPr>
    </w:p>
    <w:p w:rsidR="00E15401" w:rsidRDefault="00E15401" w:rsidP="00E1540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2EC">
        <w:tab/>
        <w:t>C.</w:t>
      </w:r>
      <w:r w:rsidRPr="001062EC">
        <w:tab/>
        <w:t>Оценка результативности</w:t>
      </w:r>
    </w:p>
    <w:p w:rsidR="00E15401" w:rsidRPr="008E1F4E" w:rsidRDefault="00E15401" w:rsidP="00E15401">
      <w:pPr>
        <w:pStyle w:val="SingleTxt"/>
        <w:spacing w:after="0" w:line="120" w:lineRule="exact"/>
        <w:rPr>
          <w:sz w:val="10"/>
        </w:rPr>
      </w:pPr>
    </w:p>
    <w:p w:rsidR="00E15401" w:rsidRPr="008E1F4E" w:rsidRDefault="00E15401" w:rsidP="00E15401">
      <w:pPr>
        <w:pStyle w:val="SingleTxt"/>
        <w:spacing w:after="0" w:line="120" w:lineRule="exact"/>
        <w:rPr>
          <w:sz w:val="10"/>
        </w:rPr>
      </w:pPr>
    </w:p>
    <w:p w:rsidR="00E15401" w:rsidRPr="001062EC" w:rsidRDefault="00E15401" w:rsidP="00E15401">
      <w:pPr>
        <w:pStyle w:val="SingleTxt"/>
      </w:pPr>
      <w:r w:rsidRPr="001062EC">
        <w:t>115.</w:t>
      </w:r>
      <w:r w:rsidRPr="001062EC">
        <w:tab/>
        <w:t>Рабочая группа по статистике транспорта (WP.6</w:t>
      </w:r>
      <w:r>
        <w:t>) провела две очередные сессии.</w:t>
      </w:r>
    </w:p>
    <w:p w:rsidR="00E15401" w:rsidRDefault="00E15401" w:rsidP="00E15401">
      <w:pPr>
        <w:pStyle w:val="SingleTxt"/>
      </w:pPr>
      <w:r w:rsidRPr="001062EC">
        <w:t>116.</w:t>
      </w:r>
      <w:r w:rsidRPr="001062EC">
        <w:tab/>
        <w:t xml:space="preserve">Общий вопросник ЕЭК, </w:t>
      </w:r>
      <w:proofErr w:type="spellStart"/>
      <w:r w:rsidRPr="001062EC">
        <w:t>Евростата</w:t>
      </w:r>
      <w:proofErr w:type="spellEnd"/>
      <w:r w:rsidRPr="001062EC">
        <w:t xml:space="preserve"> и Международного транспортного фор</w:t>
      </w:r>
      <w:r w:rsidRPr="001062EC">
        <w:t>у</w:t>
      </w:r>
      <w:r w:rsidRPr="001062EC">
        <w:t>ма (МТФ) по статистике тран</w:t>
      </w:r>
      <w:r>
        <w:t>спорта был</w:t>
      </w:r>
      <w:r w:rsidRPr="001062EC">
        <w:t xml:space="preserve"> упорядочен и утвержден Рабочей гру</w:t>
      </w:r>
      <w:r w:rsidRPr="001062EC">
        <w:t>п</w:t>
      </w:r>
      <w:r w:rsidRPr="001062EC">
        <w:t>пой. Нагрузка на государства-члены значительно сократилась благодаря взаим</w:t>
      </w:r>
      <w:r w:rsidRPr="001062EC">
        <w:t>о</w:t>
      </w:r>
      <w:r w:rsidRPr="001062EC">
        <w:t>действию с секретариатом Базы данных Сообщества о дорожно-транспортных происшествиях в Европе (CARE). Эффективность функционирования онлайн</w:t>
      </w:r>
      <w:r w:rsidRPr="001062EC">
        <w:t>о</w:t>
      </w:r>
      <w:r w:rsidRPr="001062EC">
        <w:t>вой базы данных по статистике транспорта была повышена за счет более сво</w:t>
      </w:r>
      <w:r w:rsidRPr="001062EC">
        <w:t>е</w:t>
      </w:r>
      <w:r w:rsidRPr="001062EC">
        <w:t>временного представления соответствующей информации. Кроме того, в 2013 и 2014 годах были опубликованы очередные выпуски ежегодной брошюры с да</w:t>
      </w:r>
      <w:r w:rsidRPr="001062EC">
        <w:t>н</w:t>
      </w:r>
      <w:r w:rsidRPr="001062EC">
        <w:t>ными об основных показателях транспортного сектора. Были подготовлены и размещены в Интернете два периодических издания: «Статистика дорожно-транспортных происшествий в Европе и Северной Америке» (СДТП) и «Стат</w:t>
      </w:r>
      <w:r w:rsidRPr="001062EC">
        <w:t>и</w:t>
      </w:r>
      <w:r w:rsidRPr="001062EC">
        <w:t>стика транспорта ЕЭК для Европы и Северной Америки» (ранее БЕСАСТ). П</w:t>
      </w:r>
      <w:r w:rsidRPr="001062EC">
        <w:t>о</w:t>
      </w:r>
      <w:r w:rsidRPr="001062EC">
        <w:t xml:space="preserve">дробные рекомендации для стран, участвующих в обследованиях движения по автомобильным и железным дорогам категории Е </w:t>
      </w:r>
      <w:r>
        <w:t>2015 года, были утверждены</w:t>
      </w:r>
      <w:r>
        <w:br/>
      </w:r>
      <w:r w:rsidRPr="001062EC">
        <w:t>и распространены среди государств-членов</w:t>
      </w:r>
      <w:r>
        <w:t xml:space="preserve">. В сотрудничестве с </w:t>
      </w:r>
      <w:proofErr w:type="spellStart"/>
      <w:r>
        <w:t>Евростатом</w:t>
      </w:r>
      <w:proofErr w:type="spellEnd"/>
      <w:r>
        <w:br/>
      </w:r>
      <w:r w:rsidRPr="001062EC">
        <w:t xml:space="preserve">и МТФ было принято несколько экспериментальных </w:t>
      </w:r>
      <w:r>
        <w:t>вопросников (данные</w:t>
      </w:r>
      <w:r>
        <w:br/>
      </w:r>
      <w:r w:rsidRPr="001062EC">
        <w:t>о транспортировке газа по газопроводам, данные о дорожном движении и данные о пассажирских перевозках городскими и междугородными автобусами), которые стали применяться в рамках регулярного сбора данных. С принятием коротких двузначных обозначений была пересмотрена стандартная номенклатура грузов для статистики транспорта (NST 2007). И наконец, была продолжена работа по согласованию методологий в области статистики транспорта.</w:t>
      </w:r>
    </w:p>
    <w:p w:rsidR="00E15401" w:rsidRPr="008E1F4E" w:rsidRDefault="00E15401" w:rsidP="00E15401">
      <w:pPr>
        <w:pStyle w:val="SingleTxt"/>
        <w:spacing w:after="0" w:line="120" w:lineRule="exact"/>
        <w:rPr>
          <w:sz w:val="10"/>
        </w:rPr>
      </w:pPr>
    </w:p>
    <w:p w:rsidR="00E15401" w:rsidRPr="008E1F4E" w:rsidRDefault="00E15401" w:rsidP="00E15401">
      <w:pPr>
        <w:pStyle w:val="SingleTxt"/>
        <w:spacing w:after="0" w:line="120" w:lineRule="exact"/>
        <w:rPr>
          <w:sz w:val="10"/>
        </w:rPr>
      </w:pPr>
    </w:p>
    <w:p w:rsidR="00E15401" w:rsidRDefault="00E15401" w:rsidP="00E1540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2EC">
        <w:tab/>
        <w:t>D.</w:t>
      </w:r>
      <w:r w:rsidRPr="001062EC">
        <w:tab/>
        <w:t>Извлеченные уроки/области, в которых необходимы улучшения</w:t>
      </w:r>
    </w:p>
    <w:p w:rsidR="00E15401" w:rsidRPr="008E1F4E" w:rsidRDefault="00E15401" w:rsidP="00E15401">
      <w:pPr>
        <w:pStyle w:val="SingleTxt"/>
        <w:spacing w:after="0" w:line="120" w:lineRule="exact"/>
        <w:rPr>
          <w:sz w:val="10"/>
        </w:rPr>
      </w:pPr>
    </w:p>
    <w:p w:rsidR="00E15401" w:rsidRPr="008E1F4E" w:rsidRDefault="00E15401" w:rsidP="00E15401">
      <w:pPr>
        <w:pStyle w:val="SingleTxt"/>
        <w:spacing w:after="0" w:line="120" w:lineRule="exact"/>
        <w:rPr>
          <w:sz w:val="10"/>
        </w:rPr>
      </w:pPr>
    </w:p>
    <w:p w:rsidR="00E15401" w:rsidRDefault="00E15401" w:rsidP="00E15401">
      <w:pPr>
        <w:pStyle w:val="SingleTxt"/>
      </w:pPr>
      <w:r w:rsidRPr="001062EC">
        <w:t>117.</w:t>
      </w:r>
      <w:r w:rsidRPr="001062EC">
        <w:tab/>
        <w:t>Проведенный секретариатом анализ пробелов в работе показал, что необх</w:t>
      </w:r>
      <w:r w:rsidRPr="001062EC">
        <w:t>о</w:t>
      </w:r>
      <w:r w:rsidRPr="001062EC">
        <w:t>димо уделять больше внимания сотрудничеству со странами Восточной и Це</w:t>
      </w:r>
      <w:r w:rsidRPr="001062EC">
        <w:t>н</w:t>
      </w:r>
      <w:r w:rsidRPr="001062EC">
        <w:t>тральной Европы, Кавказа и Центральной Азии. Рабочие совещания, организ</w:t>
      </w:r>
      <w:r w:rsidRPr="001062EC">
        <w:t>о</w:t>
      </w:r>
      <w:r w:rsidRPr="001062EC">
        <w:t>в</w:t>
      </w:r>
      <w:r>
        <w:t>анные секретариатом в предыдущий двухгодичный период</w:t>
      </w:r>
      <w:r w:rsidRPr="001062EC">
        <w:t>, позволили наладить непосредственное взаимодействие с поставщиками данных, однако работу в этом направлении необходимо продолжать. Для того чтобы некоторые страны прин</w:t>
      </w:r>
      <w:r w:rsidRPr="001062EC">
        <w:t>и</w:t>
      </w:r>
      <w:r w:rsidRPr="001062EC">
        <w:t>мали в этой работе более активное участие, следует проводить больше меропри</w:t>
      </w:r>
      <w:r w:rsidRPr="001062EC">
        <w:t>я</w:t>
      </w:r>
      <w:r w:rsidRPr="001062EC">
        <w:t>тий по укреплению их потенциала. Кроме того, оптимизация Общего вопросника облегчила с</w:t>
      </w:r>
      <w:r>
        <w:t>бор информации, по крайней мере</w:t>
      </w:r>
      <w:r w:rsidRPr="001062EC">
        <w:t xml:space="preserve"> по основным показателям</w:t>
      </w:r>
      <w:r>
        <w:t>,</w:t>
      </w:r>
      <w:r w:rsidRPr="001062EC">
        <w:t xml:space="preserve"> и пов</w:t>
      </w:r>
      <w:r w:rsidRPr="001062EC">
        <w:t>ы</w:t>
      </w:r>
      <w:r w:rsidRPr="001062EC">
        <w:t>сила своевременность представления данных. Рабочей группе необходимо и д</w:t>
      </w:r>
      <w:r w:rsidRPr="001062EC">
        <w:t>а</w:t>
      </w:r>
      <w:r w:rsidRPr="001062EC">
        <w:t>лее содействовать содержательному обмену мнениями по методологическим а</w:t>
      </w:r>
      <w:r w:rsidRPr="001062EC">
        <w:t>с</w:t>
      </w:r>
      <w:r w:rsidRPr="001062EC">
        <w:t>пектам статистики транспорта.</w:t>
      </w:r>
    </w:p>
    <w:p w:rsidR="00E15401" w:rsidRPr="008E1F4E" w:rsidRDefault="00E15401" w:rsidP="00E15401">
      <w:pPr>
        <w:pStyle w:val="SingleTxt"/>
        <w:spacing w:after="0" w:line="120" w:lineRule="exact"/>
        <w:rPr>
          <w:sz w:val="10"/>
        </w:rPr>
      </w:pPr>
    </w:p>
    <w:p w:rsidR="00E15401" w:rsidRPr="008E1F4E" w:rsidRDefault="00E15401" w:rsidP="00E15401">
      <w:pPr>
        <w:pStyle w:val="SingleTxt"/>
        <w:spacing w:after="0" w:line="120" w:lineRule="exact"/>
        <w:rPr>
          <w:sz w:val="10"/>
        </w:rPr>
      </w:pPr>
    </w:p>
    <w:p w:rsidR="00E15401" w:rsidRDefault="00E15401" w:rsidP="00E1540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2EC">
        <w:lastRenderedPageBreak/>
        <w:tab/>
      </w:r>
      <w:r w:rsidRPr="001062EC">
        <w:tab/>
        <w:t>Направление деятельности 14.a</w:t>
      </w:r>
      <w:r w:rsidRPr="001062EC">
        <w:br/>
        <w:t>Автомобильный транспорт</w:t>
      </w:r>
    </w:p>
    <w:p w:rsidR="00E15401" w:rsidRPr="008E1F4E" w:rsidRDefault="00E15401" w:rsidP="00E15401">
      <w:pPr>
        <w:pStyle w:val="SingleTxt"/>
        <w:spacing w:after="0" w:line="120" w:lineRule="exact"/>
        <w:rPr>
          <w:sz w:val="10"/>
        </w:rPr>
      </w:pPr>
    </w:p>
    <w:p w:rsidR="00E15401" w:rsidRPr="008E1F4E" w:rsidRDefault="00E15401" w:rsidP="00E15401">
      <w:pPr>
        <w:pStyle w:val="SingleTxt"/>
        <w:spacing w:after="0" w:line="120" w:lineRule="exact"/>
        <w:rPr>
          <w:sz w:val="10"/>
        </w:rPr>
      </w:pPr>
    </w:p>
    <w:p w:rsidR="00E15401" w:rsidRDefault="00E15401" w:rsidP="00E1540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2EC">
        <w:tab/>
        <w:t>A.</w:t>
      </w:r>
      <w:r w:rsidRPr="001062EC">
        <w:tab/>
        <w:t>Ожидаемое достижение (ОД 14.а)</w:t>
      </w:r>
    </w:p>
    <w:p w:rsidR="00E15401" w:rsidRPr="008E1F4E" w:rsidRDefault="00E15401" w:rsidP="00E15401">
      <w:pPr>
        <w:pStyle w:val="SingleTxt"/>
        <w:spacing w:after="0" w:line="120" w:lineRule="exact"/>
        <w:rPr>
          <w:sz w:val="10"/>
        </w:rPr>
      </w:pPr>
    </w:p>
    <w:p w:rsidR="00E15401" w:rsidRPr="008E1F4E" w:rsidRDefault="00E15401" w:rsidP="00E15401">
      <w:pPr>
        <w:pStyle w:val="SingleTxt"/>
        <w:spacing w:after="0" w:line="120" w:lineRule="exact"/>
        <w:rPr>
          <w:sz w:val="10"/>
        </w:rPr>
      </w:pPr>
    </w:p>
    <w:p w:rsidR="00E15401" w:rsidRDefault="00E15401" w:rsidP="00E15401">
      <w:pPr>
        <w:pStyle w:val="SingleTxt"/>
      </w:pPr>
      <w:r w:rsidRPr="001062EC">
        <w:t>118.</w:t>
      </w:r>
      <w:r w:rsidRPr="001062EC">
        <w:tab/>
        <w:t>Более активное осуществление Европейского соглашения, касающегося р</w:t>
      </w:r>
      <w:r w:rsidRPr="001062EC">
        <w:t>а</w:t>
      </w:r>
      <w:r w:rsidRPr="001062EC">
        <w:t>боты экипажей транспортных средств, производящих международные автом</w:t>
      </w:r>
      <w:r w:rsidRPr="001062EC">
        <w:t>о</w:t>
      </w:r>
      <w:r w:rsidRPr="001062EC">
        <w:t>бильные перевозки (ЕСТР).</w:t>
      </w:r>
    </w:p>
    <w:p w:rsidR="00E15401" w:rsidRPr="008E1F4E" w:rsidRDefault="00E15401" w:rsidP="00E15401">
      <w:pPr>
        <w:pStyle w:val="SingleTxt"/>
        <w:spacing w:after="0" w:line="120" w:lineRule="exact"/>
        <w:rPr>
          <w:sz w:val="10"/>
        </w:rPr>
      </w:pPr>
    </w:p>
    <w:p w:rsidR="00E15401" w:rsidRPr="008E1F4E" w:rsidRDefault="00E15401" w:rsidP="00E15401">
      <w:pPr>
        <w:pStyle w:val="SingleTxt"/>
        <w:spacing w:after="0" w:line="120" w:lineRule="exact"/>
        <w:rPr>
          <w:sz w:val="10"/>
        </w:rPr>
      </w:pPr>
    </w:p>
    <w:p w:rsidR="00E15401" w:rsidRDefault="00E15401" w:rsidP="00E1540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2EC">
        <w:tab/>
        <w:t>B.</w:t>
      </w:r>
      <w:r w:rsidRPr="001062EC">
        <w:tab/>
        <w:t>Показатели достижения</w:t>
      </w:r>
    </w:p>
    <w:p w:rsidR="00E15401" w:rsidRPr="008E1F4E" w:rsidRDefault="00E15401" w:rsidP="00E15401">
      <w:pPr>
        <w:pStyle w:val="SingleTxt"/>
        <w:spacing w:after="0" w:line="120" w:lineRule="exact"/>
        <w:rPr>
          <w:sz w:val="10"/>
        </w:rPr>
      </w:pPr>
    </w:p>
    <w:p w:rsidR="00E15401" w:rsidRPr="008E1F4E" w:rsidRDefault="00E15401" w:rsidP="00E15401">
      <w:pPr>
        <w:pStyle w:val="SingleTxt"/>
        <w:spacing w:after="0" w:line="120" w:lineRule="exact"/>
        <w:rPr>
          <w:sz w:val="10"/>
        </w:rPr>
      </w:pPr>
    </w:p>
    <w:p w:rsidR="00E15401" w:rsidRDefault="00E15401" w:rsidP="00E154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2EC">
        <w:tab/>
        <w:t>1.</w:t>
      </w:r>
      <w:r w:rsidRPr="001062EC">
        <w:tab/>
        <w:t>Число выявленных пр</w:t>
      </w:r>
      <w:r>
        <w:t>облемных областей и предложений</w:t>
      </w:r>
      <w:r w:rsidR="005F6AA6">
        <w:t xml:space="preserve"> </w:t>
      </w:r>
      <w:r w:rsidRPr="001062EC">
        <w:t>по их устранению (ПД 14.a. а))</w:t>
      </w:r>
    </w:p>
    <w:p w:rsidR="00E15401" w:rsidRPr="008E1F4E" w:rsidRDefault="00E15401" w:rsidP="00E15401">
      <w:pPr>
        <w:pStyle w:val="SingleTxt"/>
        <w:spacing w:after="0" w:line="120" w:lineRule="exact"/>
        <w:rPr>
          <w:sz w:val="10"/>
        </w:rPr>
      </w:pPr>
    </w:p>
    <w:p w:rsidR="00E15401" w:rsidRDefault="00E15401" w:rsidP="00E1540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2EC">
        <w:tab/>
      </w:r>
      <w:r w:rsidRPr="001062EC">
        <w:tab/>
        <w:t>Показатели результативности:</w:t>
      </w:r>
    </w:p>
    <w:p w:rsidR="00E15401" w:rsidRPr="008E1F4E" w:rsidRDefault="00E15401" w:rsidP="00E15401">
      <w:pPr>
        <w:pStyle w:val="SingleTxt"/>
        <w:spacing w:after="0" w:line="120" w:lineRule="exact"/>
        <w:rPr>
          <w:sz w:val="10"/>
        </w:rPr>
      </w:pPr>
    </w:p>
    <w:p w:rsidR="00E15401" w:rsidRPr="001062EC" w:rsidRDefault="00E15401" w:rsidP="00E15401">
      <w:pPr>
        <w:pStyle w:val="SingleTxt"/>
      </w:pPr>
      <w:r w:rsidRPr="001062EC">
        <w:t>Исходные показатели за 2012–2013 годы: 4 области</w:t>
      </w:r>
      <w:r>
        <w:t>.</w:t>
      </w:r>
    </w:p>
    <w:p w:rsidR="00E15401" w:rsidRPr="001062EC" w:rsidRDefault="00E15401" w:rsidP="00E15401">
      <w:pPr>
        <w:pStyle w:val="SingleTxt"/>
      </w:pPr>
      <w:r w:rsidRPr="001062EC">
        <w:t>Целевые показатели на 2014–2015 годы: 4 области</w:t>
      </w:r>
      <w:r>
        <w:t>.</w:t>
      </w:r>
    </w:p>
    <w:p w:rsidR="00E15401" w:rsidRDefault="00E15401" w:rsidP="00E15401">
      <w:pPr>
        <w:pStyle w:val="SingleTxt"/>
        <w:rPr>
          <w:b/>
          <w:bCs/>
        </w:rPr>
      </w:pPr>
      <w:r w:rsidRPr="001062EC">
        <w:rPr>
          <w:b/>
          <w:bCs/>
        </w:rPr>
        <w:t>Фактические показатели за 2014–2015 годы: 4 област</w:t>
      </w:r>
      <w:r>
        <w:rPr>
          <w:b/>
          <w:bCs/>
        </w:rPr>
        <w:t>и.</w:t>
      </w:r>
    </w:p>
    <w:p w:rsidR="00E15401" w:rsidRPr="008E1F4E" w:rsidRDefault="00E15401" w:rsidP="00E15401">
      <w:pPr>
        <w:pStyle w:val="SingleTxt"/>
        <w:spacing w:after="0" w:line="120" w:lineRule="exact"/>
        <w:rPr>
          <w:b/>
          <w:bCs/>
          <w:sz w:val="10"/>
        </w:rPr>
      </w:pPr>
    </w:p>
    <w:p w:rsidR="00E15401" w:rsidRDefault="00E15401" w:rsidP="00E154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2EC">
        <w:tab/>
        <w:t>2.</w:t>
      </w:r>
      <w:r w:rsidRPr="001062EC">
        <w:tab/>
        <w:t>Число семинаров и рабочих совещаний (ПД 14.a. b))</w:t>
      </w:r>
    </w:p>
    <w:p w:rsidR="00E15401" w:rsidRPr="008E1F4E" w:rsidRDefault="00E15401" w:rsidP="00E15401">
      <w:pPr>
        <w:pStyle w:val="SingleTxt"/>
        <w:spacing w:after="0" w:line="120" w:lineRule="exact"/>
        <w:rPr>
          <w:sz w:val="10"/>
        </w:rPr>
      </w:pPr>
    </w:p>
    <w:p w:rsidR="00E15401" w:rsidRDefault="00E15401" w:rsidP="00E1540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Показатели результативности:</w:t>
      </w:r>
    </w:p>
    <w:p w:rsidR="00E15401" w:rsidRPr="008E1F4E" w:rsidRDefault="00E15401" w:rsidP="00E15401">
      <w:pPr>
        <w:pStyle w:val="SingleTxt"/>
        <w:spacing w:after="0" w:line="120" w:lineRule="exact"/>
        <w:rPr>
          <w:sz w:val="10"/>
        </w:rPr>
      </w:pPr>
    </w:p>
    <w:p w:rsidR="00E15401" w:rsidRPr="001062EC" w:rsidRDefault="00E15401" w:rsidP="00E15401">
      <w:pPr>
        <w:pStyle w:val="SingleTxt"/>
      </w:pPr>
      <w:r w:rsidRPr="001062EC">
        <w:t>Исходные показатели за 2012–2013 годы: 6</w:t>
      </w:r>
      <w:r>
        <w:t>.</w:t>
      </w:r>
    </w:p>
    <w:p w:rsidR="00E15401" w:rsidRPr="001062EC" w:rsidRDefault="00E15401" w:rsidP="00E15401">
      <w:pPr>
        <w:pStyle w:val="SingleTxt"/>
      </w:pPr>
      <w:r w:rsidRPr="001062EC">
        <w:t>Целевые показатели на 2014–2015 годы: 3</w:t>
      </w:r>
      <w:r>
        <w:t>.</w:t>
      </w:r>
    </w:p>
    <w:p w:rsidR="00E15401" w:rsidRDefault="00E15401" w:rsidP="00E15401">
      <w:pPr>
        <w:pStyle w:val="SingleTxt"/>
        <w:rPr>
          <w:b/>
          <w:bCs/>
        </w:rPr>
      </w:pPr>
      <w:r w:rsidRPr="001062EC">
        <w:rPr>
          <w:b/>
          <w:bCs/>
        </w:rPr>
        <w:t>Фактические показатели за 2014–2015 годы: 6</w:t>
      </w:r>
      <w:r>
        <w:rPr>
          <w:b/>
          <w:bCs/>
        </w:rPr>
        <w:t>.</w:t>
      </w:r>
    </w:p>
    <w:p w:rsidR="00E15401" w:rsidRPr="008E1F4E" w:rsidRDefault="00E15401" w:rsidP="00E15401">
      <w:pPr>
        <w:pStyle w:val="SingleTxt"/>
        <w:spacing w:after="0" w:line="120" w:lineRule="exact"/>
        <w:rPr>
          <w:b/>
          <w:bCs/>
          <w:sz w:val="10"/>
        </w:rPr>
      </w:pPr>
    </w:p>
    <w:p w:rsidR="00E15401" w:rsidRDefault="00E15401" w:rsidP="00E154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2EC">
        <w:tab/>
        <w:t>3.</w:t>
      </w:r>
      <w:r w:rsidRPr="001062EC">
        <w:tab/>
        <w:t>Среднее число участников одного семина</w:t>
      </w:r>
      <w:r>
        <w:t>ра или рабочего</w:t>
      </w:r>
      <w:r w:rsidR="000C3A74" w:rsidRPr="000C3A74">
        <w:t xml:space="preserve"> </w:t>
      </w:r>
      <w:r w:rsidR="000C3A74" w:rsidRPr="001062EC">
        <w:t>совещания</w:t>
      </w:r>
      <w:r>
        <w:br/>
      </w:r>
      <w:r w:rsidRPr="001062EC">
        <w:t>(ПД 14.a. c))</w:t>
      </w:r>
    </w:p>
    <w:p w:rsidR="00E15401" w:rsidRPr="008E1F4E" w:rsidRDefault="00E15401" w:rsidP="00E15401">
      <w:pPr>
        <w:pStyle w:val="SingleTxt"/>
        <w:spacing w:after="0" w:line="120" w:lineRule="exact"/>
        <w:rPr>
          <w:sz w:val="10"/>
        </w:rPr>
      </w:pPr>
    </w:p>
    <w:p w:rsidR="00E15401" w:rsidRDefault="00E15401" w:rsidP="00E1540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Показатели результативности:</w:t>
      </w:r>
    </w:p>
    <w:p w:rsidR="00E15401" w:rsidRPr="008E1F4E" w:rsidRDefault="00E15401" w:rsidP="00E15401">
      <w:pPr>
        <w:pStyle w:val="SingleTxt"/>
        <w:spacing w:after="0" w:line="120" w:lineRule="exact"/>
        <w:rPr>
          <w:sz w:val="10"/>
        </w:rPr>
      </w:pPr>
    </w:p>
    <w:p w:rsidR="00E15401" w:rsidRPr="001062EC" w:rsidRDefault="00E15401" w:rsidP="00E15401">
      <w:pPr>
        <w:pStyle w:val="SingleTxt"/>
      </w:pPr>
      <w:r w:rsidRPr="001062EC">
        <w:t>Исходные показатели за 2012–2013 годы: 22 (без учета участников шестой се</w:t>
      </w:r>
      <w:r w:rsidRPr="001062EC">
        <w:t>с</w:t>
      </w:r>
      <w:r>
        <w:t>сии).</w:t>
      </w:r>
    </w:p>
    <w:p w:rsidR="00E15401" w:rsidRPr="001062EC" w:rsidRDefault="00E15401" w:rsidP="00E15401">
      <w:pPr>
        <w:pStyle w:val="SingleTxt"/>
      </w:pPr>
      <w:r w:rsidRPr="001062EC">
        <w:t>Целевые показатели на 2014–2015 годы: 65</w:t>
      </w:r>
      <w:r>
        <w:t>.</w:t>
      </w:r>
    </w:p>
    <w:p w:rsidR="00E15401" w:rsidRDefault="00E15401" w:rsidP="00E15401">
      <w:pPr>
        <w:pStyle w:val="SingleTxt"/>
        <w:rPr>
          <w:b/>
          <w:bCs/>
        </w:rPr>
      </w:pPr>
      <w:r w:rsidRPr="001062EC">
        <w:rPr>
          <w:b/>
          <w:bCs/>
        </w:rPr>
        <w:t>Фактические показатели за 2014–2015 годы: 73 (без учета участников дес</w:t>
      </w:r>
      <w:r w:rsidRPr="001062EC">
        <w:rPr>
          <w:b/>
          <w:bCs/>
        </w:rPr>
        <w:t>я</w:t>
      </w:r>
      <w:r w:rsidRPr="001062EC">
        <w:rPr>
          <w:b/>
          <w:bCs/>
        </w:rPr>
        <w:t>той сессии)</w:t>
      </w:r>
      <w:r>
        <w:rPr>
          <w:b/>
          <w:bCs/>
        </w:rPr>
        <w:t>.</w:t>
      </w:r>
    </w:p>
    <w:p w:rsidR="00E15401" w:rsidRPr="008E1F4E" w:rsidRDefault="00E15401" w:rsidP="00E15401">
      <w:pPr>
        <w:pStyle w:val="SingleTxt"/>
        <w:spacing w:after="0" w:line="120" w:lineRule="exact"/>
        <w:rPr>
          <w:b/>
          <w:bCs/>
          <w:sz w:val="10"/>
        </w:rPr>
      </w:pPr>
    </w:p>
    <w:p w:rsidR="00E15401" w:rsidRPr="008E1F4E" w:rsidRDefault="00E15401" w:rsidP="00E15401">
      <w:pPr>
        <w:pStyle w:val="SingleTxt"/>
        <w:spacing w:after="0" w:line="120" w:lineRule="exact"/>
        <w:rPr>
          <w:b/>
          <w:bCs/>
          <w:sz w:val="10"/>
        </w:rPr>
      </w:pPr>
    </w:p>
    <w:p w:rsidR="00E15401" w:rsidRDefault="00E15401" w:rsidP="00E1540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2EC">
        <w:tab/>
        <w:t>C.</w:t>
      </w:r>
      <w:r w:rsidRPr="001062EC">
        <w:tab/>
        <w:t>Оценка результативности</w:t>
      </w:r>
    </w:p>
    <w:p w:rsidR="00E15401" w:rsidRPr="008E1F4E" w:rsidRDefault="00E15401" w:rsidP="00E15401">
      <w:pPr>
        <w:pStyle w:val="SingleTxt"/>
        <w:spacing w:after="0" w:line="120" w:lineRule="exact"/>
        <w:rPr>
          <w:sz w:val="10"/>
        </w:rPr>
      </w:pPr>
    </w:p>
    <w:p w:rsidR="00E15401" w:rsidRPr="008E1F4E" w:rsidRDefault="00E15401" w:rsidP="00E15401">
      <w:pPr>
        <w:pStyle w:val="SingleTxt"/>
        <w:spacing w:after="0" w:line="120" w:lineRule="exact"/>
        <w:rPr>
          <w:sz w:val="10"/>
        </w:rPr>
      </w:pPr>
    </w:p>
    <w:p w:rsidR="00E15401" w:rsidRPr="001062EC" w:rsidRDefault="00E15401" w:rsidP="00E15401">
      <w:pPr>
        <w:pStyle w:val="SingleTxt"/>
      </w:pPr>
      <w:r w:rsidRPr="001062EC">
        <w:t>119.</w:t>
      </w:r>
      <w:r w:rsidRPr="001062EC">
        <w:tab/>
        <w:t xml:space="preserve">В течение 2014 года практически все страны полностью </w:t>
      </w:r>
      <w:r>
        <w:t>реализовали</w:t>
      </w:r>
      <w:r w:rsidRPr="001062EC">
        <w:t xml:space="preserve"> меры, необходимые для использования цифрового </w:t>
      </w:r>
      <w:proofErr w:type="spellStart"/>
      <w:r w:rsidRPr="001062EC">
        <w:t>тахографа</w:t>
      </w:r>
      <w:proofErr w:type="spellEnd"/>
      <w:r w:rsidRPr="001062EC">
        <w:t>. Мандат Группы экспертов по ЕСТР был продлен до 30 июня 2017 года в целях облегчения достижения ко</w:t>
      </w:r>
      <w:r w:rsidRPr="001062EC">
        <w:t>н</w:t>
      </w:r>
      <w:r w:rsidRPr="001062EC">
        <w:t>сенсуса по предлагаемым изменениям статьи 22-бис Соглашения ЕСТР (проц</w:t>
      </w:r>
      <w:r w:rsidRPr="001062EC">
        <w:t>е</w:t>
      </w:r>
      <w:r w:rsidRPr="001062EC">
        <w:t>дура внес</w:t>
      </w:r>
      <w:r>
        <w:t>ения поправок в добавление 1B).</w:t>
      </w:r>
    </w:p>
    <w:p w:rsidR="00E15401" w:rsidRPr="001062EC" w:rsidRDefault="00E15401" w:rsidP="00E15401">
      <w:pPr>
        <w:pStyle w:val="SingleTxt"/>
      </w:pPr>
      <w:r w:rsidRPr="001062EC">
        <w:t>120.</w:t>
      </w:r>
      <w:r w:rsidRPr="001062EC">
        <w:tab/>
        <w:t>Было внесено предложение по поправке, которое в случае принятия позв</w:t>
      </w:r>
      <w:r w:rsidRPr="001062EC">
        <w:t>о</w:t>
      </w:r>
      <w:r w:rsidRPr="001062EC">
        <w:t>лит четырем государствам, не входящим в состав ЕЭК – Алжиру, Иордании, М</w:t>
      </w:r>
      <w:r w:rsidRPr="001062EC">
        <w:t>а</w:t>
      </w:r>
      <w:r w:rsidRPr="001062EC">
        <w:t>рокко и Тунису, – пр</w:t>
      </w:r>
      <w:r>
        <w:t>исоединиться к Соглашению ЕСТР.</w:t>
      </w:r>
    </w:p>
    <w:p w:rsidR="00E15401" w:rsidRDefault="00E15401" w:rsidP="00E15401">
      <w:pPr>
        <w:pStyle w:val="SingleTxt"/>
      </w:pPr>
      <w:r w:rsidRPr="001062EC">
        <w:t>121.</w:t>
      </w:r>
      <w:r w:rsidRPr="001062EC">
        <w:tab/>
        <w:t>Отдел устойчивого транспорта ЕЭК подписал документ о продлении де</w:t>
      </w:r>
      <w:r w:rsidRPr="001062EC">
        <w:t>й</w:t>
      </w:r>
      <w:r w:rsidRPr="001062EC">
        <w:t>ствия Меморандума о взаимопонимании, в котором Объединенный исследов</w:t>
      </w:r>
      <w:r w:rsidRPr="001062EC">
        <w:t>а</w:t>
      </w:r>
      <w:r w:rsidRPr="001062EC">
        <w:t>тельский центр признается в качестве органа, ответственного за корневую се</w:t>
      </w:r>
      <w:r w:rsidRPr="001062EC">
        <w:t>р</w:t>
      </w:r>
      <w:r w:rsidRPr="001062EC">
        <w:lastRenderedPageBreak/>
        <w:t>тификацию и сертификацию эксплуатационной совместимости для Договарив</w:t>
      </w:r>
      <w:r w:rsidRPr="001062EC">
        <w:t>а</w:t>
      </w:r>
      <w:r w:rsidRPr="001062EC">
        <w:t>ющихся сторон ЕСТР, не являющихся членами Е</w:t>
      </w:r>
      <w:r>
        <w:t>С. В рамках совместной работы с</w:t>
      </w:r>
      <w:r w:rsidRPr="001062EC">
        <w:t xml:space="preserve"> транспортным проектом </w:t>
      </w:r>
      <w:proofErr w:type="spellStart"/>
      <w:r w:rsidRPr="001062EC">
        <w:t>Евромед</w:t>
      </w:r>
      <w:proofErr w:type="spellEnd"/>
      <w:r w:rsidRPr="001062EC">
        <w:t xml:space="preserve"> Отдел устойчивого транспорта ЕЭК разраб</w:t>
      </w:r>
      <w:r w:rsidRPr="001062EC">
        <w:t>о</w:t>
      </w:r>
      <w:r>
        <w:t xml:space="preserve">тал </w:t>
      </w:r>
      <w:r w:rsidRPr="001062EC">
        <w:t xml:space="preserve">дорожную карту </w:t>
      </w:r>
      <w:r>
        <w:t>по ЕСТР.</w:t>
      </w:r>
    </w:p>
    <w:p w:rsidR="00E15401" w:rsidRPr="008E1F4E" w:rsidRDefault="00E15401" w:rsidP="00E15401">
      <w:pPr>
        <w:pStyle w:val="SingleTxt"/>
        <w:spacing w:after="0" w:line="120" w:lineRule="exact"/>
        <w:rPr>
          <w:sz w:val="10"/>
        </w:rPr>
      </w:pPr>
    </w:p>
    <w:p w:rsidR="00E15401" w:rsidRPr="008E1F4E" w:rsidRDefault="00E15401" w:rsidP="00E15401">
      <w:pPr>
        <w:pStyle w:val="SingleTxt"/>
        <w:spacing w:after="0" w:line="120" w:lineRule="exact"/>
        <w:rPr>
          <w:sz w:val="10"/>
        </w:rPr>
      </w:pPr>
    </w:p>
    <w:p w:rsidR="00E15401" w:rsidRDefault="00E15401" w:rsidP="00E1540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2EC">
        <w:tab/>
        <w:t>D.</w:t>
      </w:r>
      <w:r w:rsidRPr="001062EC">
        <w:tab/>
        <w:t>Извлеченные уроки/области, в которых необходимы улучшения</w:t>
      </w:r>
    </w:p>
    <w:p w:rsidR="00E15401" w:rsidRPr="008E1F4E" w:rsidRDefault="00E15401" w:rsidP="00E15401">
      <w:pPr>
        <w:pStyle w:val="SingleTxt"/>
        <w:spacing w:after="0" w:line="120" w:lineRule="exact"/>
        <w:rPr>
          <w:sz w:val="10"/>
        </w:rPr>
      </w:pPr>
    </w:p>
    <w:p w:rsidR="00E15401" w:rsidRPr="008E1F4E" w:rsidRDefault="00E15401" w:rsidP="00E15401">
      <w:pPr>
        <w:pStyle w:val="SingleTxt"/>
        <w:spacing w:after="0" w:line="120" w:lineRule="exact"/>
        <w:rPr>
          <w:sz w:val="10"/>
        </w:rPr>
      </w:pPr>
    </w:p>
    <w:p w:rsidR="00E15401" w:rsidRDefault="00E15401" w:rsidP="00E15401">
      <w:pPr>
        <w:pStyle w:val="SingleTxt"/>
      </w:pPr>
      <w:r w:rsidRPr="001062EC">
        <w:t>122.</w:t>
      </w:r>
      <w:r w:rsidRPr="001062EC">
        <w:tab/>
        <w:t>Достигнуты некоторые улучшения в результате реализации мер и иници</w:t>
      </w:r>
      <w:r w:rsidRPr="001062EC">
        <w:t>а</w:t>
      </w:r>
      <w:r w:rsidRPr="001062EC">
        <w:t xml:space="preserve">тив для устранения проблем, связанных с внедрением цифровых </w:t>
      </w:r>
      <w:proofErr w:type="spellStart"/>
      <w:r w:rsidRPr="001062EC">
        <w:t>тахографов</w:t>
      </w:r>
      <w:proofErr w:type="spellEnd"/>
      <w:r w:rsidRPr="001062EC">
        <w:t>. Х</w:t>
      </w:r>
      <w:r w:rsidRPr="001062EC">
        <w:t>о</w:t>
      </w:r>
      <w:r w:rsidRPr="001062EC">
        <w:t>тя секретариат активно способствовал переговорам между заинтересованными Договаривающимися сторонами, внесение поправок в Соглашение ЕСТР, обесп</w:t>
      </w:r>
      <w:r w:rsidRPr="001062EC">
        <w:t>е</w:t>
      </w:r>
      <w:r w:rsidRPr="001062EC">
        <w:t>чивающих равные права и обязанности всех Сторон, требует политических р</w:t>
      </w:r>
      <w:r w:rsidRPr="001062EC">
        <w:t>е</w:t>
      </w:r>
      <w:r w:rsidRPr="001062EC">
        <w:t>шений, направленных на поиск подхода, который все стороны сочли бы удовл</w:t>
      </w:r>
      <w:r w:rsidRPr="001062EC">
        <w:t>е</w:t>
      </w:r>
      <w:r w:rsidRPr="001062EC">
        <w:t>творительным. Это процесс потребует длительного времени.</w:t>
      </w:r>
    </w:p>
    <w:p w:rsidR="00E15401" w:rsidRPr="008E1F4E" w:rsidRDefault="00E15401" w:rsidP="00E15401">
      <w:pPr>
        <w:pStyle w:val="SingleTxt"/>
        <w:spacing w:after="0" w:line="120" w:lineRule="exact"/>
        <w:rPr>
          <w:sz w:val="10"/>
        </w:rPr>
      </w:pPr>
    </w:p>
    <w:p w:rsidR="00E15401" w:rsidRPr="008E1F4E" w:rsidRDefault="00E15401" w:rsidP="00E15401">
      <w:pPr>
        <w:pStyle w:val="SingleTxt"/>
        <w:spacing w:after="0" w:line="120" w:lineRule="exact"/>
        <w:rPr>
          <w:b/>
          <w:sz w:val="10"/>
        </w:rPr>
      </w:pPr>
    </w:p>
    <w:p w:rsidR="00E15401" w:rsidRDefault="00E15401" w:rsidP="00E1540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2EC">
        <w:tab/>
      </w:r>
      <w:r w:rsidRPr="001062EC">
        <w:tab/>
        <w:t>Направление деятельности 14.b</w:t>
      </w:r>
      <w:r w:rsidRPr="001062EC">
        <w:br/>
        <w:t>Проект Т</w:t>
      </w:r>
      <w:r>
        <w:t>рансъевропейской автомагистрали</w:t>
      </w:r>
      <w:r>
        <w:br/>
      </w:r>
      <w:r w:rsidRPr="001062EC">
        <w:t>Север−Юг (ТЕА)</w:t>
      </w:r>
    </w:p>
    <w:p w:rsidR="00E15401" w:rsidRPr="008E1F4E" w:rsidRDefault="00E15401" w:rsidP="00E15401">
      <w:pPr>
        <w:pStyle w:val="SingleTxt"/>
        <w:spacing w:after="0" w:line="120" w:lineRule="exact"/>
        <w:rPr>
          <w:sz w:val="10"/>
        </w:rPr>
      </w:pPr>
    </w:p>
    <w:p w:rsidR="00E15401" w:rsidRPr="008E1F4E" w:rsidRDefault="00E15401" w:rsidP="00E15401">
      <w:pPr>
        <w:pStyle w:val="SingleTxt"/>
        <w:spacing w:after="0" w:line="120" w:lineRule="exact"/>
        <w:rPr>
          <w:sz w:val="10"/>
        </w:rPr>
      </w:pPr>
    </w:p>
    <w:p w:rsidR="00E15401" w:rsidRDefault="00E15401" w:rsidP="00E1540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2EC">
        <w:tab/>
        <w:t>A.</w:t>
      </w:r>
      <w:r w:rsidRPr="001062EC">
        <w:tab/>
        <w:t>Ожидаемое достижение (ОД 14.b)</w:t>
      </w:r>
    </w:p>
    <w:p w:rsidR="00E15401" w:rsidRPr="008E1F4E" w:rsidRDefault="00E15401" w:rsidP="00E15401">
      <w:pPr>
        <w:pStyle w:val="SingleTxt"/>
        <w:spacing w:after="0" w:line="120" w:lineRule="exact"/>
        <w:rPr>
          <w:sz w:val="10"/>
        </w:rPr>
      </w:pPr>
    </w:p>
    <w:p w:rsidR="00E15401" w:rsidRPr="008E1F4E" w:rsidRDefault="00E15401" w:rsidP="00E15401">
      <w:pPr>
        <w:pStyle w:val="SingleTxt"/>
        <w:spacing w:after="0" w:line="120" w:lineRule="exact"/>
        <w:rPr>
          <w:sz w:val="10"/>
        </w:rPr>
      </w:pPr>
    </w:p>
    <w:p w:rsidR="00E15401" w:rsidRDefault="00E15401" w:rsidP="00E15401">
      <w:pPr>
        <w:pStyle w:val="SingleTxt"/>
      </w:pPr>
      <w:r w:rsidRPr="001062EC">
        <w:t>123.</w:t>
      </w:r>
      <w:r w:rsidRPr="001062EC">
        <w:tab/>
        <w:t>Укрепление потенциала стран ЕЭК, у</w:t>
      </w:r>
      <w:r>
        <w:t>частвующих в проектах ТЕА и ТЕЖ.</w:t>
      </w:r>
    </w:p>
    <w:p w:rsidR="00E15401" w:rsidRPr="008E1F4E" w:rsidRDefault="00E15401" w:rsidP="00E15401">
      <w:pPr>
        <w:pStyle w:val="SingleTxt"/>
        <w:spacing w:after="0" w:line="120" w:lineRule="exact"/>
        <w:rPr>
          <w:sz w:val="10"/>
        </w:rPr>
      </w:pPr>
    </w:p>
    <w:p w:rsidR="00E15401" w:rsidRPr="008E1F4E" w:rsidRDefault="00E15401" w:rsidP="00E15401">
      <w:pPr>
        <w:pStyle w:val="SingleTxt"/>
        <w:spacing w:after="0" w:line="120" w:lineRule="exact"/>
        <w:rPr>
          <w:sz w:val="10"/>
        </w:rPr>
      </w:pPr>
    </w:p>
    <w:p w:rsidR="00E15401" w:rsidRDefault="00E15401" w:rsidP="00E1540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2EC">
        <w:tab/>
        <w:t>B.</w:t>
      </w:r>
      <w:r w:rsidRPr="001062EC">
        <w:tab/>
        <w:t>Показатели достижения</w:t>
      </w:r>
    </w:p>
    <w:p w:rsidR="00E15401" w:rsidRPr="008E1F4E" w:rsidRDefault="00E15401" w:rsidP="00E15401">
      <w:pPr>
        <w:pStyle w:val="SingleTxt"/>
        <w:spacing w:after="0" w:line="120" w:lineRule="exact"/>
        <w:rPr>
          <w:sz w:val="10"/>
        </w:rPr>
      </w:pPr>
    </w:p>
    <w:p w:rsidR="00E15401" w:rsidRPr="008E1F4E" w:rsidRDefault="00E15401" w:rsidP="00E15401">
      <w:pPr>
        <w:pStyle w:val="SingleTxt"/>
        <w:spacing w:after="0" w:line="120" w:lineRule="exact"/>
        <w:rPr>
          <w:sz w:val="10"/>
        </w:rPr>
      </w:pPr>
    </w:p>
    <w:p w:rsidR="00E15401" w:rsidRDefault="00E15401" w:rsidP="00E154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2EC">
        <w:tab/>
        <w:t>1.</w:t>
      </w:r>
      <w:r w:rsidRPr="001062EC">
        <w:tab/>
        <w:t>Число стран ЕЭК, участвующих в проекте ТЕА (ПД 3/6 a))</w:t>
      </w:r>
    </w:p>
    <w:p w:rsidR="00E15401" w:rsidRPr="008E1F4E" w:rsidRDefault="00E15401" w:rsidP="00E15401">
      <w:pPr>
        <w:pStyle w:val="SingleTxt"/>
        <w:spacing w:after="0" w:line="120" w:lineRule="exact"/>
        <w:rPr>
          <w:sz w:val="10"/>
        </w:rPr>
      </w:pPr>
    </w:p>
    <w:p w:rsidR="00E15401" w:rsidRDefault="00E15401" w:rsidP="00E1540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062EC">
        <w:t>Показатели результативности:</w:t>
      </w:r>
    </w:p>
    <w:p w:rsidR="00E15401" w:rsidRPr="008E1F4E" w:rsidRDefault="00E15401" w:rsidP="00E15401">
      <w:pPr>
        <w:pStyle w:val="SingleTxt"/>
        <w:spacing w:after="0" w:line="120" w:lineRule="exact"/>
        <w:rPr>
          <w:sz w:val="10"/>
        </w:rPr>
      </w:pPr>
    </w:p>
    <w:p w:rsidR="00E15401" w:rsidRPr="001062EC" w:rsidRDefault="00E15401" w:rsidP="00E15401">
      <w:pPr>
        <w:pStyle w:val="SingleTxt"/>
      </w:pPr>
      <w:r w:rsidRPr="001062EC">
        <w:t>Исходные показатели за 2013 год: 13 стран</w:t>
      </w:r>
      <w:r>
        <w:t>.</w:t>
      </w:r>
    </w:p>
    <w:p w:rsidR="00E15401" w:rsidRPr="001062EC" w:rsidRDefault="00E15401" w:rsidP="00E15401">
      <w:pPr>
        <w:pStyle w:val="SingleTxt"/>
      </w:pPr>
      <w:r w:rsidRPr="001062EC">
        <w:t>Целевые показатели на 2014–2015 годы: 12 стран</w:t>
      </w:r>
      <w:r>
        <w:t>.</w:t>
      </w:r>
    </w:p>
    <w:p w:rsidR="00E15401" w:rsidRDefault="00E15401" w:rsidP="00E15401">
      <w:pPr>
        <w:pStyle w:val="SingleTxt"/>
        <w:rPr>
          <w:b/>
          <w:bCs/>
        </w:rPr>
      </w:pPr>
      <w:r w:rsidRPr="001062EC">
        <w:rPr>
          <w:b/>
          <w:bCs/>
        </w:rPr>
        <w:t>Фактические показатели за 2014–2015 годы: 12 стран</w:t>
      </w:r>
      <w:r>
        <w:rPr>
          <w:b/>
          <w:bCs/>
        </w:rPr>
        <w:t>.</w:t>
      </w:r>
    </w:p>
    <w:p w:rsidR="00E15401" w:rsidRPr="008E1F4E" w:rsidRDefault="00E15401" w:rsidP="00E15401">
      <w:pPr>
        <w:pStyle w:val="SingleTxt"/>
        <w:spacing w:after="0" w:line="120" w:lineRule="exact"/>
        <w:rPr>
          <w:b/>
          <w:bCs/>
          <w:sz w:val="10"/>
        </w:rPr>
      </w:pPr>
    </w:p>
    <w:p w:rsidR="00E15401" w:rsidRPr="008E1F4E" w:rsidRDefault="00E15401" w:rsidP="00E15401">
      <w:pPr>
        <w:pStyle w:val="SingleTxt"/>
        <w:spacing w:after="0" w:line="120" w:lineRule="exact"/>
        <w:rPr>
          <w:b/>
          <w:bCs/>
          <w:sz w:val="10"/>
        </w:rPr>
      </w:pPr>
    </w:p>
    <w:p w:rsidR="00E15401" w:rsidRDefault="00E15401" w:rsidP="00E1540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2EC">
        <w:tab/>
        <w:t>C.</w:t>
      </w:r>
      <w:r w:rsidRPr="001062EC">
        <w:tab/>
        <w:t>Оценка результативности</w:t>
      </w:r>
    </w:p>
    <w:p w:rsidR="00E15401" w:rsidRPr="008E1F4E" w:rsidRDefault="00E15401" w:rsidP="00E15401">
      <w:pPr>
        <w:pStyle w:val="SingleTxt"/>
        <w:spacing w:after="0" w:line="120" w:lineRule="exact"/>
        <w:rPr>
          <w:sz w:val="10"/>
        </w:rPr>
      </w:pPr>
    </w:p>
    <w:p w:rsidR="00E15401" w:rsidRPr="008E1F4E" w:rsidRDefault="00E15401" w:rsidP="00E15401">
      <w:pPr>
        <w:pStyle w:val="SingleTxt"/>
        <w:spacing w:after="0" w:line="120" w:lineRule="exact"/>
        <w:rPr>
          <w:sz w:val="10"/>
        </w:rPr>
      </w:pPr>
    </w:p>
    <w:p w:rsidR="00E15401" w:rsidRPr="001062EC" w:rsidRDefault="00E15401" w:rsidP="00E15401">
      <w:pPr>
        <w:pStyle w:val="SingleTxt"/>
      </w:pPr>
      <w:r w:rsidRPr="001062EC">
        <w:t>124.</w:t>
      </w:r>
      <w:r w:rsidRPr="001062EC">
        <w:tab/>
        <w:t>В течение рассматриваемого периода оценки Руководящий комитет ТЕА провел четыре сессии, а Центральное управление Проекта ТЕА (ЦУП) организ</w:t>
      </w:r>
      <w:r w:rsidRPr="001062EC">
        <w:t>о</w:t>
      </w:r>
      <w:r w:rsidRPr="001062EC">
        <w:t>вало два рабочих совещания для правительств государств, участвующих в прое</w:t>
      </w:r>
      <w:r w:rsidRPr="001062EC">
        <w:t>к</w:t>
      </w:r>
      <w:r w:rsidRPr="001062EC">
        <w:t>те ТЕА, и два рабочих совещания в рамках ПООДС (сотрудничество между ТЕА и управлениями транспорта штатов в США).</w:t>
      </w:r>
    </w:p>
    <w:p w:rsidR="00E15401" w:rsidRPr="001062EC" w:rsidRDefault="00E15401" w:rsidP="00E15401">
      <w:pPr>
        <w:pStyle w:val="SingleTxt"/>
      </w:pPr>
      <w:r w:rsidRPr="001062EC">
        <w:t>125.</w:t>
      </w:r>
      <w:r w:rsidRPr="001062EC">
        <w:tab/>
        <w:t>В течение последнего десятилетия число правительств, принимающих уч</w:t>
      </w:r>
      <w:r w:rsidRPr="001062EC">
        <w:t>а</w:t>
      </w:r>
      <w:r w:rsidRPr="001062EC">
        <w:t>стие в этом проекте, не был</w:t>
      </w:r>
      <w:r>
        <w:t>о постоянным, однако в этот двухгодичный период оно стабилизируется</w:t>
      </w:r>
      <w:r w:rsidRPr="001062EC">
        <w:t xml:space="preserve"> на уровне 11 стран, которые вносят предметный и финанс</w:t>
      </w:r>
      <w:r w:rsidRPr="001062EC">
        <w:t>о</w:t>
      </w:r>
      <w:r w:rsidRPr="001062EC">
        <w:t>вый вклад в его реализацию. Цель, состоящая в стабилизации и увеличении чи</w:t>
      </w:r>
      <w:r w:rsidRPr="001062EC">
        <w:t>с</w:t>
      </w:r>
      <w:r w:rsidRPr="001062EC">
        <w:t>ла правительств-участников и указанная в программе работы ТЕА, была части</w:t>
      </w:r>
      <w:r w:rsidRPr="001062EC">
        <w:t>ч</w:t>
      </w:r>
      <w:r w:rsidRPr="001062EC">
        <w:t>но достигнута. Успешное завершение разработки административных процедур для размещения ЦУП ТЕА и привле</w:t>
      </w:r>
      <w:r>
        <w:t>чения Управляющего проектом ТЕА</w:t>
      </w:r>
      <w:r>
        <w:br/>
      </w:r>
      <w:r w:rsidRPr="001062EC">
        <w:t>в 2015 году послужило дополнительным стабилизирующим фактором и основой для более целенаправленной деятельности, направленной на повышение осв</w:t>
      </w:r>
      <w:r w:rsidRPr="001062EC">
        <w:t>е</w:t>
      </w:r>
      <w:r w:rsidRPr="001062EC">
        <w:t>домленности о проекте ТЕА.</w:t>
      </w:r>
    </w:p>
    <w:p w:rsidR="00E15401" w:rsidRPr="001062EC" w:rsidRDefault="00E15401" w:rsidP="00E15401">
      <w:pPr>
        <w:pStyle w:val="SingleTxt"/>
      </w:pPr>
      <w:r w:rsidRPr="001062EC">
        <w:lastRenderedPageBreak/>
        <w:t>126.</w:t>
      </w:r>
      <w:r w:rsidRPr="001062EC">
        <w:tab/>
        <w:t>Проведение специализированных рабочих совещаний позволило сосредот</w:t>
      </w:r>
      <w:r w:rsidRPr="001062EC">
        <w:t>о</w:t>
      </w:r>
      <w:r w:rsidRPr="001062EC">
        <w:t>чить деятельность в рамках проекта ТЕА на обмене знаниями и информацией о передовой практике в таких областях, как инвестиции и финансирование для развития дорожной инфраструктуры, обслуживание автодорог, внедрение инте</w:t>
      </w:r>
      <w:r w:rsidRPr="001062EC">
        <w:t>л</w:t>
      </w:r>
      <w:r w:rsidRPr="001062EC">
        <w:t>лектуальных транспортных систем на автомагистралях, оценка воздействия на окружающую среду и управление безопасностью дорожной инфраструктуры в целях оказания правительствам стран, участвующим в проекте ТЕА, поддержки в развитии сети ТЕА и управлении ею. Кроме того, Руководящий комитет ТЕА р</w:t>
      </w:r>
      <w:r w:rsidRPr="001062EC">
        <w:t>е</w:t>
      </w:r>
      <w:r w:rsidRPr="001062EC">
        <w:t>шил подготовить три аналитических документа, касающихся среднесрочной стратегии реализации проекта ТЕА, управления безопасностью дорожной и</w:t>
      </w:r>
      <w:r w:rsidRPr="001062EC">
        <w:t>н</w:t>
      </w:r>
      <w:r w:rsidRPr="001062EC">
        <w:t>фраструктуры сети ТЕА и финансирования проекта ТЕА, которые будут вып</w:t>
      </w:r>
      <w:r w:rsidRPr="001062EC">
        <w:t>у</w:t>
      </w:r>
      <w:r w:rsidRPr="001062EC">
        <w:t>щены в 2016 году для оказания правительствам</w:t>
      </w:r>
      <w:r>
        <w:t xml:space="preserve"> – </w:t>
      </w:r>
      <w:r w:rsidRPr="001062EC">
        <w:t>участникам проекта ТЕА по</w:t>
      </w:r>
      <w:r w:rsidRPr="001062EC">
        <w:t>д</w:t>
      </w:r>
      <w:r w:rsidRPr="001062EC">
        <w:t>держки в целях повышения качества и эффективности дорожной инфраструкт</w:t>
      </w:r>
      <w:r w:rsidRPr="001062EC">
        <w:t>у</w:t>
      </w:r>
      <w:r w:rsidRPr="001062EC">
        <w:t>ры и ее функционирования.</w:t>
      </w:r>
    </w:p>
    <w:p w:rsidR="00E15401" w:rsidRDefault="00E15401" w:rsidP="00E15401">
      <w:pPr>
        <w:pStyle w:val="SingleTxt"/>
      </w:pPr>
      <w:r w:rsidRPr="001062EC">
        <w:t>127.</w:t>
      </w:r>
      <w:r w:rsidRPr="001062EC">
        <w:tab/>
        <w:t>ЦУП ТЕА представило информацию об опыте реализации проекта ТЕА в ходе организованного WP.5 рабочего совещания на тему «Оптимальная практика и новые механизмы финансирован</w:t>
      </w:r>
      <w:r>
        <w:t>ия транспортной инфраструктуры»</w:t>
      </w:r>
      <w:r w:rsidRPr="001062EC">
        <w:t xml:space="preserve"> и семинара по интеллектуальным транспортным системам, организованного совместно м</w:t>
      </w:r>
      <w:r w:rsidRPr="001062EC">
        <w:t>и</w:t>
      </w:r>
      <w:r w:rsidRPr="001062EC">
        <w:t>нистерством транспорта Бельгии и ЕЭК</w:t>
      </w:r>
      <w:r>
        <w:t>,</w:t>
      </w:r>
      <w:r w:rsidRPr="001062EC">
        <w:t xml:space="preserve"> </w:t>
      </w:r>
      <w:r>
        <w:t xml:space="preserve">на тему </w:t>
      </w:r>
      <w:r w:rsidRPr="001062EC">
        <w:t>«На пути к новой культуре п</w:t>
      </w:r>
      <w:r w:rsidRPr="001062EC">
        <w:t>е</w:t>
      </w:r>
      <w:r w:rsidRPr="001062EC">
        <w:t>ревозок: технологические инновации для безопасной, эффективной и устойчивой мобильности».</w:t>
      </w:r>
    </w:p>
    <w:p w:rsidR="00E15401" w:rsidRPr="008E1F4E" w:rsidRDefault="00E15401" w:rsidP="00E15401">
      <w:pPr>
        <w:pStyle w:val="SingleTxt"/>
        <w:spacing w:after="0" w:line="120" w:lineRule="exact"/>
        <w:rPr>
          <w:sz w:val="10"/>
        </w:rPr>
      </w:pPr>
    </w:p>
    <w:p w:rsidR="00E15401" w:rsidRPr="008E1F4E" w:rsidRDefault="00E15401" w:rsidP="00E15401">
      <w:pPr>
        <w:pStyle w:val="SingleTxt"/>
        <w:spacing w:after="0" w:line="120" w:lineRule="exact"/>
        <w:rPr>
          <w:sz w:val="10"/>
        </w:rPr>
      </w:pPr>
    </w:p>
    <w:p w:rsidR="00E15401" w:rsidRDefault="00E15401" w:rsidP="00E1540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2EC">
        <w:tab/>
        <w:t>D.</w:t>
      </w:r>
      <w:r w:rsidRPr="001062EC">
        <w:tab/>
        <w:t>Извлеченные уроки/области, в которых необходимы улучшения</w:t>
      </w:r>
    </w:p>
    <w:p w:rsidR="00E15401" w:rsidRPr="008E1F4E" w:rsidRDefault="00E15401" w:rsidP="00E15401">
      <w:pPr>
        <w:pStyle w:val="SingleTxt"/>
        <w:spacing w:after="0" w:line="120" w:lineRule="exact"/>
        <w:rPr>
          <w:sz w:val="10"/>
        </w:rPr>
      </w:pPr>
    </w:p>
    <w:p w:rsidR="00E15401" w:rsidRPr="008E1F4E" w:rsidRDefault="00E15401" w:rsidP="00E15401">
      <w:pPr>
        <w:pStyle w:val="SingleTxt"/>
        <w:spacing w:after="0" w:line="120" w:lineRule="exact"/>
        <w:rPr>
          <w:sz w:val="10"/>
        </w:rPr>
      </w:pPr>
    </w:p>
    <w:p w:rsidR="00E15401" w:rsidRDefault="00E15401" w:rsidP="00E15401">
      <w:pPr>
        <w:pStyle w:val="SingleTxt"/>
      </w:pPr>
      <w:r w:rsidRPr="001062EC">
        <w:t>128.</w:t>
      </w:r>
      <w:r w:rsidRPr="001062EC">
        <w:tab/>
        <w:t>ТЕА представляет долгосрочный проект развития стратегической инфр</w:t>
      </w:r>
      <w:r w:rsidRPr="001062EC">
        <w:t>а</w:t>
      </w:r>
      <w:r w:rsidRPr="001062EC">
        <w:t>структуры, и выводы, сделанные в ходе его реализации, были учтены при стро</w:t>
      </w:r>
      <w:r w:rsidRPr="001062EC">
        <w:t>и</w:t>
      </w:r>
      <w:r w:rsidRPr="001062EC">
        <w:t xml:space="preserve">тельстве и совершенствовании автомагистралей, входящих </w:t>
      </w:r>
      <w:r>
        <w:t xml:space="preserve">в </w:t>
      </w:r>
      <w:r w:rsidRPr="001062EC">
        <w:t>международную сеть дорог категории E, определенную в Соглашении СМА. Для поддержания стабилизирующего влияния и сохранения этих наработок основное внимание в рамках проекта ТЕА следует уделять конкретным результатам и выполнению установленных показателей, отвечающих нуждам и требованиям правительств-участников. Кроме того, взаимодействие в решении назревших вопросов, связа</w:t>
      </w:r>
      <w:r w:rsidRPr="001062EC">
        <w:t>н</w:t>
      </w:r>
      <w:r w:rsidRPr="001062EC">
        <w:t>ных с управлением и техническим обслуживанием автомагистралей, и более те</w:t>
      </w:r>
      <w:r w:rsidRPr="001062EC">
        <w:t>с</w:t>
      </w:r>
      <w:r w:rsidRPr="001062EC">
        <w:t>ное сотрудничество с правительствами</w:t>
      </w:r>
      <w:r>
        <w:t xml:space="preserve"> – </w:t>
      </w:r>
      <w:r w:rsidRPr="001062EC">
        <w:t>участниками проекта ТЕА, рабочими группами ЕЭК по дорожному транспорту и дорожной безопасности, а также по линии проекта ТЕЖ должно сыграть решающую роль в актуализации проекта ТЕА.</w:t>
      </w:r>
    </w:p>
    <w:p w:rsidR="00E15401" w:rsidRPr="008E1F4E" w:rsidRDefault="00E15401" w:rsidP="00E15401">
      <w:pPr>
        <w:pStyle w:val="SingleTxt"/>
        <w:spacing w:after="0" w:line="120" w:lineRule="exact"/>
        <w:rPr>
          <w:sz w:val="10"/>
        </w:rPr>
      </w:pPr>
    </w:p>
    <w:p w:rsidR="00E15401" w:rsidRPr="008E1F4E" w:rsidRDefault="00E15401" w:rsidP="00E15401">
      <w:pPr>
        <w:pStyle w:val="SingleTxt"/>
        <w:spacing w:after="0" w:line="120" w:lineRule="exact"/>
        <w:rPr>
          <w:sz w:val="10"/>
        </w:rPr>
      </w:pPr>
    </w:p>
    <w:p w:rsidR="00E15401" w:rsidRDefault="00E15401" w:rsidP="00E1540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2EC">
        <w:tab/>
      </w:r>
      <w:r w:rsidRPr="001062EC">
        <w:tab/>
        <w:t>Направление деятельности 15</w:t>
      </w:r>
      <w:r w:rsidRPr="001062EC">
        <w:br/>
        <w:t>Безопасность дорожного движения</w:t>
      </w:r>
    </w:p>
    <w:p w:rsidR="00E15401" w:rsidRPr="008E1F4E" w:rsidRDefault="00E15401" w:rsidP="00E15401">
      <w:pPr>
        <w:pStyle w:val="SingleTxt"/>
        <w:spacing w:after="0" w:line="120" w:lineRule="exact"/>
        <w:rPr>
          <w:sz w:val="10"/>
        </w:rPr>
      </w:pPr>
    </w:p>
    <w:p w:rsidR="00E15401" w:rsidRPr="008E1F4E" w:rsidRDefault="00E15401" w:rsidP="00E15401">
      <w:pPr>
        <w:pStyle w:val="SingleTxt"/>
        <w:spacing w:after="0" w:line="120" w:lineRule="exact"/>
        <w:rPr>
          <w:sz w:val="10"/>
        </w:rPr>
      </w:pPr>
    </w:p>
    <w:p w:rsidR="00E15401" w:rsidRDefault="00E15401" w:rsidP="00E1540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2EC">
        <w:tab/>
        <w:t>A.</w:t>
      </w:r>
      <w:r w:rsidRPr="001062EC">
        <w:tab/>
        <w:t>Ожидаемое достижение (ОД 15.)</w:t>
      </w:r>
    </w:p>
    <w:p w:rsidR="00E15401" w:rsidRPr="008E1F4E" w:rsidRDefault="00E15401" w:rsidP="00E15401">
      <w:pPr>
        <w:pStyle w:val="SingleTxt"/>
        <w:spacing w:after="0" w:line="120" w:lineRule="exact"/>
        <w:rPr>
          <w:sz w:val="10"/>
        </w:rPr>
      </w:pPr>
    </w:p>
    <w:p w:rsidR="00E15401" w:rsidRPr="008E1F4E" w:rsidRDefault="00E15401" w:rsidP="00E15401">
      <w:pPr>
        <w:pStyle w:val="SingleTxt"/>
        <w:spacing w:after="0" w:line="120" w:lineRule="exact"/>
        <w:rPr>
          <w:sz w:val="10"/>
        </w:rPr>
      </w:pPr>
    </w:p>
    <w:p w:rsidR="00E15401" w:rsidRDefault="00E15401" w:rsidP="00E15401">
      <w:pPr>
        <w:pStyle w:val="SingleTxt"/>
      </w:pPr>
      <w:r w:rsidRPr="001062EC">
        <w:t>129.</w:t>
      </w:r>
      <w:r w:rsidRPr="001062EC">
        <w:tab/>
        <w:t xml:space="preserve">Более эффективное осуществление </w:t>
      </w:r>
      <w:r>
        <w:t>к</w:t>
      </w:r>
      <w:r w:rsidRPr="001062EC">
        <w:t>онвенций о дорожном движении и д</w:t>
      </w:r>
      <w:r w:rsidRPr="001062EC">
        <w:t>о</w:t>
      </w:r>
      <w:r w:rsidRPr="001062EC">
        <w:t>рожных знаках и сигналах 1968 года, дополняющих их Европейских соглашений 1971 года и сводных резолюций о дорожном движении и о дорожных знаках и сигналах</w:t>
      </w:r>
      <w:r>
        <w:t>.</w:t>
      </w:r>
    </w:p>
    <w:p w:rsidR="00E15401" w:rsidRPr="008E1F4E" w:rsidRDefault="00E15401" w:rsidP="00E15401">
      <w:pPr>
        <w:pStyle w:val="SingleTxt"/>
        <w:spacing w:after="0" w:line="120" w:lineRule="exact"/>
        <w:rPr>
          <w:sz w:val="10"/>
        </w:rPr>
      </w:pPr>
    </w:p>
    <w:p w:rsidR="00E15401" w:rsidRPr="008E1F4E" w:rsidRDefault="00E15401" w:rsidP="00E15401">
      <w:pPr>
        <w:pStyle w:val="SingleTxt"/>
        <w:spacing w:after="0" w:line="120" w:lineRule="exact"/>
        <w:rPr>
          <w:sz w:val="10"/>
        </w:rPr>
      </w:pPr>
    </w:p>
    <w:p w:rsidR="00E15401" w:rsidRDefault="00E15401" w:rsidP="000C3A74">
      <w:pPr>
        <w:pStyle w:val="H1"/>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2EC">
        <w:lastRenderedPageBreak/>
        <w:tab/>
        <w:t>B.</w:t>
      </w:r>
      <w:r w:rsidRPr="001062EC">
        <w:tab/>
        <w:t>Показатели достижения</w:t>
      </w:r>
    </w:p>
    <w:p w:rsidR="00E15401" w:rsidRPr="005A754F" w:rsidRDefault="00E15401" w:rsidP="000C3A74">
      <w:pPr>
        <w:pStyle w:val="SingleTxt"/>
        <w:keepNext/>
        <w:keepLines/>
        <w:spacing w:after="0" w:line="120" w:lineRule="exact"/>
        <w:rPr>
          <w:sz w:val="10"/>
        </w:rPr>
      </w:pPr>
    </w:p>
    <w:p w:rsidR="00E15401" w:rsidRDefault="00E15401" w:rsidP="000C3A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2EC">
        <w:tab/>
        <w:t>1.</w:t>
      </w:r>
      <w:r w:rsidRPr="001062EC">
        <w:tab/>
        <w:t>Число новых Договаривающихся сторон конвенций и европейских соглашений (ПД 15. a))</w:t>
      </w:r>
    </w:p>
    <w:p w:rsidR="00E15401" w:rsidRPr="005A754F" w:rsidRDefault="00E15401" w:rsidP="000C3A74">
      <w:pPr>
        <w:pStyle w:val="SingleTxt"/>
        <w:keepNext/>
        <w:keepLines/>
        <w:spacing w:after="0" w:line="120" w:lineRule="exact"/>
        <w:rPr>
          <w:sz w:val="10"/>
        </w:rPr>
      </w:pPr>
    </w:p>
    <w:p w:rsidR="00E15401" w:rsidRDefault="00E15401" w:rsidP="000C3A7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2EC">
        <w:tab/>
      </w:r>
      <w:r w:rsidRPr="001062EC">
        <w:tab/>
        <w:t>Показатели результативности:</w:t>
      </w:r>
    </w:p>
    <w:p w:rsidR="00E15401" w:rsidRPr="005A754F" w:rsidRDefault="00E15401" w:rsidP="000C3A74">
      <w:pPr>
        <w:pStyle w:val="SingleTxt"/>
        <w:keepNext/>
        <w:keepLines/>
        <w:spacing w:after="0" w:line="120" w:lineRule="exact"/>
        <w:rPr>
          <w:sz w:val="10"/>
        </w:rPr>
      </w:pPr>
    </w:p>
    <w:p w:rsidR="00E15401" w:rsidRPr="001062EC" w:rsidRDefault="00E15401" w:rsidP="000C3A74">
      <w:pPr>
        <w:pStyle w:val="SingleTxt"/>
        <w:keepNext/>
        <w:keepLines/>
      </w:pPr>
      <w:r w:rsidRPr="001062EC">
        <w:t>Исходные показатели за 2012–2013 годы: 3</w:t>
      </w:r>
      <w:r>
        <w:t>.</w:t>
      </w:r>
    </w:p>
    <w:p w:rsidR="00E15401" w:rsidRPr="001062EC" w:rsidRDefault="00E15401" w:rsidP="00E15401">
      <w:pPr>
        <w:pStyle w:val="SingleTxt"/>
        <w:rPr>
          <w:b/>
        </w:rPr>
      </w:pPr>
      <w:r w:rsidRPr="001062EC">
        <w:t>Целевые показатели на 2014–2015 годы: 3</w:t>
      </w:r>
      <w:r>
        <w:t>.</w:t>
      </w:r>
    </w:p>
    <w:p w:rsidR="00E15401" w:rsidRPr="001062EC" w:rsidRDefault="00E15401" w:rsidP="00E15401">
      <w:pPr>
        <w:pStyle w:val="SingleTxt"/>
        <w:rPr>
          <w:b/>
          <w:bCs/>
        </w:rPr>
      </w:pPr>
      <w:r w:rsidRPr="001062EC">
        <w:rPr>
          <w:b/>
          <w:bCs/>
        </w:rPr>
        <w:t>Фактические показатели за 2014–2015 годы: 3 (см. ниже)</w:t>
      </w:r>
      <w:r>
        <w:rPr>
          <w:b/>
          <w:bCs/>
        </w:rPr>
        <w:t>.</w:t>
      </w:r>
    </w:p>
    <w:p w:rsidR="00E15401" w:rsidRPr="001062EC" w:rsidRDefault="00E15401" w:rsidP="00E15401">
      <w:pPr>
        <w:pStyle w:val="SingleTxt"/>
      </w:pPr>
      <w:r w:rsidRPr="001062EC">
        <w:t>Конвенция 1968 года о дорожном движении: 1 (Вьетнам, 20 августа 2014 года)</w:t>
      </w:r>
      <w:r>
        <w:t>.</w:t>
      </w:r>
    </w:p>
    <w:p w:rsidR="00E15401" w:rsidRPr="001062EC" w:rsidRDefault="00E15401" w:rsidP="00E15401">
      <w:pPr>
        <w:pStyle w:val="SingleTxt"/>
      </w:pPr>
      <w:r w:rsidRPr="001062EC">
        <w:t>Конвенция 1968 года о дорожных знаках и сигналах: 1 (Вьетнам, 20 августа 2014 года)</w:t>
      </w:r>
      <w:r>
        <w:t>.</w:t>
      </w:r>
    </w:p>
    <w:p w:rsidR="00E15401" w:rsidRDefault="00E15401" w:rsidP="00E15401">
      <w:pPr>
        <w:pStyle w:val="SingleTxt"/>
      </w:pPr>
      <w:r w:rsidRPr="001062EC">
        <w:t>Конвенция 1968 года о дорожных знаках и сигналах: 1 (Республика Молдова, 8 октября 2015 года)</w:t>
      </w:r>
      <w:r>
        <w:t>.</w:t>
      </w:r>
    </w:p>
    <w:p w:rsidR="00E15401" w:rsidRPr="005A754F" w:rsidRDefault="00E15401" w:rsidP="00E15401">
      <w:pPr>
        <w:pStyle w:val="SingleTxt"/>
        <w:spacing w:after="0" w:line="120" w:lineRule="exact"/>
        <w:rPr>
          <w:sz w:val="10"/>
        </w:rPr>
      </w:pPr>
    </w:p>
    <w:p w:rsidR="00E15401" w:rsidRDefault="00E15401" w:rsidP="00E154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2EC">
        <w:tab/>
        <w:t>2.</w:t>
      </w:r>
      <w:r w:rsidRPr="001062EC">
        <w:tab/>
        <w:t>Число организованных семинаров, рабочих совещаний, конференций, кампаний и мероприятий по безопасности дорожного движения (ПД 15. b))</w:t>
      </w:r>
    </w:p>
    <w:p w:rsidR="00E15401" w:rsidRPr="005A754F" w:rsidRDefault="00E15401" w:rsidP="00E15401">
      <w:pPr>
        <w:pStyle w:val="SingleTxt"/>
        <w:spacing w:after="0" w:line="120" w:lineRule="exact"/>
        <w:rPr>
          <w:sz w:val="10"/>
        </w:rPr>
      </w:pPr>
    </w:p>
    <w:p w:rsidR="00E15401" w:rsidRDefault="00E15401" w:rsidP="00E1540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2EC">
        <w:tab/>
      </w:r>
      <w:r w:rsidRPr="001062EC">
        <w:tab/>
        <w:t>Показатели результативности:</w:t>
      </w:r>
    </w:p>
    <w:p w:rsidR="00E15401" w:rsidRPr="005A754F" w:rsidRDefault="00E15401" w:rsidP="00E15401">
      <w:pPr>
        <w:pStyle w:val="SingleTxt"/>
        <w:spacing w:after="0" w:line="120" w:lineRule="exact"/>
        <w:rPr>
          <w:sz w:val="10"/>
        </w:rPr>
      </w:pPr>
    </w:p>
    <w:p w:rsidR="00E15401" w:rsidRPr="001062EC" w:rsidRDefault="00E15401" w:rsidP="00E15401">
      <w:pPr>
        <w:pStyle w:val="SingleTxt"/>
      </w:pPr>
      <w:r w:rsidRPr="001062EC">
        <w:t xml:space="preserve">Исходные </w:t>
      </w:r>
      <w:r>
        <w:t>показатели за 2012–2013 годы: 8.</w:t>
      </w:r>
    </w:p>
    <w:p w:rsidR="00E15401" w:rsidRPr="001062EC" w:rsidRDefault="00E15401" w:rsidP="00E15401">
      <w:pPr>
        <w:pStyle w:val="SingleTxt"/>
      </w:pPr>
      <w:r w:rsidRPr="001062EC">
        <w:t>Целевые показатели на 2014–2015 годы: 2</w:t>
      </w:r>
      <w:r>
        <w:t>.</w:t>
      </w:r>
    </w:p>
    <w:p w:rsidR="00E15401" w:rsidRPr="001062EC" w:rsidRDefault="00E15401" w:rsidP="00E15401">
      <w:pPr>
        <w:pStyle w:val="SingleTxt"/>
        <w:rPr>
          <w:b/>
          <w:bCs/>
        </w:rPr>
      </w:pPr>
      <w:r w:rsidRPr="001062EC">
        <w:rPr>
          <w:b/>
          <w:bCs/>
        </w:rPr>
        <w:t>Фактические показатели за 2014–2015 годы: 7 (см. ниже)</w:t>
      </w:r>
      <w:r>
        <w:rPr>
          <w:b/>
          <w:bCs/>
        </w:rPr>
        <w:t>.</w:t>
      </w:r>
    </w:p>
    <w:p w:rsidR="00E15401" w:rsidRPr="001062EC" w:rsidRDefault="00E15401" w:rsidP="00E15401">
      <w:pPr>
        <w:pStyle w:val="SingleTxt"/>
      </w:pPr>
      <w:r>
        <w:tab/>
        <w:t>a)</w:t>
      </w:r>
      <w:r w:rsidRPr="001062EC">
        <w:tab/>
        <w:t>Демонстрация фильма, подготовленного ЕЭК, Международным со</w:t>
      </w:r>
      <w:r w:rsidRPr="001062EC">
        <w:t>ю</w:t>
      </w:r>
      <w:r w:rsidRPr="001062EC">
        <w:t>зом железных дорог и Федеральным управлением транспорта Швейцарии под названием «Спасение жизни на железнодорожных переездах» по случаю пров</w:t>
      </w:r>
      <w:r w:rsidRPr="001062EC">
        <w:t>е</w:t>
      </w:r>
      <w:r w:rsidRPr="001062EC">
        <w:t>дения в 2014 году Международного дня безопасности на железнодорожных пер</w:t>
      </w:r>
      <w:r w:rsidRPr="001062EC">
        <w:t>е</w:t>
      </w:r>
      <w:r w:rsidRPr="001062EC">
        <w:t>ездах (3 июня 2014 года).</w:t>
      </w:r>
    </w:p>
    <w:p w:rsidR="00E15401" w:rsidRPr="001062EC" w:rsidRDefault="00E15401" w:rsidP="00E15401">
      <w:pPr>
        <w:pStyle w:val="SingleTxt"/>
      </w:pPr>
      <w:r>
        <w:tab/>
        <w:t>b)</w:t>
      </w:r>
      <w:r w:rsidRPr="001062EC">
        <w:tab/>
        <w:t xml:space="preserve">День договоров о безопасности дорожного движения ООН, Нью-Йорк, США (5 июня 2014 года). </w:t>
      </w:r>
    </w:p>
    <w:p w:rsidR="00E15401" w:rsidRPr="001062EC" w:rsidRDefault="00E15401" w:rsidP="00E15401">
      <w:pPr>
        <w:pStyle w:val="SingleTxt"/>
      </w:pPr>
      <w:r>
        <w:tab/>
        <w:t>c)</w:t>
      </w:r>
      <w:r>
        <w:tab/>
      </w:r>
      <w:r w:rsidRPr="001062EC">
        <w:t>Региональный семинар по созданию потенциала в области безопасн</w:t>
      </w:r>
      <w:r w:rsidRPr="001062EC">
        <w:t>о</w:t>
      </w:r>
      <w:r w:rsidRPr="001062EC">
        <w:t xml:space="preserve">сти дорожного движения в Белграде, Сербия (октябрь 2014 года). </w:t>
      </w:r>
    </w:p>
    <w:p w:rsidR="00E15401" w:rsidRPr="001062EC" w:rsidRDefault="00E15401" w:rsidP="00E15401">
      <w:pPr>
        <w:pStyle w:val="SingleTxt"/>
      </w:pPr>
      <w:r>
        <w:tab/>
        <w:t>d)</w:t>
      </w:r>
      <w:r w:rsidRPr="001062EC">
        <w:tab/>
        <w:t>Рабочее совещание с участием ЕЭК, Экономической комиссии для А</w:t>
      </w:r>
      <w:r w:rsidRPr="001062EC">
        <w:t>ф</w:t>
      </w:r>
      <w:r w:rsidRPr="001062EC">
        <w:t>рики и Альянса за ответственное употребление алкоголя по проблеме безопасн</w:t>
      </w:r>
      <w:r w:rsidRPr="001062EC">
        <w:t>о</w:t>
      </w:r>
      <w:r w:rsidRPr="001062EC">
        <w:t>сти дорожного движения для англоговорящих африканских стран, проведенное в Аддис-Абебе, Эфиопия</w:t>
      </w:r>
      <w:r>
        <w:t xml:space="preserve"> (12 и 1</w:t>
      </w:r>
      <w:r w:rsidRPr="001062EC">
        <w:t>3 ноября 2014 года).</w:t>
      </w:r>
    </w:p>
    <w:p w:rsidR="00E15401" w:rsidRPr="001062EC" w:rsidRDefault="00E15401" w:rsidP="00E15401">
      <w:pPr>
        <w:pStyle w:val="SingleTxt"/>
      </w:pPr>
      <w:r>
        <w:tab/>
        <w:t>e)</w:t>
      </w:r>
      <w:r w:rsidRPr="001062EC">
        <w:tab/>
        <w:t>Специальное однодневное совещание WP.1 за круглы</w:t>
      </w:r>
      <w:r>
        <w:t>м столом в Жен</w:t>
      </w:r>
      <w:r>
        <w:t>е</w:t>
      </w:r>
      <w:r>
        <w:t>ве (Швейцария) для изучения</w:t>
      </w:r>
      <w:r w:rsidRPr="001062EC">
        <w:t xml:space="preserve"> возможности использования правовых документов в области безопасности дорожного движения в целях разработки стратегии п</w:t>
      </w:r>
      <w:r w:rsidRPr="001062EC">
        <w:t>о</w:t>
      </w:r>
      <w:r w:rsidRPr="001062EC">
        <w:t>вышения безопасности самоходных двухколесных транспортных средств в стр</w:t>
      </w:r>
      <w:r w:rsidRPr="001062EC">
        <w:t>а</w:t>
      </w:r>
      <w:r w:rsidRPr="001062EC">
        <w:t>нах с низким и средним уровнем доходов (23 марта 2015 года).</w:t>
      </w:r>
    </w:p>
    <w:p w:rsidR="00E15401" w:rsidRPr="001062EC" w:rsidRDefault="00E15401" w:rsidP="00E15401">
      <w:pPr>
        <w:pStyle w:val="SingleTxt"/>
      </w:pPr>
      <w:r>
        <w:tab/>
        <w:t>f)</w:t>
      </w:r>
      <w:r>
        <w:tab/>
      </w:r>
      <w:r w:rsidRPr="001062EC">
        <w:t>Демонстрация совместной электронной книги ЕЭК–ЭКА–ИАРД «Предотвращение вождения в нетрезвом состоянии в Африке», содержащей н</w:t>
      </w:r>
      <w:r w:rsidRPr="001062EC">
        <w:t>о</w:t>
      </w:r>
      <w:r w:rsidRPr="001062EC">
        <w:t>вые результаты обследования по вопросам безопасности дорожного движения на Африканском континенте и обновленную информацию о выполнении Африка</w:t>
      </w:r>
      <w:r w:rsidRPr="001062EC">
        <w:t>н</w:t>
      </w:r>
      <w:r w:rsidRPr="001062EC">
        <w:t>ского плана действий по обеспечению безопасности дорожного движения, а та</w:t>
      </w:r>
      <w:r w:rsidRPr="001062EC">
        <w:t>к</w:t>
      </w:r>
      <w:r w:rsidRPr="001062EC">
        <w:t>же рекомендации и данные по оптимальной международной практике повышения безопасности дорожного движения, в Женеве, Швейцария (23 марта 2015 года).</w:t>
      </w:r>
    </w:p>
    <w:p w:rsidR="00E15401" w:rsidRDefault="00E15401" w:rsidP="00E15401">
      <w:pPr>
        <w:pStyle w:val="SingleTxt"/>
      </w:pPr>
      <w:r>
        <w:lastRenderedPageBreak/>
        <w:tab/>
        <w:t>g)</w:t>
      </w:r>
      <w:r w:rsidRPr="001062EC">
        <w:tab/>
        <w:t>Рабочее совещание ЕЭК-ЭКА-ИАРД по безопасности дорожного дв</w:t>
      </w:r>
      <w:r w:rsidRPr="001062EC">
        <w:t>и</w:t>
      </w:r>
      <w:r w:rsidRPr="001062EC">
        <w:t>жения для франкоговорящих стран, сост</w:t>
      </w:r>
      <w:r>
        <w:t xml:space="preserve">оявшееся в Аддис-Абебе, </w:t>
      </w:r>
      <w:proofErr w:type="spellStart"/>
      <w:r>
        <w:t>Эфио</w:t>
      </w:r>
      <w:proofErr w:type="spellEnd"/>
      <w:r>
        <w:t>-</w:t>
      </w:r>
      <w:r>
        <w:br/>
        <w:t>пия </w:t>
      </w:r>
      <w:r w:rsidRPr="001062EC">
        <w:t>(7–8 июля 2015 года).</w:t>
      </w:r>
    </w:p>
    <w:p w:rsidR="00E15401" w:rsidRPr="005A754F" w:rsidRDefault="00E15401" w:rsidP="00E15401">
      <w:pPr>
        <w:pStyle w:val="SingleTxt"/>
        <w:spacing w:after="0" w:line="120" w:lineRule="exact"/>
        <w:rPr>
          <w:sz w:val="10"/>
        </w:rPr>
      </w:pPr>
    </w:p>
    <w:p w:rsidR="00E15401" w:rsidRDefault="00E15401" w:rsidP="00E154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2EC">
        <w:tab/>
        <w:t>3.</w:t>
      </w:r>
      <w:r w:rsidRPr="001062EC">
        <w:tab/>
        <w:t>Число участников каждого семинара, рабочего совещания, конфе</w:t>
      </w:r>
      <w:r>
        <w:t>ренции</w:t>
      </w:r>
      <w:r>
        <w:br/>
      </w:r>
      <w:r w:rsidRPr="001062EC">
        <w:t>и мероприятия, включая участников от Договаривающихся сторон (ПД 15. c))</w:t>
      </w:r>
    </w:p>
    <w:p w:rsidR="00E15401" w:rsidRPr="005A754F" w:rsidRDefault="00E15401" w:rsidP="00E15401">
      <w:pPr>
        <w:pStyle w:val="SingleTxt"/>
        <w:spacing w:after="0" w:line="120" w:lineRule="exact"/>
        <w:rPr>
          <w:sz w:val="10"/>
        </w:rPr>
      </w:pPr>
    </w:p>
    <w:p w:rsidR="00E15401" w:rsidRDefault="00E15401" w:rsidP="00E1540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2EC">
        <w:tab/>
      </w:r>
      <w:r w:rsidRPr="001062EC">
        <w:tab/>
        <w:t>Показатели результативности:</w:t>
      </w:r>
    </w:p>
    <w:p w:rsidR="00E15401" w:rsidRPr="005A754F" w:rsidRDefault="00E15401" w:rsidP="00E15401">
      <w:pPr>
        <w:pStyle w:val="SingleTxt"/>
        <w:spacing w:after="0" w:line="120" w:lineRule="exact"/>
        <w:rPr>
          <w:sz w:val="10"/>
        </w:rPr>
      </w:pPr>
    </w:p>
    <w:p w:rsidR="00E15401" w:rsidRPr="001062EC" w:rsidRDefault="00E15401" w:rsidP="00E15401">
      <w:pPr>
        <w:pStyle w:val="SingleTxt"/>
      </w:pPr>
      <w:r w:rsidRPr="001062EC">
        <w:t>Исходные показатели за 2012–2013 годы: 180 (60 на мероприятиях Глобальной недели безопасности дорожного движения ООН и 120 на Форуме по безопасн</w:t>
      </w:r>
      <w:r w:rsidRPr="001062EC">
        <w:t>о</w:t>
      </w:r>
      <w:r w:rsidRPr="001062EC">
        <w:t>сти дорожного движения «Европа−Азия»).</w:t>
      </w:r>
    </w:p>
    <w:p w:rsidR="00E15401" w:rsidRPr="001062EC" w:rsidRDefault="00E15401" w:rsidP="00E15401">
      <w:pPr>
        <w:pStyle w:val="SingleTxt"/>
      </w:pPr>
      <w:r w:rsidRPr="001062EC">
        <w:t>Целевые показатели на 2014–2015 годы: 60</w:t>
      </w:r>
      <w:r>
        <w:t>.</w:t>
      </w:r>
    </w:p>
    <w:p w:rsidR="00E15401" w:rsidRDefault="00E15401" w:rsidP="00E15401">
      <w:pPr>
        <w:pStyle w:val="SingleTxt"/>
        <w:rPr>
          <w:b/>
          <w:bCs/>
        </w:rPr>
      </w:pPr>
      <w:r w:rsidRPr="001062EC">
        <w:rPr>
          <w:b/>
          <w:bCs/>
        </w:rPr>
        <w:t>Фактические по</w:t>
      </w:r>
      <w:r>
        <w:rPr>
          <w:b/>
          <w:bCs/>
        </w:rPr>
        <w:t>казатели за 2014–2015 годы: 300.</w:t>
      </w:r>
    </w:p>
    <w:p w:rsidR="00E15401" w:rsidRPr="005A754F" w:rsidRDefault="00E15401" w:rsidP="00E15401">
      <w:pPr>
        <w:pStyle w:val="SingleTxt"/>
        <w:spacing w:after="0" w:line="120" w:lineRule="exact"/>
        <w:rPr>
          <w:b/>
          <w:bCs/>
          <w:sz w:val="10"/>
        </w:rPr>
      </w:pPr>
    </w:p>
    <w:p w:rsidR="00E15401" w:rsidRDefault="00E15401" w:rsidP="00E154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2EC">
        <w:tab/>
      </w:r>
      <w:r>
        <w:t>4.</w:t>
      </w:r>
      <w:r w:rsidRPr="001062EC">
        <w:tab/>
        <w:t>Отзывы участников семинаров, рабочих совещаний, конференций и других мероприятий (ПД 15. d))</w:t>
      </w:r>
    </w:p>
    <w:p w:rsidR="00E15401" w:rsidRPr="005A754F" w:rsidRDefault="00E15401" w:rsidP="00E15401">
      <w:pPr>
        <w:pStyle w:val="SingleTxt"/>
        <w:spacing w:after="0" w:line="120" w:lineRule="exact"/>
        <w:rPr>
          <w:sz w:val="10"/>
        </w:rPr>
      </w:pPr>
    </w:p>
    <w:p w:rsidR="00E15401" w:rsidRDefault="00E15401" w:rsidP="00E1540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2EC">
        <w:tab/>
      </w:r>
      <w:r w:rsidRPr="001062EC">
        <w:tab/>
        <w:t>Показатели результативности:</w:t>
      </w:r>
    </w:p>
    <w:p w:rsidR="00E15401" w:rsidRPr="005A754F" w:rsidRDefault="00E15401" w:rsidP="00E15401">
      <w:pPr>
        <w:pStyle w:val="SingleTxt"/>
        <w:spacing w:after="0" w:line="120" w:lineRule="exact"/>
        <w:rPr>
          <w:sz w:val="10"/>
        </w:rPr>
      </w:pPr>
    </w:p>
    <w:p w:rsidR="00E15401" w:rsidRPr="001062EC" w:rsidRDefault="00E15401" w:rsidP="00E15401">
      <w:pPr>
        <w:pStyle w:val="SingleTxt"/>
      </w:pPr>
      <w:r w:rsidRPr="001062EC">
        <w:t xml:space="preserve">Целевые показатели на 2014–2015 годы: </w:t>
      </w:r>
      <w:r>
        <w:t>получение положительных отзывов</w:t>
      </w:r>
      <w:r>
        <w:br/>
      </w:r>
      <w:r w:rsidRPr="001062EC">
        <w:t>(на основе большинства представленных ответов) от участников семинаров, р</w:t>
      </w:r>
      <w:r w:rsidRPr="001062EC">
        <w:t>а</w:t>
      </w:r>
      <w:r w:rsidRPr="001062EC">
        <w:t>бочих совещаний, конференций и мероприятий по поводу организации соотве</w:t>
      </w:r>
      <w:r w:rsidRPr="001062EC">
        <w:t>т</w:t>
      </w:r>
      <w:r w:rsidRPr="001062EC">
        <w:t>ствующего мероприятия, возможностей сетевого сотрудничества и ценности представленной инфо</w:t>
      </w:r>
      <w:r>
        <w:t>рмации и сделанных презентаций.</w:t>
      </w:r>
    </w:p>
    <w:p w:rsidR="00E15401" w:rsidRDefault="00E15401" w:rsidP="00E15401">
      <w:pPr>
        <w:pStyle w:val="SingleTxt"/>
        <w:rPr>
          <w:b/>
          <w:bCs/>
        </w:rPr>
      </w:pPr>
      <w:r w:rsidRPr="001062EC">
        <w:rPr>
          <w:b/>
          <w:bCs/>
        </w:rPr>
        <w:t>Фактические показатели за 2014–2015 годы: были получены официальные и неофициальные положительные отзывы (по результатам обследования) на шесть мероприятий, указанных выше. Кроме того, фильм «Спасение жизни людей на железнодорожных переездах» был просмотрен порядка 15</w:t>
      </w:r>
      <w:r>
        <w:rPr>
          <w:b/>
          <w:bCs/>
        </w:rPr>
        <w:t> </w:t>
      </w:r>
      <w:r w:rsidRPr="001062EC">
        <w:rPr>
          <w:b/>
          <w:bCs/>
        </w:rPr>
        <w:t>000 раз за 13 месяцев с момента его выпуска.</w:t>
      </w:r>
    </w:p>
    <w:p w:rsidR="00E15401" w:rsidRPr="005A754F" w:rsidRDefault="00E15401" w:rsidP="00E15401">
      <w:pPr>
        <w:pStyle w:val="SingleTxt"/>
        <w:spacing w:after="0" w:line="120" w:lineRule="exact"/>
        <w:rPr>
          <w:b/>
          <w:bCs/>
          <w:sz w:val="10"/>
        </w:rPr>
      </w:pPr>
    </w:p>
    <w:p w:rsidR="00E15401" w:rsidRPr="005A754F" w:rsidRDefault="00E15401" w:rsidP="00E15401">
      <w:pPr>
        <w:pStyle w:val="SingleTxt"/>
        <w:spacing w:after="0" w:line="120" w:lineRule="exact"/>
        <w:rPr>
          <w:b/>
          <w:bCs/>
          <w:sz w:val="10"/>
        </w:rPr>
      </w:pPr>
    </w:p>
    <w:p w:rsidR="00E15401" w:rsidRDefault="00E15401" w:rsidP="00E1540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2EC">
        <w:tab/>
        <w:t>C.</w:t>
      </w:r>
      <w:r w:rsidRPr="001062EC">
        <w:tab/>
        <w:t>Оценка результативности</w:t>
      </w:r>
    </w:p>
    <w:p w:rsidR="00E15401" w:rsidRPr="005A754F" w:rsidRDefault="00E15401" w:rsidP="00E15401">
      <w:pPr>
        <w:pStyle w:val="SingleTxt"/>
        <w:spacing w:after="0" w:line="120" w:lineRule="exact"/>
        <w:rPr>
          <w:sz w:val="10"/>
        </w:rPr>
      </w:pPr>
    </w:p>
    <w:p w:rsidR="00E15401" w:rsidRPr="005A754F" w:rsidRDefault="00E15401" w:rsidP="00E15401">
      <w:pPr>
        <w:pStyle w:val="SingleTxt"/>
        <w:spacing w:after="0" w:line="120" w:lineRule="exact"/>
        <w:rPr>
          <w:sz w:val="10"/>
        </w:rPr>
      </w:pPr>
    </w:p>
    <w:p w:rsidR="00E15401" w:rsidRPr="001062EC" w:rsidRDefault="00E15401" w:rsidP="00E15401">
      <w:pPr>
        <w:pStyle w:val="SingleTxt"/>
      </w:pPr>
      <w:r w:rsidRPr="001062EC">
        <w:t>130.</w:t>
      </w:r>
      <w:r w:rsidRPr="001062EC">
        <w:tab/>
        <w:t xml:space="preserve">В 2012 году Комитет по внутреннему транспорту ЕЭК принял план ЕЭК для Десятилетия действий (ECE/TRANS/2012/4 и </w:t>
      </w:r>
      <w:proofErr w:type="spellStart"/>
      <w:r w:rsidRPr="001062EC">
        <w:t>Corr</w:t>
      </w:r>
      <w:proofErr w:type="spellEnd"/>
      <w:r w:rsidRPr="001062EC">
        <w:t>. 1 и 2). В плане намечено три цели: 1) обеспечить как можно более широкий географический охват правовых документов Организации Объединенных Наций по безопасности дорожного движения; 2) помочь странам в регионе ЕЭК и за его пределами в проведении Десятилетия действий ООН по обеспечению безопасности дорожного движения; 3) достичь прогресса в деле стабилизации и снижения уровня смертности в р</w:t>
      </w:r>
      <w:r w:rsidRPr="001062EC">
        <w:t>е</w:t>
      </w:r>
      <w:r w:rsidRPr="001062EC">
        <w:t>зультате дорожно-транспортных происшествий в регионе ЕЭК и за его предел</w:t>
      </w:r>
      <w:r w:rsidRPr="001062EC">
        <w:t>а</w:t>
      </w:r>
      <w:r w:rsidRPr="001062EC">
        <w:t>ми. Планом ЕЭК предусмотрены действия, инициативы и меры для нескольких рабочих групп ЕЭК, занимающихся вопросами безопасности дорожного движ</w:t>
      </w:r>
      <w:r w:rsidRPr="001062EC">
        <w:t>е</w:t>
      </w:r>
      <w:r w:rsidRPr="001062EC">
        <w:t>ния. Кроме того, он охватывает приоритетные области работы, а также предпол</w:t>
      </w:r>
      <w:r w:rsidRPr="001062EC">
        <w:t>а</w:t>
      </w:r>
      <w:r w:rsidRPr="001062EC">
        <w:t>гает проведение непрерывной деятельности и будущих мероприятий для дост</w:t>
      </w:r>
      <w:r w:rsidRPr="001062EC">
        <w:t>и</w:t>
      </w:r>
      <w:r w:rsidRPr="001062EC">
        <w:t>жения каждой цели в его географической зоне и за ее пределами.</w:t>
      </w:r>
    </w:p>
    <w:p w:rsidR="00E15401" w:rsidRDefault="00E15401" w:rsidP="00E15401">
      <w:pPr>
        <w:pStyle w:val="SingleTxt"/>
      </w:pPr>
      <w:r w:rsidRPr="001062EC">
        <w:t>131.</w:t>
      </w:r>
      <w:r w:rsidRPr="001062EC">
        <w:tab/>
        <w:t>В целях обеспечения как можно более широкого географического охвата правовых документов ООН по безопасности дорожного движения Отдел усто</w:t>
      </w:r>
      <w:r w:rsidRPr="001062EC">
        <w:t>й</w:t>
      </w:r>
      <w:r w:rsidRPr="001062EC">
        <w:t>чивого транспорта ЕЭК провел в Центральных учреждениях OOH в Нью-Йорке День договоров о безопасности дорожного движения (5 июня 2014 года) в с</w:t>
      </w:r>
      <w:r w:rsidRPr="001062EC">
        <w:t>о</w:t>
      </w:r>
      <w:r w:rsidRPr="001062EC">
        <w:t>трудничестве с Управлением по правовым вопросам ООН, Нью-йоркским отд</w:t>
      </w:r>
      <w:r w:rsidRPr="001062EC">
        <w:t>е</w:t>
      </w:r>
      <w:r w:rsidRPr="001062EC">
        <w:t>лением региональных комиссий и МСАТ. Программой Дня было предусмотрено проведение презентаций, посвященных г</w:t>
      </w:r>
      <w:r>
        <w:t>лобальным соглашениям в области</w:t>
      </w:r>
      <w:r>
        <w:br/>
      </w:r>
      <w:r w:rsidRPr="001062EC">
        <w:t>безопасности дорожного движения, в частности Конвенции о дорожном движ</w:t>
      </w:r>
      <w:r w:rsidRPr="001062EC">
        <w:t>е</w:t>
      </w:r>
      <w:r w:rsidRPr="001062EC">
        <w:lastRenderedPageBreak/>
        <w:t>нии 1968 года, Конвенции о дорожных знаках и сигналах 1968 года, соглашениям о правилах в области транспортных средств 1958 и 1998 годов, а также междун</w:t>
      </w:r>
      <w:r w:rsidRPr="001062EC">
        <w:t>а</w:t>
      </w:r>
      <w:r w:rsidRPr="001062EC">
        <w:t>родным правилам по перевозке опасных грузов. Отдел устойчивого транспорта ЕЭК продолжил деятельность по повышению осведомленности среди стран мира об этих правовых документах в ходе второй Глобальной конференции высокого уровня по безопасности д</w:t>
      </w:r>
      <w:r>
        <w:t xml:space="preserve">орожного движения (Бразилиа, 18 и </w:t>
      </w:r>
      <w:r w:rsidRPr="001062EC">
        <w:t>19 ноября 2015 г</w:t>
      </w:r>
      <w:r w:rsidRPr="001062EC">
        <w:t>о</w:t>
      </w:r>
      <w:r w:rsidRPr="001062EC">
        <w:t>да) путем проведения параллельного мероприятия в ходе конференции по прав</w:t>
      </w:r>
      <w:r w:rsidRPr="001062EC">
        <w:t>о</w:t>
      </w:r>
      <w:r w:rsidRPr="001062EC">
        <w:t>вым документам ООН, касающимся безопасности дорожного движения.</w:t>
      </w:r>
    </w:p>
    <w:p w:rsidR="00E15401" w:rsidRPr="005A754F" w:rsidRDefault="00E15401" w:rsidP="00E15401">
      <w:pPr>
        <w:pStyle w:val="SingleTxt"/>
        <w:spacing w:after="0" w:line="120" w:lineRule="exact"/>
        <w:rPr>
          <w:sz w:val="10"/>
        </w:rPr>
      </w:pPr>
    </w:p>
    <w:p w:rsidR="00E15401" w:rsidRPr="005A754F" w:rsidRDefault="00E15401" w:rsidP="00E15401">
      <w:pPr>
        <w:pStyle w:val="SingleTxt"/>
        <w:spacing w:after="0" w:line="120" w:lineRule="exact"/>
        <w:rPr>
          <w:sz w:val="10"/>
        </w:rPr>
      </w:pPr>
    </w:p>
    <w:p w:rsidR="00E15401" w:rsidRDefault="00E15401" w:rsidP="00E1540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62EC">
        <w:tab/>
        <w:t>D.</w:t>
      </w:r>
      <w:r w:rsidRPr="001062EC">
        <w:tab/>
        <w:t>Извлеченные уроки/области, в которых необходимы улучшения</w:t>
      </w:r>
    </w:p>
    <w:p w:rsidR="00E15401" w:rsidRPr="005A754F" w:rsidRDefault="00E15401" w:rsidP="00E15401">
      <w:pPr>
        <w:pStyle w:val="SingleTxt"/>
        <w:spacing w:after="0" w:line="120" w:lineRule="exact"/>
        <w:rPr>
          <w:sz w:val="10"/>
        </w:rPr>
      </w:pPr>
    </w:p>
    <w:p w:rsidR="00E15401" w:rsidRPr="005A754F" w:rsidRDefault="00E15401" w:rsidP="00E15401">
      <w:pPr>
        <w:pStyle w:val="SingleTxt"/>
        <w:spacing w:after="0" w:line="120" w:lineRule="exact"/>
        <w:rPr>
          <w:sz w:val="10"/>
        </w:rPr>
      </w:pPr>
    </w:p>
    <w:p w:rsidR="00E15401" w:rsidRPr="001062EC" w:rsidRDefault="00E15401" w:rsidP="00E15401">
      <w:pPr>
        <w:pStyle w:val="SingleTxt"/>
      </w:pPr>
      <w:r w:rsidRPr="001062EC">
        <w:t>132.</w:t>
      </w:r>
      <w:r w:rsidRPr="001062EC">
        <w:tab/>
        <w:t>Рекомендации, упомянутые в предыдущем двухгодичном периоде, в отн</w:t>
      </w:r>
      <w:r w:rsidRPr="001062EC">
        <w:t>о</w:t>
      </w:r>
      <w:r w:rsidRPr="001062EC">
        <w:t>шении областей, где требуются улучшения, сохраняют свою актуальность и з</w:t>
      </w:r>
      <w:r w:rsidRPr="001062EC">
        <w:t>а</w:t>
      </w:r>
      <w:r w:rsidRPr="001062EC">
        <w:t>служивают повторного рассмотрения:</w:t>
      </w:r>
    </w:p>
    <w:p w:rsidR="00E15401" w:rsidRPr="001062EC" w:rsidRDefault="00E15401" w:rsidP="000C3A74">
      <w:pPr>
        <w:pStyle w:val="Bullet1"/>
        <w:ind w:left="1743" w:hanging="130"/>
      </w:pPr>
      <w:r>
        <w:t>государства и ключевые заинтересованные стороны играют центральную</w:t>
      </w:r>
      <w:r w:rsidRPr="001062EC">
        <w:t xml:space="preserve"> роль в обеспечении достижения целевых показателей по безопасности д</w:t>
      </w:r>
      <w:r w:rsidRPr="001062EC">
        <w:t>о</w:t>
      </w:r>
      <w:r w:rsidRPr="001062EC">
        <w:t>рожного движения, наращивании выделяемых ресурсов и заботе о том, чт</w:t>
      </w:r>
      <w:r w:rsidRPr="001062EC">
        <w:t>о</w:t>
      </w:r>
      <w:r w:rsidRPr="001062EC">
        <w:t>бы их активный вклад в эту деятельность становился достоянием общ</w:t>
      </w:r>
      <w:r w:rsidRPr="001062EC">
        <w:t>е</w:t>
      </w:r>
      <w:r w:rsidRPr="001062EC">
        <w:t>ственности. Основную ответственность за повышение безопасности на д</w:t>
      </w:r>
      <w:r w:rsidRPr="001062EC">
        <w:t>о</w:t>
      </w:r>
      <w:r w:rsidRPr="001062EC">
        <w:t>рогах несут правительства, однако это предполагает наличие не только воли и решимости, но и совместных усилий и значительных финансовых ресу</w:t>
      </w:r>
      <w:r w:rsidRPr="001062EC">
        <w:t>р</w:t>
      </w:r>
      <w:r w:rsidRPr="001062EC">
        <w:t>сов;</w:t>
      </w:r>
    </w:p>
    <w:p w:rsidR="00E15401" w:rsidRPr="001062EC" w:rsidRDefault="00E15401" w:rsidP="000C3A74">
      <w:pPr>
        <w:pStyle w:val="Bullet1"/>
        <w:ind w:left="1743" w:hanging="130"/>
      </w:pPr>
      <w:r w:rsidRPr="001062EC">
        <w:t>необходимо и впредь</w:t>
      </w:r>
      <w:r>
        <w:t xml:space="preserve"> стремиться к увеличению числа Д</w:t>
      </w:r>
      <w:r w:rsidRPr="001062EC">
        <w:t>оговаривающихся сторон правовых документов ООН по безопасности дорожного движения. Кроме того, эти правовые документы требуют пересмотра в целях отраж</w:t>
      </w:r>
      <w:r w:rsidRPr="001062EC">
        <w:t>е</w:t>
      </w:r>
      <w:r w:rsidRPr="001062EC">
        <w:t>ния в них назревших вопросов и передового опыта;</w:t>
      </w:r>
    </w:p>
    <w:p w:rsidR="00E15401" w:rsidRDefault="00E15401" w:rsidP="00E15401">
      <w:pPr>
        <w:pStyle w:val="Bullet1"/>
        <w:ind w:left="1743" w:hanging="130"/>
      </w:pPr>
      <w:r w:rsidRPr="001062EC">
        <w:t>до сих пор не существует договоренности о механизме контроля за ос</w:t>
      </w:r>
      <w:r w:rsidRPr="001062EC">
        <w:t>у</w:t>
      </w:r>
      <w:r w:rsidRPr="001062EC">
        <w:t>ществлением, позволяющем эффективно определять, насколько успешно эти правовые документы применяются на национальном уровне.</w:t>
      </w:r>
    </w:p>
    <w:p w:rsidR="00AA446C" w:rsidRPr="00556AA9" w:rsidRDefault="00556AA9" w:rsidP="003473EA">
      <w:pPr>
        <w:pStyle w:val="SingleTxt"/>
      </w:pPr>
      <w:r>
        <w:rPr>
          <w:noProof/>
          <w:w w:val="100"/>
          <w:lang w:val="en-US"/>
        </w:rPr>
        <mc:AlternateContent>
          <mc:Choice Requires="wps">
            <w:drawing>
              <wp:anchor distT="0" distB="0" distL="114300" distR="114300" simplePos="0" relativeHeight="251659264" behindDoc="0" locked="0" layoutInCell="1" allowOverlap="1" wp14:anchorId="1F1DABDF" wp14:editId="50575D8E">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AA446C" w:rsidRPr="00556AA9" w:rsidSect="00E41203">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DC3" w:rsidRDefault="00897DC3" w:rsidP="008A1A7A">
      <w:pPr>
        <w:spacing w:line="240" w:lineRule="auto"/>
      </w:pPr>
      <w:r>
        <w:separator/>
      </w:r>
    </w:p>
  </w:endnote>
  <w:endnote w:type="continuationSeparator" w:id="0">
    <w:p w:rsidR="00897DC3" w:rsidRDefault="00897DC3"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897DC3" w:rsidTr="00E41203">
      <w:trPr>
        <w:jc w:val="center"/>
      </w:trPr>
      <w:tc>
        <w:tcPr>
          <w:tcW w:w="5126" w:type="dxa"/>
          <w:shd w:val="clear" w:color="auto" w:fill="auto"/>
          <w:vAlign w:val="bottom"/>
        </w:tcPr>
        <w:p w:rsidR="00897DC3" w:rsidRPr="00E41203" w:rsidRDefault="00897DC3" w:rsidP="00E41203">
          <w:pPr>
            <w:pStyle w:val="Footer"/>
            <w:rPr>
              <w:color w:val="000000"/>
            </w:rPr>
          </w:pPr>
          <w:r>
            <w:fldChar w:fldCharType="begin"/>
          </w:r>
          <w:r>
            <w:instrText xml:space="preserve"> PAGE  \* Arabic  \* MERGEFORMAT </w:instrText>
          </w:r>
          <w:r>
            <w:fldChar w:fldCharType="separate"/>
          </w:r>
          <w:r w:rsidR="00F540FE">
            <w:rPr>
              <w:noProof/>
            </w:rPr>
            <w:t>42</w:t>
          </w:r>
          <w:r>
            <w:fldChar w:fldCharType="end"/>
          </w:r>
          <w:r>
            <w:t>/</w:t>
          </w:r>
          <w:r w:rsidR="00F540FE">
            <w:fldChar w:fldCharType="begin"/>
          </w:r>
          <w:r w:rsidR="00F540FE">
            <w:instrText xml:space="preserve"> NUMPAGES  \* Arabic  \* MERGEFORMAT </w:instrText>
          </w:r>
          <w:r w:rsidR="00F540FE">
            <w:fldChar w:fldCharType="separate"/>
          </w:r>
          <w:r w:rsidR="00F540FE">
            <w:rPr>
              <w:noProof/>
            </w:rPr>
            <w:t>42</w:t>
          </w:r>
          <w:r w:rsidR="00F540FE">
            <w:rPr>
              <w:noProof/>
            </w:rPr>
            <w:fldChar w:fldCharType="end"/>
          </w:r>
        </w:p>
      </w:tc>
      <w:tc>
        <w:tcPr>
          <w:tcW w:w="5127" w:type="dxa"/>
          <w:shd w:val="clear" w:color="auto" w:fill="auto"/>
          <w:vAlign w:val="bottom"/>
        </w:tcPr>
        <w:p w:rsidR="00897DC3" w:rsidRPr="00E41203" w:rsidRDefault="00897DC3" w:rsidP="00E41203">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6143B5">
            <w:rPr>
              <w:b w:val="0"/>
              <w:color w:val="000000"/>
              <w:sz w:val="14"/>
            </w:rPr>
            <w:t>GE.15-22146</w:t>
          </w:r>
          <w:r>
            <w:rPr>
              <w:b w:val="0"/>
              <w:color w:val="000000"/>
              <w:sz w:val="14"/>
            </w:rPr>
            <w:fldChar w:fldCharType="end"/>
          </w:r>
        </w:p>
      </w:tc>
    </w:tr>
  </w:tbl>
  <w:p w:rsidR="00897DC3" w:rsidRPr="00E41203" w:rsidRDefault="00897DC3" w:rsidP="00E412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897DC3" w:rsidTr="00E41203">
      <w:trPr>
        <w:jc w:val="center"/>
      </w:trPr>
      <w:tc>
        <w:tcPr>
          <w:tcW w:w="5126" w:type="dxa"/>
          <w:shd w:val="clear" w:color="auto" w:fill="auto"/>
          <w:vAlign w:val="bottom"/>
        </w:tcPr>
        <w:p w:rsidR="00897DC3" w:rsidRPr="00E41203" w:rsidRDefault="00897DC3" w:rsidP="00E41203">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6143B5">
            <w:rPr>
              <w:b w:val="0"/>
              <w:color w:val="000000"/>
              <w:sz w:val="14"/>
            </w:rPr>
            <w:t>GE.15-22146</w:t>
          </w:r>
          <w:r>
            <w:rPr>
              <w:b w:val="0"/>
              <w:color w:val="000000"/>
              <w:sz w:val="14"/>
            </w:rPr>
            <w:fldChar w:fldCharType="end"/>
          </w:r>
        </w:p>
      </w:tc>
      <w:tc>
        <w:tcPr>
          <w:tcW w:w="5127" w:type="dxa"/>
          <w:shd w:val="clear" w:color="auto" w:fill="auto"/>
          <w:vAlign w:val="bottom"/>
        </w:tcPr>
        <w:p w:rsidR="00897DC3" w:rsidRPr="00E41203" w:rsidRDefault="00897DC3" w:rsidP="00E41203">
          <w:pPr>
            <w:pStyle w:val="Footer"/>
            <w:jc w:val="right"/>
          </w:pPr>
          <w:r>
            <w:fldChar w:fldCharType="begin"/>
          </w:r>
          <w:r>
            <w:instrText xml:space="preserve"> PAGE  \* Arabic  \* MERGEFORMAT </w:instrText>
          </w:r>
          <w:r>
            <w:fldChar w:fldCharType="separate"/>
          </w:r>
          <w:r w:rsidR="00F540FE">
            <w:rPr>
              <w:noProof/>
            </w:rPr>
            <w:t>43</w:t>
          </w:r>
          <w:r>
            <w:fldChar w:fldCharType="end"/>
          </w:r>
          <w:r>
            <w:t>/</w:t>
          </w:r>
          <w:r w:rsidR="00F540FE">
            <w:fldChar w:fldCharType="begin"/>
          </w:r>
          <w:r w:rsidR="00F540FE">
            <w:instrText xml:space="preserve"> NUMPAGES  \* Arabic  \* MERGEFORMAT </w:instrText>
          </w:r>
          <w:r w:rsidR="00F540FE">
            <w:fldChar w:fldCharType="separate"/>
          </w:r>
          <w:r w:rsidR="00F540FE">
            <w:rPr>
              <w:noProof/>
            </w:rPr>
            <w:t>43</w:t>
          </w:r>
          <w:r w:rsidR="00F540FE">
            <w:rPr>
              <w:noProof/>
            </w:rPr>
            <w:fldChar w:fldCharType="end"/>
          </w:r>
        </w:p>
      </w:tc>
    </w:tr>
  </w:tbl>
  <w:p w:rsidR="00897DC3" w:rsidRPr="00E41203" w:rsidRDefault="00897DC3" w:rsidP="00E412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897DC3" w:rsidTr="00E41203">
      <w:tc>
        <w:tcPr>
          <w:tcW w:w="3873" w:type="dxa"/>
        </w:tcPr>
        <w:p w:rsidR="00897DC3" w:rsidRDefault="00897DC3" w:rsidP="00E41203">
          <w:pPr>
            <w:pStyle w:val="ReleaseDate"/>
            <w:rPr>
              <w:color w:val="010000"/>
            </w:rPr>
          </w:pPr>
          <w:r>
            <w:rPr>
              <w:noProof/>
              <w:lang w:val="en-US"/>
            </w:rPr>
            <w:drawing>
              <wp:anchor distT="0" distB="0" distL="114300" distR="114300" simplePos="0" relativeHeight="251658240" behindDoc="0" locked="0" layoutInCell="1" allowOverlap="1" wp14:anchorId="07E94A9E" wp14:editId="1BE03A8F">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TRANS/2016/27&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2016/27&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GE.15-22146 (R)</w:t>
          </w:r>
          <w:r>
            <w:rPr>
              <w:color w:val="010000"/>
            </w:rPr>
            <w:t xml:space="preserve">    200116    210116</w:t>
          </w:r>
        </w:p>
        <w:p w:rsidR="00897DC3" w:rsidRPr="00E41203" w:rsidRDefault="00897DC3" w:rsidP="00E41203">
          <w:pPr>
            <w:spacing w:before="80" w:line="210" w:lineRule="exact"/>
            <w:rPr>
              <w:rFonts w:ascii="Barcode 3 of 9 by request" w:hAnsi="Barcode 3 of 9 by request"/>
              <w:w w:val="100"/>
              <w:sz w:val="24"/>
            </w:rPr>
          </w:pPr>
          <w:r>
            <w:rPr>
              <w:rFonts w:ascii="Barcode 3 of 9 by request" w:hAnsi="Barcode 3 of 9 by request"/>
              <w:w w:val="100"/>
              <w:sz w:val="24"/>
            </w:rPr>
            <w:t>*1522146*</w:t>
          </w:r>
        </w:p>
      </w:tc>
      <w:tc>
        <w:tcPr>
          <w:tcW w:w="5127" w:type="dxa"/>
        </w:tcPr>
        <w:p w:rsidR="00897DC3" w:rsidRDefault="00897DC3" w:rsidP="00E41203">
          <w:pPr>
            <w:pStyle w:val="Footer"/>
            <w:spacing w:line="240" w:lineRule="atLeast"/>
            <w:jc w:val="right"/>
            <w:rPr>
              <w:b w:val="0"/>
              <w:sz w:val="20"/>
            </w:rPr>
          </w:pPr>
          <w:r>
            <w:rPr>
              <w:b w:val="0"/>
              <w:noProof/>
              <w:sz w:val="20"/>
              <w:lang w:val="en-US"/>
            </w:rPr>
            <w:drawing>
              <wp:inline distT="0" distB="0" distL="0" distR="0" wp14:anchorId="04334B68" wp14:editId="3EE084E3">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897DC3" w:rsidRPr="00E41203" w:rsidRDefault="00897DC3" w:rsidP="00E41203">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DC3" w:rsidRPr="00784329" w:rsidRDefault="00897DC3" w:rsidP="00784329">
      <w:pPr>
        <w:pStyle w:val="Footer"/>
        <w:spacing w:after="80"/>
        <w:ind w:left="792"/>
        <w:rPr>
          <w:sz w:val="16"/>
        </w:rPr>
      </w:pPr>
      <w:r w:rsidRPr="00784329">
        <w:rPr>
          <w:sz w:val="16"/>
        </w:rPr>
        <w:t>__________________</w:t>
      </w:r>
    </w:p>
  </w:footnote>
  <w:footnote w:type="continuationSeparator" w:id="0">
    <w:p w:rsidR="00897DC3" w:rsidRPr="00784329" w:rsidRDefault="00897DC3" w:rsidP="00784329">
      <w:pPr>
        <w:pStyle w:val="Footer"/>
        <w:spacing w:after="80"/>
        <w:ind w:left="792"/>
        <w:rPr>
          <w:sz w:val="16"/>
        </w:rPr>
      </w:pPr>
      <w:r w:rsidRPr="00784329">
        <w:rPr>
          <w:sz w:val="16"/>
        </w:rPr>
        <w:t>__________________</w:t>
      </w:r>
    </w:p>
  </w:footnote>
  <w:footnote w:id="1">
    <w:p w:rsidR="00897DC3" w:rsidRPr="00DF0070" w:rsidRDefault="00897DC3" w:rsidP="00343E61">
      <w:pPr>
        <w:pStyle w:val="FootnoteText"/>
        <w:widowControl w:val="0"/>
        <w:tabs>
          <w:tab w:val="right" w:pos="1195"/>
          <w:tab w:val="left" w:pos="1267"/>
          <w:tab w:val="left" w:pos="1742"/>
          <w:tab w:val="left" w:pos="2218"/>
          <w:tab w:val="left" w:pos="2693"/>
        </w:tabs>
        <w:ind w:left="1267" w:right="1260" w:hanging="432"/>
        <w:rPr>
          <w:sz w:val="18"/>
        </w:rPr>
      </w:pPr>
      <w:r>
        <w:tab/>
      </w:r>
      <w:r>
        <w:rPr>
          <w:rStyle w:val="FootnoteReference"/>
        </w:rPr>
        <w:footnoteRef/>
      </w:r>
      <w:r>
        <w:tab/>
        <w:t xml:space="preserve">Европейское соглашение о международной дорожной перевозке опасных грузов. </w:t>
      </w:r>
    </w:p>
  </w:footnote>
  <w:footnote w:id="2">
    <w:p w:rsidR="00897DC3" w:rsidRDefault="00897DC3" w:rsidP="00343E61">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t xml:space="preserve">Правила международной перевозки опасных грузов по железным дорогам. </w:t>
      </w:r>
    </w:p>
  </w:footnote>
  <w:footnote w:id="3">
    <w:p w:rsidR="00897DC3" w:rsidRDefault="00897DC3" w:rsidP="00343E61">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t xml:space="preserve">Европейское соглашение о международной перевозке опасных грузов по внутренним водным путям. </w:t>
      </w:r>
    </w:p>
  </w:footnote>
  <w:footnote w:id="4">
    <w:p w:rsidR="00897DC3" w:rsidRPr="008A2330" w:rsidRDefault="00897DC3" w:rsidP="00343E61">
      <w:pPr>
        <w:pStyle w:val="FootnoteText"/>
        <w:widowControl w:val="0"/>
        <w:tabs>
          <w:tab w:val="right" w:pos="1195"/>
          <w:tab w:val="left" w:pos="1267"/>
          <w:tab w:val="left" w:pos="1742"/>
          <w:tab w:val="left" w:pos="2218"/>
          <w:tab w:val="left" w:pos="2693"/>
        </w:tabs>
        <w:ind w:left="1267" w:right="1260" w:hanging="432"/>
      </w:pPr>
      <w:r>
        <w:tab/>
      </w:r>
      <w:r w:rsidRPr="008A2330">
        <w:rPr>
          <w:rStyle w:val="FootnoteReference"/>
        </w:rPr>
        <w:footnoteRef/>
      </w:r>
      <w:hyperlink r:id="rId1" w:history="1">
        <w:r w:rsidRPr="008A2330">
          <w:rPr>
            <w:rStyle w:val="Hyperlink"/>
            <w:color w:val="auto"/>
            <w:u w:val="none"/>
          </w:rPr>
          <w:tab/>
          <w:t>http://www.unece.org/trans/danger/publi/adr/country-info_e.html</w:t>
        </w:r>
      </w:hyperlink>
      <w:r>
        <w:rPr>
          <w:rStyle w:val="Hyperlink"/>
          <w:color w:val="auto"/>
          <w:u w:val="none"/>
        </w:rPr>
        <w:t>.</w:t>
      </w:r>
    </w:p>
  </w:footnote>
  <w:footnote w:id="5">
    <w:p w:rsidR="00897DC3" w:rsidRPr="00F431DF" w:rsidRDefault="00897DC3" w:rsidP="00343E61">
      <w:pPr>
        <w:pStyle w:val="FootnoteText"/>
        <w:widowControl w:val="0"/>
        <w:tabs>
          <w:tab w:val="right" w:pos="1195"/>
          <w:tab w:val="left" w:pos="1267"/>
          <w:tab w:val="left" w:pos="1742"/>
          <w:tab w:val="left" w:pos="2218"/>
          <w:tab w:val="left" w:pos="2693"/>
        </w:tabs>
        <w:ind w:left="1267" w:right="1260" w:hanging="432"/>
      </w:pPr>
      <w:r w:rsidRPr="008A2330">
        <w:tab/>
      </w:r>
      <w:r w:rsidRPr="008A2330">
        <w:rPr>
          <w:rStyle w:val="FootnoteReference"/>
        </w:rPr>
        <w:footnoteRef/>
      </w:r>
      <w:r w:rsidRPr="008A2330">
        <w:tab/>
      </w:r>
      <w:hyperlink r:id="rId2" w:history="1">
        <w:r w:rsidRPr="008A2330">
          <w:rPr>
            <w:rStyle w:val="Hyperlink"/>
            <w:color w:val="auto"/>
            <w:u w:val="none"/>
          </w:rPr>
          <w:t>http://www.unece.org/trans/danger/publi/adr/adr_certificates.html</w:t>
        </w:r>
      </w:hyperlink>
      <w:r>
        <w:rPr>
          <w:rStyle w:val="Hyperlink"/>
          <w:color w:val="auto"/>
          <w:u w:val="none"/>
        </w:rPr>
        <w:t>.</w:t>
      </w:r>
    </w:p>
  </w:footnote>
  <w:footnote w:id="6">
    <w:p w:rsidR="00897DC3" w:rsidRPr="000A40A7" w:rsidRDefault="00897DC3" w:rsidP="00343E61">
      <w:pPr>
        <w:pStyle w:val="FootnoteText"/>
        <w:widowControl w:val="0"/>
        <w:tabs>
          <w:tab w:val="right" w:pos="1195"/>
          <w:tab w:val="left" w:pos="1267"/>
          <w:tab w:val="left" w:pos="1742"/>
          <w:tab w:val="left" w:pos="2218"/>
          <w:tab w:val="left" w:pos="2693"/>
        </w:tabs>
        <w:ind w:left="1267" w:right="1260" w:hanging="432"/>
      </w:pPr>
      <w:r w:rsidRPr="00F431DF">
        <w:tab/>
      </w:r>
      <w:r w:rsidRPr="000A40A7">
        <w:rPr>
          <w:rStyle w:val="FootnoteReference"/>
        </w:rPr>
        <w:footnoteRef/>
      </w:r>
      <w:r w:rsidRPr="000A40A7">
        <w:tab/>
      </w:r>
      <w:hyperlink r:id="rId3" w:history="1">
        <w:r w:rsidRPr="000A40A7">
          <w:rPr>
            <w:rStyle w:val="Hyperlink"/>
            <w:color w:val="auto"/>
            <w:u w:val="none"/>
          </w:rPr>
          <w:t>http://www.unece.org/trans/danger/publi/adr/adr_linguistic_e.html</w:t>
        </w:r>
      </w:hyperlink>
      <w:r>
        <w:rPr>
          <w:rStyle w:val="Hyperlink"/>
          <w:color w:val="auto"/>
          <w:u w:val="none"/>
        </w:rPr>
        <w:t>.</w:t>
      </w:r>
      <w:r w:rsidRPr="000A40A7">
        <w:t xml:space="preserve"> </w:t>
      </w:r>
    </w:p>
  </w:footnote>
  <w:footnote w:id="7">
    <w:p w:rsidR="00897DC3" w:rsidRPr="000A40A7" w:rsidRDefault="00897DC3" w:rsidP="00343E61">
      <w:pPr>
        <w:pStyle w:val="FootnoteText"/>
        <w:widowControl w:val="0"/>
        <w:tabs>
          <w:tab w:val="right" w:pos="1195"/>
          <w:tab w:val="left" w:pos="1267"/>
          <w:tab w:val="left" w:pos="1742"/>
          <w:tab w:val="left" w:pos="2218"/>
          <w:tab w:val="left" w:pos="2693"/>
        </w:tabs>
        <w:ind w:left="1267" w:right="1260" w:hanging="432"/>
      </w:pPr>
      <w:r w:rsidRPr="000A40A7">
        <w:tab/>
      </w:r>
      <w:r w:rsidRPr="000A40A7">
        <w:rPr>
          <w:rStyle w:val="FootnoteReference"/>
        </w:rPr>
        <w:footnoteRef/>
      </w:r>
      <w:r w:rsidRPr="000A40A7">
        <w:tab/>
      </w:r>
      <w:hyperlink r:id="rId4" w:history="1">
        <w:r w:rsidRPr="000A40A7">
          <w:rPr>
            <w:rStyle w:val="Hyperlink"/>
            <w:color w:val="auto"/>
            <w:u w:val="none"/>
          </w:rPr>
          <w:t>http://www.unece.org/trans/danger/multi/multi.html</w:t>
        </w:r>
      </w:hyperlink>
      <w:r>
        <w:rPr>
          <w:rStyle w:val="Hyperlink"/>
          <w:color w:val="auto"/>
          <w:u w:val="none"/>
        </w:rPr>
        <w:t>.</w:t>
      </w:r>
      <w:r w:rsidRPr="000A40A7">
        <w:t xml:space="preserve"> </w:t>
      </w:r>
    </w:p>
  </w:footnote>
  <w:footnote w:id="8">
    <w:p w:rsidR="00897DC3" w:rsidRPr="004713AC" w:rsidRDefault="00897DC3" w:rsidP="00343E61">
      <w:pPr>
        <w:pStyle w:val="FootnoteText"/>
        <w:widowControl w:val="0"/>
        <w:tabs>
          <w:tab w:val="right" w:pos="1195"/>
          <w:tab w:val="left" w:pos="1267"/>
          <w:tab w:val="left" w:pos="1742"/>
          <w:tab w:val="left" w:pos="2218"/>
          <w:tab w:val="left" w:pos="2693"/>
        </w:tabs>
        <w:ind w:left="1267" w:right="1260" w:hanging="432"/>
      </w:pPr>
      <w:r w:rsidRPr="000A40A7">
        <w:tab/>
      </w:r>
      <w:r w:rsidRPr="000A40A7">
        <w:rPr>
          <w:rStyle w:val="FootnoteReference"/>
        </w:rPr>
        <w:footnoteRef/>
      </w:r>
      <w:r w:rsidRPr="000A40A7">
        <w:tab/>
      </w:r>
      <w:hyperlink r:id="rId5" w:history="1">
        <w:r w:rsidRPr="000A40A7">
          <w:rPr>
            <w:rStyle w:val="Hyperlink"/>
            <w:color w:val="auto"/>
            <w:u w:val="none"/>
          </w:rPr>
          <w:t>http://www.unece.org/trans/danger/publi/adr/accidents.html</w:t>
        </w:r>
      </w:hyperlink>
      <w:r>
        <w:rPr>
          <w:rStyle w:val="Hyperlink"/>
          <w:color w:val="auto"/>
          <w:u w:val="none"/>
        </w:rPr>
        <w:t>.</w:t>
      </w:r>
      <w:r>
        <w:t xml:space="preserve"> </w:t>
      </w:r>
    </w:p>
  </w:footnote>
  <w:footnote w:id="9">
    <w:p w:rsidR="00897DC3" w:rsidRPr="001062EC" w:rsidRDefault="00897DC3" w:rsidP="00E15401">
      <w:pPr>
        <w:pStyle w:val="FootnoteText"/>
        <w:widowControl w:val="0"/>
        <w:tabs>
          <w:tab w:val="right" w:pos="1195"/>
          <w:tab w:val="left" w:pos="1267"/>
          <w:tab w:val="left" w:pos="1742"/>
          <w:tab w:val="left" w:pos="2218"/>
          <w:tab w:val="left" w:pos="2693"/>
        </w:tabs>
        <w:ind w:left="1267" w:right="1260" w:hanging="432"/>
        <w:rPr>
          <w:rFonts w:eastAsia="Times New Roman"/>
        </w:rPr>
      </w:pPr>
      <w:r>
        <w:tab/>
      </w:r>
      <w:r>
        <w:rPr>
          <w:rStyle w:val="FootnoteReference"/>
        </w:rPr>
        <w:footnoteRef/>
      </w:r>
      <w:r>
        <w:tab/>
        <w:t xml:space="preserve">По техническим причинам сведения о числе загрузок с веб-сайта в период 2014–2015 годов получить не удалось.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897DC3" w:rsidTr="00E41203">
      <w:trPr>
        <w:trHeight w:hRule="exact" w:val="864"/>
        <w:jc w:val="center"/>
      </w:trPr>
      <w:tc>
        <w:tcPr>
          <w:tcW w:w="4882" w:type="dxa"/>
          <w:shd w:val="clear" w:color="auto" w:fill="auto"/>
          <w:vAlign w:val="bottom"/>
        </w:tcPr>
        <w:p w:rsidR="00897DC3" w:rsidRPr="00E41203" w:rsidRDefault="00897DC3" w:rsidP="00E41203">
          <w:pPr>
            <w:pStyle w:val="Header"/>
            <w:spacing w:after="80"/>
            <w:rPr>
              <w:b/>
            </w:rPr>
          </w:pPr>
          <w:r>
            <w:rPr>
              <w:b/>
            </w:rPr>
            <w:fldChar w:fldCharType="begin"/>
          </w:r>
          <w:r>
            <w:rPr>
              <w:b/>
            </w:rPr>
            <w:instrText xml:space="preserve"> DOCVARIABLE "sss1" \* MERGEFORMAT </w:instrText>
          </w:r>
          <w:r>
            <w:rPr>
              <w:b/>
            </w:rPr>
            <w:fldChar w:fldCharType="separate"/>
          </w:r>
          <w:r w:rsidR="006143B5">
            <w:rPr>
              <w:b/>
            </w:rPr>
            <w:t>ECE/TRANS/2016/27</w:t>
          </w:r>
          <w:r>
            <w:rPr>
              <w:b/>
            </w:rPr>
            <w:fldChar w:fldCharType="end"/>
          </w:r>
        </w:p>
      </w:tc>
      <w:tc>
        <w:tcPr>
          <w:tcW w:w="5127" w:type="dxa"/>
          <w:shd w:val="clear" w:color="auto" w:fill="auto"/>
          <w:vAlign w:val="bottom"/>
        </w:tcPr>
        <w:p w:rsidR="00897DC3" w:rsidRDefault="00897DC3" w:rsidP="00E41203">
          <w:pPr>
            <w:pStyle w:val="Header"/>
          </w:pPr>
        </w:p>
      </w:tc>
    </w:tr>
  </w:tbl>
  <w:p w:rsidR="00897DC3" w:rsidRPr="00E41203" w:rsidRDefault="00897DC3" w:rsidP="00E412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897DC3" w:rsidTr="00E41203">
      <w:trPr>
        <w:trHeight w:hRule="exact" w:val="864"/>
        <w:jc w:val="center"/>
      </w:trPr>
      <w:tc>
        <w:tcPr>
          <w:tcW w:w="4882" w:type="dxa"/>
          <w:shd w:val="clear" w:color="auto" w:fill="auto"/>
          <w:vAlign w:val="bottom"/>
        </w:tcPr>
        <w:p w:rsidR="00897DC3" w:rsidRDefault="00897DC3" w:rsidP="00E41203">
          <w:pPr>
            <w:pStyle w:val="Header"/>
          </w:pPr>
        </w:p>
      </w:tc>
      <w:tc>
        <w:tcPr>
          <w:tcW w:w="5127" w:type="dxa"/>
          <w:shd w:val="clear" w:color="auto" w:fill="auto"/>
          <w:vAlign w:val="bottom"/>
        </w:tcPr>
        <w:p w:rsidR="00897DC3" w:rsidRPr="00E41203" w:rsidRDefault="00897DC3" w:rsidP="00E41203">
          <w:pPr>
            <w:pStyle w:val="Header"/>
            <w:spacing w:after="80"/>
            <w:jc w:val="right"/>
            <w:rPr>
              <w:b/>
            </w:rPr>
          </w:pPr>
          <w:r>
            <w:rPr>
              <w:b/>
            </w:rPr>
            <w:fldChar w:fldCharType="begin"/>
          </w:r>
          <w:r>
            <w:rPr>
              <w:b/>
            </w:rPr>
            <w:instrText xml:space="preserve"> DOCVARIABLE "sss1" \* MERGEFORMAT </w:instrText>
          </w:r>
          <w:r>
            <w:rPr>
              <w:b/>
            </w:rPr>
            <w:fldChar w:fldCharType="separate"/>
          </w:r>
          <w:r w:rsidR="006143B5">
            <w:rPr>
              <w:b/>
            </w:rPr>
            <w:t>ECE/TRANS/2016/27</w:t>
          </w:r>
          <w:r>
            <w:rPr>
              <w:b/>
            </w:rPr>
            <w:fldChar w:fldCharType="end"/>
          </w:r>
        </w:p>
      </w:tc>
    </w:tr>
  </w:tbl>
  <w:p w:rsidR="00897DC3" w:rsidRPr="00E41203" w:rsidRDefault="00897DC3" w:rsidP="00E412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897DC3" w:rsidTr="00E41203">
      <w:trPr>
        <w:trHeight w:hRule="exact" w:val="864"/>
      </w:trPr>
      <w:tc>
        <w:tcPr>
          <w:tcW w:w="4421" w:type="dxa"/>
          <w:gridSpan w:val="2"/>
          <w:tcBorders>
            <w:bottom w:val="single" w:sz="4" w:space="0" w:color="auto"/>
          </w:tcBorders>
          <w:shd w:val="clear" w:color="auto" w:fill="auto"/>
          <w:vAlign w:val="bottom"/>
        </w:tcPr>
        <w:p w:rsidR="00897DC3" w:rsidRPr="00E41203" w:rsidRDefault="00897DC3" w:rsidP="00E41203">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897DC3" w:rsidRDefault="00897DC3" w:rsidP="00E41203">
          <w:pPr>
            <w:pStyle w:val="Header"/>
            <w:spacing w:after="120"/>
          </w:pPr>
        </w:p>
      </w:tc>
      <w:tc>
        <w:tcPr>
          <w:tcW w:w="5357" w:type="dxa"/>
          <w:gridSpan w:val="3"/>
          <w:tcBorders>
            <w:bottom w:val="single" w:sz="4" w:space="0" w:color="auto"/>
          </w:tcBorders>
          <w:shd w:val="clear" w:color="auto" w:fill="auto"/>
          <w:vAlign w:val="bottom"/>
        </w:tcPr>
        <w:p w:rsidR="00897DC3" w:rsidRPr="00E41203" w:rsidRDefault="00897DC3" w:rsidP="00E41203">
          <w:pPr>
            <w:pStyle w:val="Header"/>
            <w:spacing w:after="20"/>
            <w:jc w:val="right"/>
            <w:rPr>
              <w:sz w:val="20"/>
            </w:rPr>
          </w:pPr>
          <w:r>
            <w:rPr>
              <w:sz w:val="40"/>
            </w:rPr>
            <w:t>ECE</w:t>
          </w:r>
          <w:r>
            <w:rPr>
              <w:sz w:val="20"/>
            </w:rPr>
            <w:t>/TRANS/2016/27</w:t>
          </w:r>
        </w:p>
      </w:tc>
    </w:tr>
    <w:tr w:rsidR="00897DC3" w:rsidRPr="00897DC3" w:rsidTr="00E41203">
      <w:trPr>
        <w:trHeight w:hRule="exact" w:val="2880"/>
      </w:trPr>
      <w:tc>
        <w:tcPr>
          <w:tcW w:w="1267" w:type="dxa"/>
          <w:tcBorders>
            <w:top w:val="single" w:sz="4" w:space="0" w:color="auto"/>
            <w:bottom w:val="single" w:sz="12" w:space="0" w:color="auto"/>
          </w:tcBorders>
          <w:shd w:val="clear" w:color="auto" w:fill="auto"/>
        </w:tcPr>
        <w:p w:rsidR="00897DC3" w:rsidRPr="00E41203" w:rsidRDefault="00897DC3" w:rsidP="00E41203">
          <w:pPr>
            <w:pStyle w:val="Header"/>
            <w:spacing w:before="120"/>
            <w:jc w:val="center"/>
          </w:pPr>
          <w:r>
            <w:t xml:space="preserve"> </w:t>
          </w:r>
          <w:r>
            <w:rPr>
              <w:noProof/>
              <w:lang w:val="en-US"/>
            </w:rPr>
            <w:drawing>
              <wp:inline distT="0" distB="0" distL="0" distR="0" wp14:anchorId="2C063AA8" wp14:editId="0604F9A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97DC3" w:rsidRPr="00E41203" w:rsidRDefault="00897DC3" w:rsidP="00E41203">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897DC3" w:rsidRPr="00E41203" w:rsidRDefault="00897DC3" w:rsidP="00E41203">
          <w:pPr>
            <w:pStyle w:val="Header"/>
            <w:spacing w:before="109"/>
          </w:pPr>
        </w:p>
      </w:tc>
      <w:tc>
        <w:tcPr>
          <w:tcW w:w="3280" w:type="dxa"/>
          <w:tcBorders>
            <w:top w:val="single" w:sz="4" w:space="0" w:color="auto"/>
            <w:bottom w:val="single" w:sz="12" w:space="0" w:color="auto"/>
          </w:tcBorders>
          <w:shd w:val="clear" w:color="auto" w:fill="auto"/>
        </w:tcPr>
        <w:p w:rsidR="00897DC3" w:rsidRPr="00AA446C" w:rsidRDefault="00897DC3" w:rsidP="00E41203">
          <w:pPr>
            <w:pStyle w:val="Distribution"/>
            <w:rPr>
              <w:color w:val="000000"/>
              <w:lang w:val="en-US"/>
            </w:rPr>
          </w:pPr>
          <w:r w:rsidRPr="00AA446C">
            <w:rPr>
              <w:color w:val="000000"/>
              <w:lang w:val="en-US"/>
            </w:rPr>
            <w:t>Distr.: General</w:t>
          </w:r>
        </w:p>
        <w:p w:rsidR="00897DC3" w:rsidRPr="00AA446C" w:rsidRDefault="00897DC3" w:rsidP="00AA446C">
          <w:pPr>
            <w:pStyle w:val="Publication"/>
            <w:rPr>
              <w:color w:val="000000"/>
              <w:lang w:val="en-US"/>
            </w:rPr>
          </w:pPr>
          <w:r w:rsidRPr="00AA446C">
            <w:rPr>
              <w:color w:val="000000"/>
              <w:lang w:val="en-US"/>
            </w:rPr>
            <w:t>15 December 2015</w:t>
          </w:r>
        </w:p>
        <w:p w:rsidR="00897DC3" w:rsidRPr="00AA446C" w:rsidRDefault="00897DC3" w:rsidP="00E41203">
          <w:pPr>
            <w:rPr>
              <w:color w:val="000000"/>
              <w:lang w:val="en-US"/>
            </w:rPr>
          </w:pPr>
          <w:r w:rsidRPr="00AA446C">
            <w:rPr>
              <w:color w:val="000000"/>
              <w:lang w:val="en-US"/>
            </w:rPr>
            <w:t>Russian</w:t>
          </w:r>
        </w:p>
        <w:p w:rsidR="00897DC3" w:rsidRPr="00AA446C" w:rsidRDefault="00897DC3" w:rsidP="00E41203">
          <w:pPr>
            <w:pStyle w:val="Original"/>
            <w:rPr>
              <w:color w:val="000000"/>
              <w:lang w:val="en-US"/>
            </w:rPr>
          </w:pPr>
          <w:r w:rsidRPr="00AA446C">
            <w:rPr>
              <w:color w:val="000000"/>
              <w:lang w:val="en-US"/>
            </w:rPr>
            <w:t>Original: English</w:t>
          </w:r>
        </w:p>
        <w:p w:rsidR="00897DC3" w:rsidRPr="00AA446C" w:rsidRDefault="00897DC3" w:rsidP="00E41203">
          <w:pPr>
            <w:rPr>
              <w:lang w:val="en-US"/>
            </w:rPr>
          </w:pPr>
        </w:p>
      </w:tc>
    </w:tr>
  </w:tbl>
  <w:p w:rsidR="00897DC3" w:rsidRPr="00AA446C" w:rsidRDefault="00897DC3" w:rsidP="00E41203">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0">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3"/>
  </w:num>
  <w:num w:numId="5">
    <w:abstractNumId w:val="2"/>
  </w:num>
  <w:num w:numId="6">
    <w:abstractNumId w:val="1"/>
  </w:num>
  <w:num w:numId="7">
    <w:abstractNumId w:val="0"/>
  </w:num>
  <w:num w:numId="8">
    <w:abstractNumId w:val="6"/>
  </w:num>
  <w:num w:numId="9">
    <w:abstractNumId w:val="10"/>
  </w:num>
  <w:num w:numId="10">
    <w:abstractNumId w:val="9"/>
  </w:num>
  <w:num w:numId="11">
    <w:abstractNumId w:val="5"/>
  </w:num>
  <w:num w:numId="12">
    <w:abstractNumId w:val="6"/>
  </w:num>
  <w:num w:numId="13">
    <w:abstractNumId w:val="6"/>
  </w:num>
  <w:num w:numId="14">
    <w:abstractNumId w:val="6"/>
  </w:num>
  <w:num w:numId="15">
    <w:abstractNumId w:val="6"/>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appName="MSWord" w:lang="ru-RU" w:vendorID="1" w:dllVersion="512" w:checkStyle="0"/>
  <w:proofState w:spelling="clean"/>
  <w:defaultTabStop w:val="475"/>
  <w:autoHyphenation/>
  <w:hyphenationZone w:val="220"/>
  <w:doNotHyphenateCaps/>
  <w:evenAndOddHeaders/>
  <w:drawingGridHorizontalSpacing w:val="209"/>
  <w:displayVerticalDrawingGridEvery w:val="2"/>
  <w:characterSpacingControl w:val="doNotCompress"/>
  <w:hdrShapeDefaults>
    <o:shapedefaults v:ext="edit" spidmax="10241"/>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22146*"/>
    <w:docVar w:name="CreationDt" w:val="1/20/2016 11:49 AM"/>
    <w:docVar w:name="DocCategory" w:val="Doc"/>
    <w:docVar w:name="DocType" w:val="Final"/>
    <w:docVar w:name="DutyStation" w:val="Geneva"/>
    <w:docVar w:name="FooterJN" w:val="GE.15-22146"/>
    <w:docVar w:name="jobn" w:val="GE.15-22146 (R)"/>
    <w:docVar w:name="jobnDT" w:val="GE.15-22146 (R)   200116"/>
    <w:docVar w:name="jobnDTDT" w:val="GE.15-22146 (R)   200116   200116"/>
    <w:docVar w:name="JobNo" w:val="GE.1522146R"/>
    <w:docVar w:name="JobNo2" w:val="1528564R"/>
    <w:docVar w:name="LocalDrive" w:val="0"/>
    <w:docVar w:name="OandT" w:val=" "/>
    <w:docVar w:name="PaperSize" w:val="A4"/>
    <w:docVar w:name="sss1" w:val="ECE/TRANS/2016/27"/>
    <w:docVar w:name="sss2" w:val="-"/>
    <w:docVar w:name="Symbol1" w:val="ECE/TRANS/2016/27"/>
    <w:docVar w:name="Symbol2" w:val="-"/>
  </w:docVars>
  <w:rsids>
    <w:rsidRoot w:val="00D95E7E"/>
    <w:rsid w:val="00004615"/>
    <w:rsid w:val="00004756"/>
    <w:rsid w:val="00010735"/>
    <w:rsid w:val="00010CB8"/>
    <w:rsid w:val="00013E03"/>
    <w:rsid w:val="00015201"/>
    <w:rsid w:val="0001588C"/>
    <w:rsid w:val="000162FB"/>
    <w:rsid w:val="00024A67"/>
    <w:rsid w:val="00025CF3"/>
    <w:rsid w:val="0002669B"/>
    <w:rsid w:val="00033C1F"/>
    <w:rsid w:val="00041A49"/>
    <w:rsid w:val="000513EF"/>
    <w:rsid w:val="0005420D"/>
    <w:rsid w:val="00055EA2"/>
    <w:rsid w:val="00067A5A"/>
    <w:rsid w:val="00067A90"/>
    <w:rsid w:val="00070C37"/>
    <w:rsid w:val="000738BD"/>
    <w:rsid w:val="00076F88"/>
    <w:rsid w:val="0007796A"/>
    <w:rsid w:val="0008067C"/>
    <w:rsid w:val="00091DC8"/>
    <w:rsid w:val="00092464"/>
    <w:rsid w:val="000A111E"/>
    <w:rsid w:val="000A1DF3"/>
    <w:rsid w:val="000A40A7"/>
    <w:rsid w:val="000A4A11"/>
    <w:rsid w:val="000B02B7"/>
    <w:rsid w:val="000C069D"/>
    <w:rsid w:val="000C3A74"/>
    <w:rsid w:val="000C67BC"/>
    <w:rsid w:val="000D300C"/>
    <w:rsid w:val="000D64CF"/>
    <w:rsid w:val="000E0F08"/>
    <w:rsid w:val="000E30BA"/>
    <w:rsid w:val="000E35C6"/>
    <w:rsid w:val="000E3712"/>
    <w:rsid w:val="000E4411"/>
    <w:rsid w:val="000F1ACD"/>
    <w:rsid w:val="000F5D07"/>
    <w:rsid w:val="00105B0E"/>
    <w:rsid w:val="00113678"/>
    <w:rsid w:val="001235FD"/>
    <w:rsid w:val="0014308F"/>
    <w:rsid w:val="001444A3"/>
    <w:rsid w:val="00145BAE"/>
    <w:rsid w:val="00153645"/>
    <w:rsid w:val="00153E04"/>
    <w:rsid w:val="00153E8C"/>
    <w:rsid w:val="001565FD"/>
    <w:rsid w:val="00160648"/>
    <w:rsid w:val="00161F29"/>
    <w:rsid w:val="00162200"/>
    <w:rsid w:val="00162E88"/>
    <w:rsid w:val="00167FE9"/>
    <w:rsid w:val="00171F41"/>
    <w:rsid w:val="001726A4"/>
    <w:rsid w:val="001744B4"/>
    <w:rsid w:val="00175AC4"/>
    <w:rsid w:val="00177361"/>
    <w:rsid w:val="001802BD"/>
    <w:rsid w:val="001862BD"/>
    <w:rsid w:val="00193822"/>
    <w:rsid w:val="0019704E"/>
    <w:rsid w:val="001A0D31"/>
    <w:rsid w:val="001A39EE"/>
    <w:rsid w:val="001A4338"/>
    <w:rsid w:val="001A6777"/>
    <w:rsid w:val="001A76E4"/>
    <w:rsid w:val="001C072D"/>
    <w:rsid w:val="001C54CE"/>
    <w:rsid w:val="001D15F8"/>
    <w:rsid w:val="001D1749"/>
    <w:rsid w:val="001D2679"/>
    <w:rsid w:val="001D502D"/>
    <w:rsid w:val="001D60ED"/>
    <w:rsid w:val="001E21CE"/>
    <w:rsid w:val="001E25A2"/>
    <w:rsid w:val="001E61AD"/>
    <w:rsid w:val="001E639C"/>
    <w:rsid w:val="001F1B08"/>
    <w:rsid w:val="001F4353"/>
    <w:rsid w:val="001F639D"/>
    <w:rsid w:val="00205CBD"/>
    <w:rsid w:val="00206603"/>
    <w:rsid w:val="002078A2"/>
    <w:rsid w:val="00211A7E"/>
    <w:rsid w:val="00215955"/>
    <w:rsid w:val="00217A24"/>
    <w:rsid w:val="00223C57"/>
    <w:rsid w:val="00227D15"/>
    <w:rsid w:val="00242477"/>
    <w:rsid w:val="00244051"/>
    <w:rsid w:val="00247A7B"/>
    <w:rsid w:val="002524D1"/>
    <w:rsid w:val="002535D8"/>
    <w:rsid w:val="00254046"/>
    <w:rsid w:val="002564AC"/>
    <w:rsid w:val="002608F3"/>
    <w:rsid w:val="00261386"/>
    <w:rsid w:val="00261C41"/>
    <w:rsid w:val="00264124"/>
    <w:rsid w:val="0026434F"/>
    <w:rsid w:val="00264A43"/>
    <w:rsid w:val="002726BA"/>
    <w:rsid w:val="0027350A"/>
    <w:rsid w:val="00277697"/>
    <w:rsid w:val="00281B96"/>
    <w:rsid w:val="002853F1"/>
    <w:rsid w:val="00285565"/>
    <w:rsid w:val="00297C3D"/>
    <w:rsid w:val="002A04A3"/>
    <w:rsid w:val="002A0BAE"/>
    <w:rsid w:val="002A2DD8"/>
    <w:rsid w:val="002A712C"/>
    <w:rsid w:val="002A7921"/>
    <w:rsid w:val="002B1213"/>
    <w:rsid w:val="002B6501"/>
    <w:rsid w:val="002B6E2A"/>
    <w:rsid w:val="002C0A4B"/>
    <w:rsid w:val="002C3DE6"/>
    <w:rsid w:val="002C66D0"/>
    <w:rsid w:val="002D396F"/>
    <w:rsid w:val="002D4606"/>
    <w:rsid w:val="002D4A88"/>
    <w:rsid w:val="002D666D"/>
    <w:rsid w:val="002E1F79"/>
    <w:rsid w:val="002F3CF9"/>
    <w:rsid w:val="002F5C45"/>
    <w:rsid w:val="002F6149"/>
    <w:rsid w:val="002F7D25"/>
    <w:rsid w:val="00310EA4"/>
    <w:rsid w:val="00310ED4"/>
    <w:rsid w:val="00325C10"/>
    <w:rsid w:val="00326F5F"/>
    <w:rsid w:val="00332D90"/>
    <w:rsid w:val="00333B06"/>
    <w:rsid w:val="00337D91"/>
    <w:rsid w:val="00343513"/>
    <w:rsid w:val="00343E61"/>
    <w:rsid w:val="00346BFB"/>
    <w:rsid w:val="003473EA"/>
    <w:rsid w:val="00350756"/>
    <w:rsid w:val="003542EE"/>
    <w:rsid w:val="00360D26"/>
    <w:rsid w:val="00362148"/>
    <w:rsid w:val="00362FFE"/>
    <w:rsid w:val="003658B0"/>
    <w:rsid w:val="0038044D"/>
    <w:rsid w:val="003833B1"/>
    <w:rsid w:val="00384AEE"/>
    <w:rsid w:val="0038527A"/>
    <w:rsid w:val="00386A98"/>
    <w:rsid w:val="00391367"/>
    <w:rsid w:val="0039505F"/>
    <w:rsid w:val="003A150E"/>
    <w:rsid w:val="003A2730"/>
    <w:rsid w:val="003B16B4"/>
    <w:rsid w:val="003B5A03"/>
    <w:rsid w:val="003B6E50"/>
    <w:rsid w:val="003C12AC"/>
    <w:rsid w:val="003C2842"/>
    <w:rsid w:val="003D0825"/>
    <w:rsid w:val="003D2003"/>
    <w:rsid w:val="003D5DA2"/>
    <w:rsid w:val="003E5193"/>
    <w:rsid w:val="00401CDD"/>
    <w:rsid w:val="00402244"/>
    <w:rsid w:val="00410A3F"/>
    <w:rsid w:val="00415DEC"/>
    <w:rsid w:val="00427FE5"/>
    <w:rsid w:val="00431D3C"/>
    <w:rsid w:val="00433222"/>
    <w:rsid w:val="00436A23"/>
    <w:rsid w:val="00436F13"/>
    <w:rsid w:val="00437F47"/>
    <w:rsid w:val="004420FB"/>
    <w:rsid w:val="00445A4E"/>
    <w:rsid w:val="00445BBD"/>
    <w:rsid w:val="004502EC"/>
    <w:rsid w:val="004504A6"/>
    <w:rsid w:val="00460D23"/>
    <w:rsid w:val="004645DD"/>
    <w:rsid w:val="0046710A"/>
    <w:rsid w:val="0047759D"/>
    <w:rsid w:val="00487893"/>
    <w:rsid w:val="0049612D"/>
    <w:rsid w:val="004964B8"/>
    <w:rsid w:val="004A04A6"/>
    <w:rsid w:val="004A21EE"/>
    <w:rsid w:val="004A36EE"/>
    <w:rsid w:val="004A5D8D"/>
    <w:rsid w:val="004A7499"/>
    <w:rsid w:val="004B1314"/>
    <w:rsid w:val="004B16C7"/>
    <w:rsid w:val="004B5410"/>
    <w:rsid w:val="004B722C"/>
    <w:rsid w:val="004C1B79"/>
    <w:rsid w:val="004C27B4"/>
    <w:rsid w:val="004C3F11"/>
    <w:rsid w:val="004C6A2C"/>
    <w:rsid w:val="004D275F"/>
    <w:rsid w:val="004D474D"/>
    <w:rsid w:val="004D6276"/>
    <w:rsid w:val="004D656E"/>
    <w:rsid w:val="004E6443"/>
    <w:rsid w:val="004E7743"/>
    <w:rsid w:val="00504669"/>
    <w:rsid w:val="005058E0"/>
    <w:rsid w:val="00511EAC"/>
    <w:rsid w:val="005121DC"/>
    <w:rsid w:val="00513113"/>
    <w:rsid w:val="005135CF"/>
    <w:rsid w:val="00515869"/>
    <w:rsid w:val="005160BC"/>
    <w:rsid w:val="005214BA"/>
    <w:rsid w:val="00522E6D"/>
    <w:rsid w:val="00524A24"/>
    <w:rsid w:val="005251C4"/>
    <w:rsid w:val="00525C9E"/>
    <w:rsid w:val="00526E12"/>
    <w:rsid w:val="00532578"/>
    <w:rsid w:val="00533411"/>
    <w:rsid w:val="00533DAB"/>
    <w:rsid w:val="00540BD6"/>
    <w:rsid w:val="005427EA"/>
    <w:rsid w:val="00545562"/>
    <w:rsid w:val="0054563F"/>
    <w:rsid w:val="005469E1"/>
    <w:rsid w:val="0055087F"/>
    <w:rsid w:val="00552E08"/>
    <w:rsid w:val="00556AA9"/>
    <w:rsid w:val="00557DA1"/>
    <w:rsid w:val="005635F7"/>
    <w:rsid w:val="00563A41"/>
    <w:rsid w:val="0056579C"/>
    <w:rsid w:val="00567706"/>
    <w:rsid w:val="00572298"/>
    <w:rsid w:val="005734C2"/>
    <w:rsid w:val="00574AA1"/>
    <w:rsid w:val="00574BF2"/>
    <w:rsid w:val="0057633B"/>
    <w:rsid w:val="00577545"/>
    <w:rsid w:val="00585859"/>
    <w:rsid w:val="00590EDF"/>
    <w:rsid w:val="0059185A"/>
    <w:rsid w:val="005933CB"/>
    <w:rsid w:val="00593E2F"/>
    <w:rsid w:val="00595A74"/>
    <w:rsid w:val="005A002C"/>
    <w:rsid w:val="005A1D01"/>
    <w:rsid w:val="005A5601"/>
    <w:rsid w:val="005A62A9"/>
    <w:rsid w:val="005A7964"/>
    <w:rsid w:val="005B01FC"/>
    <w:rsid w:val="005B064E"/>
    <w:rsid w:val="005B0750"/>
    <w:rsid w:val="005B499C"/>
    <w:rsid w:val="005B7528"/>
    <w:rsid w:val="005C0440"/>
    <w:rsid w:val="005C35B5"/>
    <w:rsid w:val="005D38B6"/>
    <w:rsid w:val="005D7642"/>
    <w:rsid w:val="005E0A46"/>
    <w:rsid w:val="005E201C"/>
    <w:rsid w:val="005E3D0D"/>
    <w:rsid w:val="005E413A"/>
    <w:rsid w:val="005E7DCF"/>
    <w:rsid w:val="005F02E0"/>
    <w:rsid w:val="005F6AA6"/>
    <w:rsid w:val="005F6E5C"/>
    <w:rsid w:val="00602F9D"/>
    <w:rsid w:val="0060593E"/>
    <w:rsid w:val="00611EE5"/>
    <w:rsid w:val="006143B5"/>
    <w:rsid w:val="00616833"/>
    <w:rsid w:val="00616B8D"/>
    <w:rsid w:val="006261A6"/>
    <w:rsid w:val="0062751F"/>
    <w:rsid w:val="00632AFD"/>
    <w:rsid w:val="0063491E"/>
    <w:rsid w:val="00634A27"/>
    <w:rsid w:val="00634BC5"/>
    <w:rsid w:val="00635AF8"/>
    <w:rsid w:val="006409EF"/>
    <w:rsid w:val="006457F1"/>
    <w:rsid w:val="006459C6"/>
    <w:rsid w:val="00646363"/>
    <w:rsid w:val="00647668"/>
    <w:rsid w:val="00655212"/>
    <w:rsid w:val="00657EE4"/>
    <w:rsid w:val="006816AA"/>
    <w:rsid w:val="00682A27"/>
    <w:rsid w:val="00684FCA"/>
    <w:rsid w:val="0069689E"/>
    <w:rsid w:val="006A1698"/>
    <w:rsid w:val="006A1D06"/>
    <w:rsid w:val="006A3F10"/>
    <w:rsid w:val="006A71EB"/>
    <w:rsid w:val="006B12A2"/>
    <w:rsid w:val="006B34CB"/>
    <w:rsid w:val="006B452C"/>
    <w:rsid w:val="006B590B"/>
    <w:rsid w:val="006C44B7"/>
    <w:rsid w:val="006C59D5"/>
    <w:rsid w:val="006D56AC"/>
    <w:rsid w:val="006D58BE"/>
    <w:rsid w:val="006E09D5"/>
    <w:rsid w:val="006E12EC"/>
    <w:rsid w:val="006E1418"/>
    <w:rsid w:val="006E3D95"/>
    <w:rsid w:val="006F3683"/>
    <w:rsid w:val="00700738"/>
    <w:rsid w:val="007042EA"/>
    <w:rsid w:val="007043B9"/>
    <w:rsid w:val="00705549"/>
    <w:rsid w:val="0071210D"/>
    <w:rsid w:val="00716BC5"/>
    <w:rsid w:val="007170D3"/>
    <w:rsid w:val="007170E5"/>
    <w:rsid w:val="00723115"/>
    <w:rsid w:val="00723A18"/>
    <w:rsid w:val="00724550"/>
    <w:rsid w:val="00726A54"/>
    <w:rsid w:val="00730859"/>
    <w:rsid w:val="00731830"/>
    <w:rsid w:val="00736A19"/>
    <w:rsid w:val="00743C8D"/>
    <w:rsid w:val="00745258"/>
    <w:rsid w:val="00763C4A"/>
    <w:rsid w:val="00767AED"/>
    <w:rsid w:val="0077374B"/>
    <w:rsid w:val="007746A3"/>
    <w:rsid w:val="007766E6"/>
    <w:rsid w:val="00781ACA"/>
    <w:rsid w:val="00784329"/>
    <w:rsid w:val="00785F8F"/>
    <w:rsid w:val="00787B44"/>
    <w:rsid w:val="00790CD9"/>
    <w:rsid w:val="00791F20"/>
    <w:rsid w:val="00795A5A"/>
    <w:rsid w:val="00796EC3"/>
    <w:rsid w:val="007A0441"/>
    <w:rsid w:val="007A7058"/>
    <w:rsid w:val="007B098D"/>
    <w:rsid w:val="007B1DE5"/>
    <w:rsid w:val="007B5785"/>
    <w:rsid w:val="007B5CF3"/>
    <w:rsid w:val="007B67AE"/>
    <w:rsid w:val="007B6EBF"/>
    <w:rsid w:val="007C4E4D"/>
    <w:rsid w:val="007C62D1"/>
    <w:rsid w:val="007C706F"/>
    <w:rsid w:val="007C7320"/>
    <w:rsid w:val="007D01FF"/>
    <w:rsid w:val="007E0E39"/>
    <w:rsid w:val="007E2B60"/>
    <w:rsid w:val="007E5E30"/>
    <w:rsid w:val="007F0E54"/>
    <w:rsid w:val="007F5107"/>
    <w:rsid w:val="00803EC5"/>
    <w:rsid w:val="008040BA"/>
    <w:rsid w:val="008042D6"/>
    <w:rsid w:val="00806380"/>
    <w:rsid w:val="008201F7"/>
    <w:rsid w:val="00821CE2"/>
    <w:rsid w:val="008224C7"/>
    <w:rsid w:val="0082770D"/>
    <w:rsid w:val="00830FF8"/>
    <w:rsid w:val="00833A04"/>
    <w:rsid w:val="00833B8D"/>
    <w:rsid w:val="008375B5"/>
    <w:rsid w:val="00842DFF"/>
    <w:rsid w:val="0084324F"/>
    <w:rsid w:val="00843750"/>
    <w:rsid w:val="00844407"/>
    <w:rsid w:val="00853B24"/>
    <w:rsid w:val="00853E2A"/>
    <w:rsid w:val="008541E9"/>
    <w:rsid w:val="00856EEB"/>
    <w:rsid w:val="00873020"/>
    <w:rsid w:val="008739EB"/>
    <w:rsid w:val="008776BB"/>
    <w:rsid w:val="00880540"/>
    <w:rsid w:val="0088396E"/>
    <w:rsid w:val="00884EB1"/>
    <w:rsid w:val="008862E4"/>
    <w:rsid w:val="00897DC3"/>
    <w:rsid w:val="008A1A7A"/>
    <w:rsid w:val="008A2330"/>
    <w:rsid w:val="008A45EE"/>
    <w:rsid w:val="008B0632"/>
    <w:rsid w:val="008B08A3"/>
    <w:rsid w:val="008B4F64"/>
    <w:rsid w:val="008B53C0"/>
    <w:rsid w:val="008B5F7F"/>
    <w:rsid w:val="008B64B1"/>
    <w:rsid w:val="008B6A49"/>
    <w:rsid w:val="008B709D"/>
    <w:rsid w:val="008C11F5"/>
    <w:rsid w:val="008C2A03"/>
    <w:rsid w:val="008C3A6F"/>
    <w:rsid w:val="008C6372"/>
    <w:rsid w:val="008D0CE3"/>
    <w:rsid w:val="008E1E55"/>
    <w:rsid w:val="008E7A0A"/>
    <w:rsid w:val="008F12FD"/>
    <w:rsid w:val="008F13EA"/>
    <w:rsid w:val="008F24E6"/>
    <w:rsid w:val="00904F3C"/>
    <w:rsid w:val="0090623F"/>
    <w:rsid w:val="00906702"/>
    <w:rsid w:val="00907279"/>
    <w:rsid w:val="00907EDB"/>
    <w:rsid w:val="009110C5"/>
    <w:rsid w:val="00912FB5"/>
    <w:rsid w:val="00913A54"/>
    <w:rsid w:val="00915944"/>
    <w:rsid w:val="00915A9F"/>
    <w:rsid w:val="00922460"/>
    <w:rsid w:val="009228D9"/>
    <w:rsid w:val="00930B74"/>
    <w:rsid w:val="009312DC"/>
    <w:rsid w:val="009327BF"/>
    <w:rsid w:val="00934047"/>
    <w:rsid w:val="0093512D"/>
    <w:rsid w:val="00935F33"/>
    <w:rsid w:val="009403E4"/>
    <w:rsid w:val="0094745A"/>
    <w:rsid w:val="00952B5F"/>
    <w:rsid w:val="00953546"/>
    <w:rsid w:val="009541F6"/>
    <w:rsid w:val="0095649D"/>
    <w:rsid w:val="009565AD"/>
    <w:rsid w:val="00960332"/>
    <w:rsid w:val="00961B26"/>
    <w:rsid w:val="00963BDB"/>
    <w:rsid w:val="00963D30"/>
    <w:rsid w:val="0097006F"/>
    <w:rsid w:val="00970DDD"/>
    <w:rsid w:val="009751D6"/>
    <w:rsid w:val="00984EE4"/>
    <w:rsid w:val="00990168"/>
    <w:rsid w:val="0099354F"/>
    <w:rsid w:val="00996CBB"/>
    <w:rsid w:val="0099771B"/>
    <w:rsid w:val="009A1BAE"/>
    <w:rsid w:val="009A5318"/>
    <w:rsid w:val="009B16EA"/>
    <w:rsid w:val="009B3444"/>
    <w:rsid w:val="009B5DCD"/>
    <w:rsid w:val="009B5EE6"/>
    <w:rsid w:val="009B7193"/>
    <w:rsid w:val="009C02FB"/>
    <w:rsid w:val="009C0F43"/>
    <w:rsid w:val="009C20B9"/>
    <w:rsid w:val="009C382E"/>
    <w:rsid w:val="009C490E"/>
    <w:rsid w:val="009C495F"/>
    <w:rsid w:val="009C5C25"/>
    <w:rsid w:val="009C6A25"/>
    <w:rsid w:val="009D28B9"/>
    <w:rsid w:val="009D6E3D"/>
    <w:rsid w:val="009E5E58"/>
    <w:rsid w:val="009F0808"/>
    <w:rsid w:val="00A0688A"/>
    <w:rsid w:val="00A070E6"/>
    <w:rsid w:val="00A1426A"/>
    <w:rsid w:val="00A14F1D"/>
    <w:rsid w:val="00A152DC"/>
    <w:rsid w:val="00A1703F"/>
    <w:rsid w:val="00A2180A"/>
    <w:rsid w:val="00A22293"/>
    <w:rsid w:val="00A26973"/>
    <w:rsid w:val="00A312E7"/>
    <w:rsid w:val="00A321B7"/>
    <w:rsid w:val="00A3401C"/>
    <w:rsid w:val="00A344D5"/>
    <w:rsid w:val="00A37E33"/>
    <w:rsid w:val="00A452CF"/>
    <w:rsid w:val="00A46574"/>
    <w:rsid w:val="00A471A3"/>
    <w:rsid w:val="00A47B1B"/>
    <w:rsid w:val="00A5253A"/>
    <w:rsid w:val="00A63339"/>
    <w:rsid w:val="00A814A8"/>
    <w:rsid w:val="00A90F41"/>
    <w:rsid w:val="00A910E7"/>
    <w:rsid w:val="00A93B3B"/>
    <w:rsid w:val="00A951DD"/>
    <w:rsid w:val="00A95CBB"/>
    <w:rsid w:val="00A9600A"/>
    <w:rsid w:val="00A96C80"/>
    <w:rsid w:val="00AA0ABF"/>
    <w:rsid w:val="00AA27C2"/>
    <w:rsid w:val="00AA446C"/>
    <w:rsid w:val="00AB2CCF"/>
    <w:rsid w:val="00AB49FD"/>
    <w:rsid w:val="00AB69B0"/>
    <w:rsid w:val="00AC271B"/>
    <w:rsid w:val="00AD12DB"/>
    <w:rsid w:val="00AD6322"/>
    <w:rsid w:val="00AD6752"/>
    <w:rsid w:val="00AD7633"/>
    <w:rsid w:val="00AD78B1"/>
    <w:rsid w:val="00AF0B91"/>
    <w:rsid w:val="00AF1A65"/>
    <w:rsid w:val="00AF3B70"/>
    <w:rsid w:val="00B03D42"/>
    <w:rsid w:val="00B11766"/>
    <w:rsid w:val="00B17439"/>
    <w:rsid w:val="00B17940"/>
    <w:rsid w:val="00B17A11"/>
    <w:rsid w:val="00B217F6"/>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86A16"/>
    <w:rsid w:val="00BA6AD7"/>
    <w:rsid w:val="00BB052D"/>
    <w:rsid w:val="00BB1F92"/>
    <w:rsid w:val="00BB2E06"/>
    <w:rsid w:val="00BB46C6"/>
    <w:rsid w:val="00BB5B7F"/>
    <w:rsid w:val="00BB5C4E"/>
    <w:rsid w:val="00BB7E8A"/>
    <w:rsid w:val="00BC1DDE"/>
    <w:rsid w:val="00BC20A0"/>
    <w:rsid w:val="00BC27F5"/>
    <w:rsid w:val="00BC5F6D"/>
    <w:rsid w:val="00BC75AA"/>
    <w:rsid w:val="00BD0770"/>
    <w:rsid w:val="00BD2F16"/>
    <w:rsid w:val="00BD3DA8"/>
    <w:rsid w:val="00BE1C7B"/>
    <w:rsid w:val="00BE2488"/>
    <w:rsid w:val="00BE2D25"/>
    <w:rsid w:val="00BE448A"/>
    <w:rsid w:val="00BE531D"/>
    <w:rsid w:val="00BE7378"/>
    <w:rsid w:val="00BF2725"/>
    <w:rsid w:val="00BF3D60"/>
    <w:rsid w:val="00BF5FCB"/>
    <w:rsid w:val="00BF72EA"/>
    <w:rsid w:val="00C00290"/>
    <w:rsid w:val="00C05FFF"/>
    <w:rsid w:val="00C10BAE"/>
    <w:rsid w:val="00C15F35"/>
    <w:rsid w:val="00C16B93"/>
    <w:rsid w:val="00C2210E"/>
    <w:rsid w:val="00C2524E"/>
    <w:rsid w:val="00C32802"/>
    <w:rsid w:val="00C35DFA"/>
    <w:rsid w:val="00C36272"/>
    <w:rsid w:val="00C40B0B"/>
    <w:rsid w:val="00C41B6F"/>
    <w:rsid w:val="00C42BBF"/>
    <w:rsid w:val="00C44979"/>
    <w:rsid w:val="00C45525"/>
    <w:rsid w:val="00C45A45"/>
    <w:rsid w:val="00C47EFE"/>
    <w:rsid w:val="00C50728"/>
    <w:rsid w:val="00C56B0F"/>
    <w:rsid w:val="00C57690"/>
    <w:rsid w:val="00C57E6A"/>
    <w:rsid w:val="00C60105"/>
    <w:rsid w:val="00C623BF"/>
    <w:rsid w:val="00C62B8D"/>
    <w:rsid w:val="00C6396F"/>
    <w:rsid w:val="00C640D1"/>
    <w:rsid w:val="00C64551"/>
    <w:rsid w:val="00C65540"/>
    <w:rsid w:val="00C7011D"/>
    <w:rsid w:val="00C70D59"/>
    <w:rsid w:val="00C7432F"/>
    <w:rsid w:val="00C76D71"/>
    <w:rsid w:val="00C77473"/>
    <w:rsid w:val="00C856F4"/>
    <w:rsid w:val="00C91210"/>
    <w:rsid w:val="00C94257"/>
    <w:rsid w:val="00C96443"/>
    <w:rsid w:val="00CA2CF3"/>
    <w:rsid w:val="00CA6AF3"/>
    <w:rsid w:val="00CB519E"/>
    <w:rsid w:val="00CC2E58"/>
    <w:rsid w:val="00CC3D89"/>
    <w:rsid w:val="00CC5B37"/>
    <w:rsid w:val="00CD2ED3"/>
    <w:rsid w:val="00CD3C62"/>
    <w:rsid w:val="00CE4211"/>
    <w:rsid w:val="00CF021B"/>
    <w:rsid w:val="00CF066B"/>
    <w:rsid w:val="00CF07BE"/>
    <w:rsid w:val="00CF40E0"/>
    <w:rsid w:val="00CF4412"/>
    <w:rsid w:val="00CF5B33"/>
    <w:rsid w:val="00D01748"/>
    <w:rsid w:val="00D028FF"/>
    <w:rsid w:val="00D03ECD"/>
    <w:rsid w:val="00D05963"/>
    <w:rsid w:val="00D07231"/>
    <w:rsid w:val="00D107E0"/>
    <w:rsid w:val="00D11640"/>
    <w:rsid w:val="00D1470E"/>
    <w:rsid w:val="00D20AA4"/>
    <w:rsid w:val="00D25A7B"/>
    <w:rsid w:val="00D272E1"/>
    <w:rsid w:val="00D32157"/>
    <w:rsid w:val="00D35B2E"/>
    <w:rsid w:val="00D40F84"/>
    <w:rsid w:val="00D434AF"/>
    <w:rsid w:val="00D44FA6"/>
    <w:rsid w:val="00D554C9"/>
    <w:rsid w:val="00D60D62"/>
    <w:rsid w:val="00D61BB7"/>
    <w:rsid w:val="00D62DA9"/>
    <w:rsid w:val="00D70D97"/>
    <w:rsid w:val="00D7165D"/>
    <w:rsid w:val="00D75705"/>
    <w:rsid w:val="00D871D2"/>
    <w:rsid w:val="00D95E7E"/>
    <w:rsid w:val="00D961D6"/>
    <w:rsid w:val="00D97B17"/>
    <w:rsid w:val="00DA1A4A"/>
    <w:rsid w:val="00DA4AFE"/>
    <w:rsid w:val="00DA4BD0"/>
    <w:rsid w:val="00DA7B41"/>
    <w:rsid w:val="00DB03CC"/>
    <w:rsid w:val="00DB058E"/>
    <w:rsid w:val="00DB326E"/>
    <w:rsid w:val="00DC1E7E"/>
    <w:rsid w:val="00DC31D2"/>
    <w:rsid w:val="00DC7A5F"/>
    <w:rsid w:val="00DD0CE6"/>
    <w:rsid w:val="00DD6A66"/>
    <w:rsid w:val="00DE0D15"/>
    <w:rsid w:val="00DE4412"/>
    <w:rsid w:val="00DF1CF0"/>
    <w:rsid w:val="00DF6656"/>
    <w:rsid w:val="00DF7388"/>
    <w:rsid w:val="00E02FA4"/>
    <w:rsid w:val="00E04C73"/>
    <w:rsid w:val="00E079A3"/>
    <w:rsid w:val="00E11718"/>
    <w:rsid w:val="00E12674"/>
    <w:rsid w:val="00E132AC"/>
    <w:rsid w:val="00E15401"/>
    <w:rsid w:val="00E15CCC"/>
    <w:rsid w:val="00E15D7D"/>
    <w:rsid w:val="00E17234"/>
    <w:rsid w:val="00E23ABA"/>
    <w:rsid w:val="00E261F5"/>
    <w:rsid w:val="00E33D50"/>
    <w:rsid w:val="00E34A5B"/>
    <w:rsid w:val="00E3623B"/>
    <w:rsid w:val="00E41203"/>
    <w:rsid w:val="00E455D9"/>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7616E"/>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D3E61"/>
    <w:rsid w:val="00EE3586"/>
    <w:rsid w:val="00EE63A7"/>
    <w:rsid w:val="00EE7479"/>
    <w:rsid w:val="00EE7954"/>
    <w:rsid w:val="00EF1FBD"/>
    <w:rsid w:val="00EF29BE"/>
    <w:rsid w:val="00EF7FD0"/>
    <w:rsid w:val="00F07943"/>
    <w:rsid w:val="00F07DDF"/>
    <w:rsid w:val="00F11204"/>
    <w:rsid w:val="00F16256"/>
    <w:rsid w:val="00F209ED"/>
    <w:rsid w:val="00F231E8"/>
    <w:rsid w:val="00F26EA8"/>
    <w:rsid w:val="00F30632"/>
    <w:rsid w:val="00F31B97"/>
    <w:rsid w:val="00F329D8"/>
    <w:rsid w:val="00F32BCD"/>
    <w:rsid w:val="00F33544"/>
    <w:rsid w:val="00F35ACF"/>
    <w:rsid w:val="00F36445"/>
    <w:rsid w:val="00F402F3"/>
    <w:rsid w:val="00F40CAB"/>
    <w:rsid w:val="00F414C3"/>
    <w:rsid w:val="00F4214C"/>
    <w:rsid w:val="00F4421D"/>
    <w:rsid w:val="00F51C87"/>
    <w:rsid w:val="00F5214D"/>
    <w:rsid w:val="00F540FE"/>
    <w:rsid w:val="00F55457"/>
    <w:rsid w:val="00F6077B"/>
    <w:rsid w:val="00F60D85"/>
    <w:rsid w:val="00F624BD"/>
    <w:rsid w:val="00F62A5E"/>
    <w:rsid w:val="00F631B9"/>
    <w:rsid w:val="00F634A6"/>
    <w:rsid w:val="00F6634F"/>
    <w:rsid w:val="00F72CD1"/>
    <w:rsid w:val="00F74A39"/>
    <w:rsid w:val="00F8138E"/>
    <w:rsid w:val="00F85203"/>
    <w:rsid w:val="00F87D5A"/>
    <w:rsid w:val="00F87EF6"/>
    <w:rsid w:val="00F906DA"/>
    <w:rsid w:val="00F92676"/>
    <w:rsid w:val="00F94262"/>
    <w:rsid w:val="00F947D0"/>
    <w:rsid w:val="00F9616B"/>
    <w:rsid w:val="00F979A8"/>
    <w:rsid w:val="00FA1B93"/>
    <w:rsid w:val="00FA5551"/>
    <w:rsid w:val="00FA6D66"/>
    <w:rsid w:val="00FA7C7A"/>
    <w:rsid w:val="00FC1C00"/>
    <w:rsid w:val="00FD213B"/>
    <w:rsid w:val="00FD3CE8"/>
    <w:rsid w:val="00FD5B91"/>
    <w:rsid w:val="00FD7004"/>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Bullet" w:uiPriority="0"/>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SingleTxt"/>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right="1267"/>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E41203"/>
    <w:rPr>
      <w:sz w:val="16"/>
      <w:szCs w:val="16"/>
    </w:rPr>
  </w:style>
  <w:style w:type="paragraph" w:styleId="CommentText">
    <w:name w:val="annotation text"/>
    <w:basedOn w:val="Normal"/>
    <w:link w:val="CommentTextChar"/>
    <w:uiPriority w:val="99"/>
    <w:semiHidden/>
    <w:unhideWhenUsed/>
    <w:rsid w:val="00E41203"/>
    <w:pPr>
      <w:spacing w:line="240" w:lineRule="auto"/>
    </w:pPr>
    <w:rPr>
      <w:szCs w:val="20"/>
    </w:rPr>
  </w:style>
  <w:style w:type="character" w:customStyle="1" w:styleId="CommentTextChar">
    <w:name w:val="Comment Text Char"/>
    <w:basedOn w:val="DefaultParagraphFont"/>
    <w:link w:val="CommentText"/>
    <w:uiPriority w:val="99"/>
    <w:semiHidden/>
    <w:rsid w:val="00E41203"/>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E41203"/>
    <w:rPr>
      <w:b/>
      <w:bCs/>
    </w:rPr>
  </w:style>
  <w:style w:type="character" w:customStyle="1" w:styleId="CommentSubjectChar">
    <w:name w:val="Comment Subject Char"/>
    <w:basedOn w:val="CommentTextChar"/>
    <w:link w:val="CommentSubject"/>
    <w:uiPriority w:val="99"/>
    <w:semiHidden/>
    <w:rsid w:val="00E41203"/>
    <w:rPr>
      <w:rFonts w:ascii="Times New Roman" w:hAnsi="Times New Roman" w:cs="Times New Roman"/>
      <w:b/>
      <w:bCs/>
      <w:spacing w:val="4"/>
      <w:w w:val="103"/>
      <w:kern w:val="14"/>
      <w:sz w:val="20"/>
      <w:szCs w:val="20"/>
      <w:lang w:val="ru-RU"/>
    </w:rPr>
  </w:style>
  <w:style w:type="character" w:styleId="Hyperlink">
    <w:name w:val="Hyperlink"/>
    <w:basedOn w:val="DefaultParagraphFont"/>
    <w:uiPriority w:val="99"/>
    <w:unhideWhenUsed/>
    <w:rsid w:val="005E201C"/>
    <w:rPr>
      <w:color w:val="0000FF" w:themeColor="hyperlink"/>
      <w:u w:val="single"/>
    </w:rPr>
  </w:style>
  <w:style w:type="paragraph" w:styleId="ListBullet">
    <w:name w:val="List Bullet"/>
    <w:basedOn w:val="Normal"/>
    <w:semiHidden/>
    <w:rsid w:val="00343E61"/>
    <w:pPr>
      <w:numPr>
        <w:numId w:val="11"/>
      </w:numPr>
      <w:suppressAutoHyphens/>
      <w:spacing w:line="240" w:lineRule="atLeast"/>
    </w:pPr>
    <w:rPr>
      <w:rFonts w:eastAsia="Times New Roman"/>
      <w:spacing w:val="0"/>
      <w:w w:val="100"/>
      <w:kern w:val="0"/>
      <w:szCs w:val="20"/>
      <w:lang w:val="en-GB"/>
    </w:rPr>
  </w:style>
  <w:style w:type="character" w:styleId="FollowedHyperlink">
    <w:name w:val="FollowedHyperlink"/>
    <w:basedOn w:val="DefaultParagraphFont"/>
    <w:uiPriority w:val="99"/>
    <w:semiHidden/>
    <w:unhideWhenUsed/>
    <w:rsid w:val="008A2330"/>
    <w:rPr>
      <w:color w:val="800080" w:themeColor="followedHyperlink"/>
      <w:u w:val="single"/>
    </w:rPr>
  </w:style>
  <w:style w:type="paragraph" w:styleId="BalloonText">
    <w:name w:val="Balloon Text"/>
    <w:basedOn w:val="Normal"/>
    <w:link w:val="BalloonTextChar"/>
    <w:uiPriority w:val="99"/>
    <w:semiHidden/>
    <w:unhideWhenUsed/>
    <w:rsid w:val="00F540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0FE"/>
    <w:rPr>
      <w:rFonts w:ascii="Tahoma" w:hAnsi="Tahoma" w:cs="Tahoma"/>
      <w:spacing w:val="4"/>
      <w:w w:val="103"/>
      <w:kern w:val="14"/>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Bullet" w:uiPriority="0"/>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SingleTxt"/>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right="1267"/>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E41203"/>
    <w:rPr>
      <w:sz w:val="16"/>
      <w:szCs w:val="16"/>
    </w:rPr>
  </w:style>
  <w:style w:type="paragraph" w:styleId="CommentText">
    <w:name w:val="annotation text"/>
    <w:basedOn w:val="Normal"/>
    <w:link w:val="CommentTextChar"/>
    <w:uiPriority w:val="99"/>
    <w:semiHidden/>
    <w:unhideWhenUsed/>
    <w:rsid w:val="00E41203"/>
    <w:pPr>
      <w:spacing w:line="240" w:lineRule="auto"/>
    </w:pPr>
    <w:rPr>
      <w:szCs w:val="20"/>
    </w:rPr>
  </w:style>
  <w:style w:type="character" w:customStyle="1" w:styleId="CommentTextChar">
    <w:name w:val="Comment Text Char"/>
    <w:basedOn w:val="DefaultParagraphFont"/>
    <w:link w:val="CommentText"/>
    <w:uiPriority w:val="99"/>
    <w:semiHidden/>
    <w:rsid w:val="00E41203"/>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E41203"/>
    <w:rPr>
      <w:b/>
      <w:bCs/>
    </w:rPr>
  </w:style>
  <w:style w:type="character" w:customStyle="1" w:styleId="CommentSubjectChar">
    <w:name w:val="Comment Subject Char"/>
    <w:basedOn w:val="CommentTextChar"/>
    <w:link w:val="CommentSubject"/>
    <w:uiPriority w:val="99"/>
    <w:semiHidden/>
    <w:rsid w:val="00E41203"/>
    <w:rPr>
      <w:rFonts w:ascii="Times New Roman" w:hAnsi="Times New Roman" w:cs="Times New Roman"/>
      <w:b/>
      <w:bCs/>
      <w:spacing w:val="4"/>
      <w:w w:val="103"/>
      <w:kern w:val="14"/>
      <w:sz w:val="20"/>
      <w:szCs w:val="20"/>
      <w:lang w:val="ru-RU"/>
    </w:rPr>
  </w:style>
  <w:style w:type="character" w:styleId="Hyperlink">
    <w:name w:val="Hyperlink"/>
    <w:basedOn w:val="DefaultParagraphFont"/>
    <w:uiPriority w:val="99"/>
    <w:unhideWhenUsed/>
    <w:rsid w:val="005E201C"/>
    <w:rPr>
      <w:color w:val="0000FF" w:themeColor="hyperlink"/>
      <w:u w:val="single"/>
    </w:rPr>
  </w:style>
  <w:style w:type="paragraph" w:styleId="ListBullet">
    <w:name w:val="List Bullet"/>
    <w:basedOn w:val="Normal"/>
    <w:semiHidden/>
    <w:rsid w:val="00343E61"/>
    <w:pPr>
      <w:numPr>
        <w:numId w:val="11"/>
      </w:numPr>
      <w:suppressAutoHyphens/>
      <w:spacing w:line="240" w:lineRule="atLeast"/>
    </w:pPr>
    <w:rPr>
      <w:rFonts w:eastAsia="Times New Roman"/>
      <w:spacing w:val="0"/>
      <w:w w:val="100"/>
      <w:kern w:val="0"/>
      <w:szCs w:val="20"/>
      <w:lang w:val="en-GB"/>
    </w:rPr>
  </w:style>
  <w:style w:type="character" w:styleId="FollowedHyperlink">
    <w:name w:val="FollowedHyperlink"/>
    <w:basedOn w:val="DefaultParagraphFont"/>
    <w:uiPriority w:val="99"/>
    <w:semiHidden/>
    <w:unhideWhenUsed/>
    <w:rsid w:val="008A2330"/>
    <w:rPr>
      <w:color w:val="800080" w:themeColor="followedHyperlink"/>
      <w:u w:val="single"/>
    </w:rPr>
  </w:style>
  <w:style w:type="paragraph" w:styleId="BalloonText">
    <w:name w:val="Balloon Text"/>
    <w:basedOn w:val="Normal"/>
    <w:link w:val="BalloonTextChar"/>
    <w:uiPriority w:val="99"/>
    <w:semiHidden/>
    <w:unhideWhenUsed/>
    <w:rsid w:val="00F540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0FE"/>
    <w:rPr>
      <w:rFonts w:ascii="Tahoma" w:hAnsi="Tahoma" w:cs="Tahoma"/>
      <w:spacing w:val="4"/>
      <w:w w:val="103"/>
      <w:kern w:val="14"/>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5766">
      <w:bodyDiv w:val="1"/>
      <w:marLeft w:val="0"/>
      <w:marRight w:val="0"/>
      <w:marTop w:val="0"/>
      <w:marBottom w:val="0"/>
      <w:divBdr>
        <w:top w:val="none" w:sz="0" w:space="0" w:color="auto"/>
        <w:left w:val="none" w:sz="0" w:space="0" w:color="auto"/>
        <w:bottom w:val="none" w:sz="0" w:space="0" w:color="auto"/>
        <w:right w:val="none" w:sz="0" w:space="0" w:color="auto"/>
      </w:divBdr>
    </w:div>
    <w:div w:id="1681348039">
      <w:bodyDiv w:val="1"/>
      <w:marLeft w:val="0"/>
      <w:marRight w:val="0"/>
      <w:marTop w:val="0"/>
      <w:marBottom w:val="0"/>
      <w:divBdr>
        <w:top w:val="none" w:sz="0" w:space="0" w:color="auto"/>
        <w:left w:val="none" w:sz="0" w:space="0" w:color="auto"/>
        <w:bottom w:val="none" w:sz="0" w:space="0" w:color="auto"/>
        <w:right w:val="none" w:sz="0" w:space="0" w:color="auto"/>
      </w:divBdr>
    </w:div>
    <w:div w:id="1953319956">
      <w:bodyDiv w:val="1"/>
      <w:marLeft w:val="0"/>
      <w:marRight w:val="0"/>
      <w:marTop w:val="0"/>
      <w:marBottom w:val="0"/>
      <w:divBdr>
        <w:top w:val="none" w:sz="0" w:space="0" w:color="auto"/>
        <w:left w:val="none" w:sz="0" w:space="0" w:color="auto"/>
        <w:bottom w:val="none" w:sz="0" w:space="0" w:color="auto"/>
        <w:right w:val="none" w:sz="0" w:space="0" w:color="auto"/>
      </w:divBdr>
    </w:div>
    <w:div w:id="206316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file:///\\conf-share1\LS\RUS\COMMON\MSWDocs\_2Semifinal\www2.unece.org\wiki\pages\viewpage.%20action;jsessionid=297496B41ABC4621DBFE021E7C8C569D%3f%20pageId=2526514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unece.org/trans/main/sc3/bluebook_database.html" TargetMode="External"/><Relationship Id="rId2" Type="http://schemas.openxmlformats.org/officeDocument/2006/relationships/numbering" Target="numbering.xml"/><Relationship Id="rId16" Type="http://schemas.openxmlformats.org/officeDocument/2006/relationships/hyperlink" Target="http://www.unece.org/fileadmin/DAM/trans/doc/2015/sc3wp3/ECE-TRANS-SC3-144-Rev2-Add2e.pdf" TargetMode="External"/><Relationship Id="rId20" Type="http://schemas.openxmlformats.org/officeDocument/2006/relationships/hyperlink" Target="file:///\\conf-share1\LS\RUS\COMMON\MSWDocs\_2Semifinal\www.unece.org\trans\danger\publi\ghs\implementation_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nece.org/fileadmin/DAM/trans/doc/2014/sc3wp3/ECE-TRANS-120r3efr.pdf" TargetMode="External"/><Relationship Id="rId10" Type="http://schemas.openxmlformats.org/officeDocument/2006/relationships/header" Target="header2.xml"/><Relationship Id="rId19" Type="http://schemas.openxmlformats.org/officeDocument/2006/relationships/hyperlink" Target="http://www.unece.org/fileadmin/DAM/trans/doc/finaldocs/sc3/ECE-TRANS-SC3-115-Rev.5e_WEB.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danger/publi/adr/adr_linguistic_e.html" TargetMode="External"/><Relationship Id="rId2" Type="http://schemas.openxmlformats.org/officeDocument/2006/relationships/hyperlink" Target="http://www.unece.org/trans/danger/publi/adr/adr_certificates.html" TargetMode="External"/><Relationship Id="rId1" Type="http://schemas.openxmlformats.org/officeDocument/2006/relationships/hyperlink" Target="http://www.unece.org/trans/danger/publi/adr/country-info_e.html" TargetMode="External"/><Relationship Id="rId5" Type="http://schemas.openxmlformats.org/officeDocument/2006/relationships/hyperlink" Target="http://www.unece.org/trans/danger/publi/adr/accidents.html" TargetMode="External"/><Relationship Id="rId4" Type="http://schemas.openxmlformats.org/officeDocument/2006/relationships/hyperlink" Target="http://www.unece.org/trans/danger/multi/multi.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3B3FF-93BD-4079-911B-8E4C9A24C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16460</Words>
  <Characters>93826</Characters>
  <Application>Microsoft Office Word</Application>
  <DocSecurity>4</DocSecurity>
  <Lines>781</Lines>
  <Paragraphs>220</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110066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Marina Korotkova</dc:creator>
  <cp:lastModifiedBy>Anastasia Barinova</cp:lastModifiedBy>
  <cp:revision>2</cp:revision>
  <cp:lastPrinted>2016-01-21T12:25:00Z</cp:lastPrinted>
  <dcterms:created xsi:type="dcterms:W3CDTF">2016-02-03T13:31:00Z</dcterms:created>
  <dcterms:modified xsi:type="dcterms:W3CDTF">2016-02-03T13:31:00Z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1522146R</vt:lpwstr>
  </property>
  <property fmtid="{D5CDD505-2E9C-101B-9397-08002B2CF9AE}" pid="3" name="ODSRefJobNo">
    <vt:lpwstr>1528564R</vt:lpwstr>
  </property>
  <property fmtid="{D5CDD505-2E9C-101B-9397-08002B2CF9AE}" pid="4" name="Symbol1">
    <vt:lpwstr>ECE/TRANS/2016/27</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15 December 2015</vt:lpwstr>
  </property>
  <property fmtid="{D5CDD505-2E9C-101B-9397-08002B2CF9AE}" pid="12" name="Original">
    <vt:lpwstr>English</vt:lpwstr>
  </property>
  <property fmtid="{D5CDD505-2E9C-101B-9397-08002B2CF9AE}" pid="13" name="Release Date">
    <vt:lpwstr>200116</vt:lpwstr>
  </property>
</Properties>
</file>