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D21" w:rsidRDefault="00371D21" w:rsidP="00371D21">
      <w:pPr>
        <w:spacing w:line="240" w:lineRule="auto"/>
        <w:rPr>
          <w:sz w:val="2"/>
        </w:rPr>
        <w:sectPr w:rsidR="00371D21" w:rsidSect="00371D21">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bookmarkStart w:id="0" w:name="_GoBack"/>
      <w:bookmarkEnd w:id="0"/>
    </w:p>
    <w:p w:rsidR="00371D21" w:rsidRDefault="00371D21" w:rsidP="00371D21">
      <w:pPr>
        <w:pStyle w:val="H1"/>
        <w:spacing w:after="120"/>
        <w:rPr>
          <w:sz w:val="28"/>
        </w:rPr>
      </w:pPr>
      <w:r>
        <w:rPr>
          <w:sz w:val="28"/>
        </w:rPr>
        <w:lastRenderedPageBreak/>
        <w:t>Commission économique pour l’Europe</w:t>
      </w:r>
    </w:p>
    <w:p w:rsidR="00371D21" w:rsidRDefault="00371D21" w:rsidP="00371D21">
      <w:pPr>
        <w:pStyle w:val="H1"/>
        <w:spacing w:after="120" w:line="300" w:lineRule="exact"/>
        <w:rPr>
          <w:b w:val="0"/>
          <w:sz w:val="28"/>
        </w:rPr>
      </w:pPr>
      <w:r>
        <w:rPr>
          <w:b w:val="0"/>
          <w:sz w:val="28"/>
        </w:rPr>
        <w:t>Comité des transports intérieurs</w:t>
      </w:r>
    </w:p>
    <w:p w:rsidR="00B03D00" w:rsidRPr="00BF7C35" w:rsidRDefault="00B03D00" w:rsidP="00B03D00">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BF7C35">
        <w:rPr>
          <w:lang w:val="fr-FR"/>
        </w:rPr>
        <w:t>Soixante-dix-huitième session</w:t>
      </w:r>
    </w:p>
    <w:p w:rsidR="00B03D00" w:rsidRPr="00BF7C35" w:rsidRDefault="00B03D00" w:rsidP="00B03D00">
      <w:pPr>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BF7C35">
        <w:rPr>
          <w:lang w:val="fr-FR"/>
        </w:rPr>
        <w:t>Genève, 23-26 février 2016</w:t>
      </w:r>
    </w:p>
    <w:p w:rsidR="00B03D00" w:rsidRPr="00BF7C35" w:rsidRDefault="00B03D00" w:rsidP="00B03D00">
      <w:pPr>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BF7C35">
        <w:rPr>
          <w:lang w:val="fr-FR"/>
        </w:rPr>
        <w:t>Point 5 h) de l</w:t>
      </w:r>
      <w:r>
        <w:rPr>
          <w:lang w:val="fr-FR"/>
        </w:rPr>
        <w:t>’</w:t>
      </w:r>
      <w:r w:rsidRPr="00BF7C35">
        <w:rPr>
          <w:lang w:val="fr-FR"/>
        </w:rPr>
        <w:t>ordre du jour provisoire</w:t>
      </w:r>
    </w:p>
    <w:p w:rsidR="00B03D00" w:rsidRDefault="00B03D00" w:rsidP="00B03D00">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BF7C35">
        <w:rPr>
          <w:lang w:val="fr-FR"/>
        </w:rPr>
        <w:t>Questions stratégiques à caractère modal et thématique</w:t>
      </w:r>
      <w:r w:rsidR="00125417">
        <w:rPr>
          <w:lang w:val="fr-FR"/>
        </w:rPr>
        <w:t> </w:t>
      </w:r>
      <w:r w:rsidRPr="00BF7C35">
        <w:rPr>
          <w:lang w:val="fr-FR"/>
        </w:rPr>
        <w:t xml:space="preserve">: </w:t>
      </w:r>
      <w:r w:rsidRPr="00BF7C35">
        <w:rPr>
          <w:lang w:val="fr-FR"/>
        </w:rPr>
        <w:br/>
        <w:t xml:space="preserve">Renforcement des mesures de facilitation </w:t>
      </w:r>
      <w:r w:rsidRPr="00BF7C35">
        <w:rPr>
          <w:lang w:val="fr-FR"/>
        </w:rPr>
        <w:br/>
        <w:t xml:space="preserve">du franchissement des frontières </w:t>
      </w:r>
      <w:r w:rsidRPr="00BF7C35">
        <w:rPr>
          <w:lang w:val="fr-FR"/>
        </w:rPr>
        <w:br/>
        <w:t>(Convention sur l</w:t>
      </w:r>
      <w:r>
        <w:rPr>
          <w:lang w:val="fr-FR"/>
        </w:rPr>
        <w:t>’</w:t>
      </w:r>
      <w:r w:rsidRPr="00BF7C35">
        <w:rPr>
          <w:lang w:val="fr-FR"/>
        </w:rPr>
        <w:t xml:space="preserve">harmonisation, Convention TIR, </w:t>
      </w:r>
      <w:r w:rsidRPr="00BF7C35">
        <w:rPr>
          <w:lang w:val="fr-FR"/>
        </w:rPr>
        <w:br/>
        <w:t xml:space="preserve">projet eTIR et autres mesures de facilitation </w:t>
      </w:r>
      <w:r w:rsidRPr="00BF7C35">
        <w:rPr>
          <w:lang w:val="fr-FR"/>
        </w:rPr>
        <w:br/>
        <w:t>du transit douanier)</w:t>
      </w:r>
    </w:p>
    <w:p w:rsidR="00B03D00" w:rsidRPr="00B03D00" w:rsidRDefault="00B03D00" w:rsidP="00B03D00">
      <w:pPr>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120" w:lineRule="exact"/>
        <w:rPr>
          <w:sz w:val="10"/>
          <w:lang w:val="fr-FR"/>
        </w:rPr>
      </w:pPr>
    </w:p>
    <w:p w:rsidR="00B03D00" w:rsidRPr="00B03D00" w:rsidRDefault="00B03D00" w:rsidP="00B03D00">
      <w:pPr>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120" w:lineRule="exact"/>
        <w:rPr>
          <w:sz w:val="10"/>
          <w:lang w:val="fr-FR"/>
        </w:rPr>
      </w:pPr>
    </w:p>
    <w:p w:rsidR="00B03D00" w:rsidRPr="00B03D00" w:rsidRDefault="00B03D00" w:rsidP="00B03D00">
      <w:pPr>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120" w:lineRule="exact"/>
        <w:rPr>
          <w:sz w:val="10"/>
          <w:lang w:val="fr-FR"/>
        </w:rPr>
      </w:pPr>
    </w:p>
    <w:p w:rsidR="00B03D00" w:rsidRDefault="00B03D00" w:rsidP="00B03D0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tab/>
      </w:r>
      <w:r w:rsidRPr="00BF7C35">
        <w:rPr>
          <w:lang w:val="fr-FR"/>
        </w:rPr>
        <w:tab/>
        <w:t>Renforcement des mesures de facilitation du franchissement des frontières (Convention sur l</w:t>
      </w:r>
      <w:r>
        <w:rPr>
          <w:lang w:val="fr-FR"/>
        </w:rPr>
        <w:t>’</w:t>
      </w:r>
      <w:r w:rsidRPr="00BF7C35">
        <w:rPr>
          <w:lang w:val="fr-FR"/>
        </w:rPr>
        <w:t>harmonisation, Convention TIR, projet eTIR et autres mesures</w:t>
      </w:r>
      <w:r>
        <w:rPr>
          <w:lang w:val="fr-FR"/>
        </w:rPr>
        <w:t xml:space="preserve"> </w:t>
      </w:r>
      <w:r w:rsidRPr="00BF7C35">
        <w:rPr>
          <w:lang w:val="fr-FR"/>
        </w:rPr>
        <w:br/>
        <w:t>de facilitation du transit douanier)</w:t>
      </w:r>
    </w:p>
    <w:p w:rsidR="00B03D00" w:rsidRPr="00B03D00" w:rsidRDefault="00B03D00" w:rsidP="00B03D00">
      <w:pPr>
        <w:pStyle w:val="SingleTxt"/>
        <w:spacing w:after="0" w:line="120" w:lineRule="exact"/>
        <w:rPr>
          <w:sz w:val="10"/>
          <w:lang w:val="fr-FR"/>
        </w:rPr>
      </w:pPr>
    </w:p>
    <w:p w:rsidR="00B03D00" w:rsidRPr="00B03D00" w:rsidRDefault="00B03D00" w:rsidP="00B03D00">
      <w:pPr>
        <w:pStyle w:val="SingleTxt"/>
        <w:spacing w:after="0" w:line="120" w:lineRule="exact"/>
        <w:rPr>
          <w:sz w:val="10"/>
          <w:lang w:val="fr-FR"/>
        </w:rPr>
      </w:pPr>
    </w:p>
    <w:p w:rsidR="00371D21" w:rsidRDefault="00B03D00" w:rsidP="00B03D0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tab/>
      </w:r>
      <w:r w:rsidRPr="00BF7C35">
        <w:rPr>
          <w:lang w:val="fr-FR"/>
        </w:rPr>
        <w:tab/>
        <w:t>Note du secrétariat</w:t>
      </w:r>
    </w:p>
    <w:p w:rsidR="00B03D00" w:rsidRPr="00B03D00" w:rsidRDefault="00B03D00" w:rsidP="00B03D00">
      <w:pPr>
        <w:pStyle w:val="SingleTxt"/>
        <w:spacing w:after="0" w:line="120" w:lineRule="exact"/>
        <w:rPr>
          <w:sz w:val="10"/>
          <w:lang w:val="fr-FR"/>
        </w:rPr>
      </w:pPr>
    </w:p>
    <w:p w:rsidR="00B03D00" w:rsidRPr="00B03D00" w:rsidRDefault="00B03D00" w:rsidP="00B03D00">
      <w:pPr>
        <w:pStyle w:val="SingleTxt"/>
        <w:spacing w:after="0" w:line="120" w:lineRule="exact"/>
        <w:rPr>
          <w:sz w:val="10"/>
          <w:lang w:val="fr-FR"/>
        </w:rPr>
      </w:pPr>
    </w:p>
    <w:p w:rsidR="00B03D00" w:rsidRPr="00B03D00" w:rsidRDefault="00B03D00" w:rsidP="00B03D00">
      <w:pPr>
        <w:pStyle w:val="SingleTxt"/>
        <w:spacing w:after="0" w:line="120" w:lineRule="exact"/>
        <w:rPr>
          <w:sz w:val="10"/>
          <w:lang w:val="fr-FR"/>
        </w:rPr>
      </w:pPr>
    </w:p>
    <w:tbl>
      <w:tblPr>
        <w:tblW w:w="10026" w:type="dxa"/>
        <w:tblInd w:w="2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26"/>
      </w:tblGrid>
      <w:tr w:rsidR="00B03D00" w:rsidTr="00CF75F7">
        <w:tc>
          <w:tcPr>
            <w:tcW w:w="10026" w:type="dxa"/>
            <w:tcBorders>
              <w:top w:val="single" w:sz="2" w:space="0" w:color="auto"/>
            </w:tcBorders>
            <w:shd w:val="clear" w:color="auto" w:fill="auto"/>
          </w:tcPr>
          <w:p w:rsidR="00B03D00" w:rsidRPr="00B03D00" w:rsidRDefault="00B03D00" w:rsidP="00B03D00">
            <w:pPr>
              <w:tabs>
                <w:tab w:val="left" w:pos="240"/>
              </w:tabs>
              <w:spacing w:before="240" w:after="120"/>
              <w:rPr>
                <w:i/>
                <w:sz w:val="24"/>
              </w:rPr>
            </w:pPr>
            <w:r>
              <w:rPr>
                <w:i/>
                <w:sz w:val="24"/>
              </w:rPr>
              <w:tab/>
              <w:t>Résumé</w:t>
            </w:r>
          </w:p>
        </w:tc>
      </w:tr>
      <w:tr w:rsidR="00B03D00" w:rsidTr="00CF75F7">
        <w:tc>
          <w:tcPr>
            <w:tcW w:w="10026" w:type="dxa"/>
            <w:shd w:val="clear" w:color="auto" w:fill="auto"/>
          </w:tcPr>
          <w:p w:rsidR="00B03D00" w:rsidRPr="00B03D00" w:rsidRDefault="00B03D00" w:rsidP="00B03D00">
            <w:pPr>
              <w:pStyle w:val="SingleTxt"/>
            </w:pPr>
            <w:r>
              <w:tab/>
            </w:r>
            <w:r w:rsidRPr="00BF7C35">
              <w:rPr>
                <w:rFonts w:eastAsia="Times New Roman"/>
                <w:lang w:val="fr-FR"/>
              </w:rPr>
              <w:t>On trouvera dans le présent document une vue d</w:t>
            </w:r>
            <w:r>
              <w:rPr>
                <w:rFonts w:eastAsia="Times New Roman"/>
                <w:lang w:val="fr-FR"/>
              </w:rPr>
              <w:t>’</w:t>
            </w:r>
            <w:r w:rsidRPr="00BF7C35">
              <w:rPr>
                <w:rFonts w:eastAsia="Times New Roman"/>
                <w:lang w:val="fr-FR"/>
              </w:rPr>
              <w:t>ensemble des activités du Groupe de travail des problèmes douaniers intéressant les transports (WP.30), de ses groupes subsidiaires d</w:t>
            </w:r>
            <w:r>
              <w:rPr>
                <w:rFonts w:eastAsia="Times New Roman"/>
                <w:lang w:val="fr-FR"/>
              </w:rPr>
              <w:t>’</w:t>
            </w:r>
            <w:r w:rsidRPr="00BF7C35">
              <w:rPr>
                <w:rFonts w:eastAsia="Times New Roman"/>
                <w:lang w:val="fr-FR"/>
              </w:rPr>
              <w:t>experts et du secrétariat visant à renforcer les mesures de facilitation du franchissement des frontières et les instruments juridiques pertinents sous les auspices du WP.30 (Convention sur l</w:t>
            </w:r>
            <w:r>
              <w:rPr>
                <w:rFonts w:eastAsia="Times New Roman"/>
                <w:lang w:val="fr-FR"/>
              </w:rPr>
              <w:t>’</w:t>
            </w:r>
            <w:r w:rsidRPr="00BF7C35">
              <w:rPr>
                <w:rFonts w:eastAsia="Times New Roman"/>
                <w:lang w:val="fr-FR"/>
              </w:rPr>
              <w:t>harmonisation, Convention TIR, etc.), y compris l</w:t>
            </w:r>
            <w:r>
              <w:rPr>
                <w:rFonts w:eastAsia="Times New Roman"/>
                <w:lang w:val="fr-FR"/>
              </w:rPr>
              <w:t>’</w:t>
            </w:r>
            <w:r w:rsidRPr="00BF7C35">
              <w:rPr>
                <w:rFonts w:eastAsia="Times New Roman"/>
                <w:lang w:val="fr-FR"/>
              </w:rPr>
              <w:t>informatisation du régime TIR dans le cadre du projet eTIR.</w:t>
            </w:r>
          </w:p>
        </w:tc>
      </w:tr>
      <w:tr w:rsidR="00B03D00" w:rsidTr="00CF75F7">
        <w:tc>
          <w:tcPr>
            <w:tcW w:w="10026" w:type="dxa"/>
            <w:shd w:val="clear" w:color="auto" w:fill="auto"/>
          </w:tcPr>
          <w:p w:rsidR="00B03D00" w:rsidRPr="00B03D00" w:rsidRDefault="00B03D00" w:rsidP="00B03D00">
            <w:pPr>
              <w:pStyle w:val="SingleTxt"/>
            </w:pPr>
            <w:r>
              <w:tab/>
            </w:r>
            <w:r w:rsidRPr="00BF7C35">
              <w:rPr>
                <w:rFonts w:eastAsia="Times New Roman"/>
                <w:lang w:val="fr-FR"/>
              </w:rPr>
              <w:t>Le document est soumis au Comité pour information et approbation des activités susmentionnées. Le Comité est également invité à soutenir la poursuite du projet eTIR et pour cela à prolonger le mandat du Groupe spécial informel d</w:t>
            </w:r>
            <w:r>
              <w:rPr>
                <w:rFonts w:eastAsia="Times New Roman"/>
                <w:lang w:val="fr-FR"/>
              </w:rPr>
              <w:t>’</w:t>
            </w:r>
            <w:r w:rsidRPr="00BF7C35">
              <w:rPr>
                <w:rFonts w:eastAsia="Times New Roman"/>
                <w:lang w:val="fr-FR"/>
              </w:rPr>
              <w:t>experts des aspects théoriques et techniques de l</w:t>
            </w:r>
            <w:r>
              <w:rPr>
                <w:rFonts w:eastAsia="Times New Roman"/>
                <w:lang w:val="fr-FR"/>
              </w:rPr>
              <w:t>’</w:t>
            </w:r>
            <w:r w:rsidRPr="00BF7C35">
              <w:rPr>
                <w:rFonts w:eastAsia="Times New Roman"/>
                <w:lang w:val="fr-FR"/>
              </w:rPr>
              <w:t>informatisation du régime TIR (WP.30/GE.1) jusqu</w:t>
            </w:r>
            <w:r>
              <w:rPr>
                <w:rFonts w:eastAsia="Times New Roman"/>
                <w:lang w:val="fr-FR"/>
              </w:rPr>
              <w:t>’</w:t>
            </w:r>
            <w:r w:rsidRPr="00BF7C35">
              <w:rPr>
                <w:rFonts w:eastAsia="Times New Roman"/>
                <w:lang w:val="fr-FR"/>
              </w:rPr>
              <w:t>en 2016.</w:t>
            </w:r>
          </w:p>
        </w:tc>
      </w:tr>
      <w:tr w:rsidR="00B03D00" w:rsidTr="00CF75F7">
        <w:tc>
          <w:tcPr>
            <w:tcW w:w="10026" w:type="dxa"/>
            <w:tcBorders>
              <w:bottom w:val="single" w:sz="2" w:space="0" w:color="auto"/>
            </w:tcBorders>
            <w:shd w:val="clear" w:color="auto" w:fill="auto"/>
          </w:tcPr>
          <w:p w:rsidR="00B03D00" w:rsidRPr="00B03D00" w:rsidRDefault="00B03D00" w:rsidP="00B03D00">
            <w:pPr>
              <w:pStyle w:val="SingleTxt"/>
            </w:pPr>
          </w:p>
        </w:tc>
      </w:tr>
    </w:tbl>
    <w:p w:rsidR="00B03D00" w:rsidRDefault="00B03D00" w:rsidP="00371D21">
      <w:pPr>
        <w:pStyle w:val="SingleTxt"/>
      </w:pPr>
    </w:p>
    <w:p w:rsidR="00B03D00" w:rsidRDefault="00B03D00">
      <w:pPr>
        <w:spacing w:line="240" w:lineRule="auto"/>
      </w:pPr>
      <w:r>
        <w:br w:type="page"/>
      </w:r>
    </w:p>
    <w:p w:rsidR="00B03D00" w:rsidRDefault="00B03D00" w:rsidP="00B03D0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lastRenderedPageBreak/>
        <w:tab/>
      </w:r>
      <w:r w:rsidRPr="00BF7C35">
        <w:rPr>
          <w:lang w:val="fr-FR"/>
        </w:rPr>
        <w:t>I.</w:t>
      </w:r>
      <w:r w:rsidRPr="00BF7C35">
        <w:rPr>
          <w:lang w:val="fr-FR"/>
        </w:rPr>
        <w:tab/>
        <w:t>Généralités et mandat</w:t>
      </w:r>
    </w:p>
    <w:p w:rsidR="00B03D00" w:rsidRPr="00B03D00" w:rsidRDefault="00B03D00" w:rsidP="00B03D00">
      <w:pPr>
        <w:pStyle w:val="SingleTxt"/>
        <w:spacing w:after="0" w:line="120" w:lineRule="exact"/>
        <w:rPr>
          <w:sz w:val="10"/>
          <w:lang w:val="fr-FR"/>
        </w:rPr>
      </w:pPr>
    </w:p>
    <w:p w:rsidR="00B03D00" w:rsidRPr="00B03D00" w:rsidRDefault="00B03D00" w:rsidP="00B03D00">
      <w:pPr>
        <w:pStyle w:val="SingleTxt"/>
        <w:spacing w:after="0" w:line="120" w:lineRule="exact"/>
        <w:rPr>
          <w:sz w:val="10"/>
          <w:lang w:val="fr-FR"/>
        </w:rPr>
      </w:pPr>
    </w:p>
    <w:p w:rsidR="00B03D00" w:rsidRPr="00BF7C35" w:rsidRDefault="00B03D00" w:rsidP="00F1522D">
      <w:pPr>
        <w:pStyle w:val="SingleTxt"/>
        <w:numPr>
          <w:ilvl w:val="0"/>
          <w:numId w:val="9"/>
        </w:numPr>
        <w:tabs>
          <w:tab w:val="clear" w:pos="475"/>
          <w:tab w:val="num" w:pos="1742"/>
        </w:tabs>
        <w:ind w:left="1267"/>
        <w:rPr>
          <w:lang w:val="fr-FR"/>
        </w:rPr>
      </w:pPr>
      <w:r w:rsidRPr="00BF7C35">
        <w:rPr>
          <w:lang w:val="fr-FR"/>
        </w:rPr>
        <w:t>À</w:t>
      </w:r>
      <w:r>
        <w:rPr>
          <w:lang w:val="fr-FR"/>
        </w:rPr>
        <w:t xml:space="preserve"> </w:t>
      </w:r>
      <w:r w:rsidRPr="00BF7C35">
        <w:rPr>
          <w:lang w:val="fr-FR"/>
        </w:rPr>
        <w:t>sa session précédente, le Comité a pris note des activités mises en œuvre par le Groupe de travail des problèmes douaniers intéressant les transports (WP.30) visant, en particulier, à renforcer la Convention sur l</w:t>
      </w:r>
      <w:r>
        <w:rPr>
          <w:lang w:val="fr-FR"/>
        </w:rPr>
        <w:t>’</w:t>
      </w:r>
      <w:r w:rsidRPr="00BF7C35">
        <w:rPr>
          <w:lang w:val="fr-FR"/>
        </w:rPr>
        <w:t>harmonisation de 1982 et la Convention TIR de 1975 (ECE/TRANS/248, par.</w:t>
      </w:r>
      <w:r>
        <w:rPr>
          <w:lang w:val="fr-FR"/>
        </w:rPr>
        <w:t> </w:t>
      </w:r>
      <w:r w:rsidRPr="00BF7C35">
        <w:rPr>
          <w:lang w:val="fr-FR"/>
        </w:rPr>
        <w:t>97), et a appuyé lesdites activités.</w:t>
      </w:r>
      <w:r>
        <w:rPr>
          <w:lang w:val="fr-FR"/>
        </w:rPr>
        <w:t xml:space="preserve"> </w:t>
      </w:r>
      <w:r w:rsidRPr="00BF7C35">
        <w:rPr>
          <w:lang w:val="fr-FR"/>
        </w:rPr>
        <w:t>Entre autres considérations, le Comité a salué les progrès accomplis dans l</w:t>
      </w:r>
      <w:r>
        <w:rPr>
          <w:lang w:val="fr-FR"/>
        </w:rPr>
        <w:t>’</w:t>
      </w:r>
      <w:r w:rsidRPr="00BF7C35">
        <w:rPr>
          <w:lang w:val="fr-FR"/>
        </w:rPr>
        <w:t>élaboration et le lancement de la phase d</w:t>
      </w:r>
      <w:r>
        <w:rPr>
          <w:lang w:val="fr-FR"/>
        </w:rPr>
        <w:t>’</w:t>
      </w:r>
      <w:r w:rsidRPr="00BF7C35">
        <w:rPr>
          <w:lang w:val="fr-FR"/>
        </w:rPr>
        <w:t>essai du projet eTIR; il a prolongé le mandat du Groupe spécial informel d</w:t>
      </w:r>
      <w:r>
        <w:rPr>
          <w:lang w:val="fr-FR"/>
        </w:rPr>
        <w:t>’</w:t>
      </w:r>
      <w:r w:rsidRPr="00BF7C35">
        <w:rPr>
          <w:lang w:val="fr-FR"/>
        </w:rPr>
        <w:t>experts des aspects théoriques et techniques de l</w:t>
      </w:r>
      <w:r>
        <w:rPr>
          <w:lang w:val="fr-FR"/>
        </w:rPr>
        <w:t>’</w:t>
      </w:r>
      <w:r w:rsidRPr="00BF7C35">
        <w:rPr>
          <w:lang w:val="fr-FR"/>
        </w:rPr>
        <w:t>informatisation du régime TIR (GE.1) jusqu</w:t>
      </w:r>
      <w:r>
        <w:rPr>
          <w:lang w:val="fr-FR"/>
        </w:rPr>
        <w:t>’</w:t>
      </w:r>
      <w:r w:rsidRPr="00BF7C35">
        <w:rPr>
          <w:lang w:val="fr-FR"/>
        </w:rPr>
        <w:t>à la fin de l</w:t>
      </w:r>
      <w:r>
        <w:rPr>
          <w:lang w:val="fr-FR"/>
        </w:rPr>
        <w:t>’</w:t>
      </w:r>
      <w:r w:rsidRPr="00BF7C35">
        <w:rPr>
          <w:lang w:val="fr-FR"/>
        </w:rPr>
        <w:t>année 2015; et il a approuvé la création d</w:t>
      </w:r>
      <w:r>
        <w:rPr>
          <w:lang w:val="fr-FR"/>
        </w:rPr>
        <w:t>’</w:t>
      </w:r>
      <w:r w:rsidRPr="00BF7C35">
        <w:rPr>
          <w:lang w:val="fr-FR"/>
        </w:rPr>
        <w:t>un groupe d</w:t>
      </w:r>
      <w:r>
        <w:rPr>
          <w:lang w:val="fr-FR"/>
        </w:rPr>
        <w:t>’</w:t>
      </w:r>
      <w:r w:rsidRPr="00BF7C35">
        <w:rPr>
          <w:lang w:val="fr-FR"/>
        </w:rPr>
        <w:t>experts des aspects juridiques de l</w:t>
      </w:r>
      <w:r>
        <w:rPr>
          <w:lang w:val="fr-FR"/>
        </w:rPr>
        <w:t>’</w:t>
      </w:r>
      <w:r w:rsidRPr="00BF7C35">
        <w:rPr>
          <w:lang w:val="fr-FR"/>
        </w:rPr>
        <w:t>informatisation du régime TIR (GE.2), qui sert principalement de plateforme spécialisée au niveau international chargée d</w:t>
      </w:r>
      <w:r>
        <w:rPr>
          <w:lang w:val="fr-FR"/>
        </w:rPr>
        <w:t>’</w:t>
      </w:r>
      <w:r w:rsidRPr="00BF7C35">
        <w:rPr>
          <w:lang w:val="fr-FR"/>
        </w:rPr>
        <w:t>élaborer le cadre juridique de l</w:t>
      </w:r>
      <w:r>
        <w:rPr>
          <w:lang w:val="fr-FR"/>
        </w:rPr>
        <w:t>’</w:t>
      </w:r>
      <w:r w:rsidRPr="00BF7C35">
        <w:rPr>
          <w:lang w:val="fr-FR"/>
        </w:rPr>
        <w:t>eTIR</w:t>
      </w:r>
      <w:r>
        <w:rPr>
          <w:lang w:val="fr-FR"/>
        </w:rPr>
        <w:t>.</w:t>
      </w:r>
    </w:p>
    <w:p w:rsidR="00B03D00" w:rsidRPr="00BF7C35" w:rsidRDefault="00B03D00" w:rsidP="00F1522D">
      <w:pPr>
        <w:pStyle w:val="SingleTxt"/>
        <w:numPr>
          <w:ilvl w:val="0"/>
          <w:numId w:val="9"/>
        </w:numPr>
        <w:tabs>
          <w:tab w:val="clear" w:pos="475"/>
          <w:tab w:val="num" w:pos="1742"/>
        </w:tabs>
        <w:ind w:left="1267"/>
        <w:rPr>
          <w:rFonts w:eastAsia="Times New Roman"/>
          <w:spacing w:val="-2"/>
          <w:lang w:val="fr-FR"/>
        </w:rPr>
      </w:pPr>
      <w:r w:rsidRPr="00BF7C35">
        <w:rPr>
          <w:rFonts w:eastAsia="Times New Roman"/>
          <w:spacing w:val="-2"/>
          <w:lang w:val="fr-FR"/>
        </w:rPr>
        <w:t>Le présent document a été établi conformément au programme de plan de travail du Comité des transports intérieurs (ECE/TRANS/240, par. 100 et ECE/TRANS/2014/23, activité 02.7</w:t>
      </w:r>
      <w:r>
        <w:rPr>
          <w:rFonts w:eastAsia="Times New Roman"/>
          <w:spacing w:val="-2"/>
          <w:lang w:val="fr-FR"/>
        </w:rPr>
        <w:t> </w:t>
      </w:r>
      <w:r w:rsidRPr="00BF7C35">
        <w:rPr>
          <w:rFonts w:eastAsia="Times New Roman"/>
          <w:spacing w:val="-2"/>
          <w:lang w:val="fr-FR"/>
        </w:rPr>
        <w:t xml:space="preserve">: Problèmes douaniers intéressant les transports). Il y est rendu compte des progrès réalisés en 2015 par les Parties </w:t>
      </w:r>
      <w:r w:rsidRPr="00B03D00">
        <w:rPr>
          <w:lang w:val="fr-FR"/>
        </w:rPr>
        <w:t>contractantes</w:t>
      </w:r>
      <w:r w:rsidRPr="00BF7C35">
        <w:rPr>
          <w:rFonts w:eastAsia="Times New Roman"/>
          <w:spacing w:val="-2"/>
          <w:lang w:val="fr-FR"/>
        </w:rPr>
        <w:t>, le WP.30 et le secrétariat dans le domaine de la facilitation du franchissement des frontières, notamment de ce qui suit</w:t>
      </w:r>
      <w:r>
        <w:rPr>
          <w:rFonts w:eastAsia="Times New Roman"/>
          <w:spacing w:val="-2"/>
          <w:lang w:val="fr-FR"/>
        </w:rPr>
        <w:t> </w:t>
      </w:r>
      <w:r w:rsidRPr="00BF7C35">
        <w:rPr>
          <w:rFonts w:eastAsia="Times New Roman"/>
          <w:spacing w:val="-2"/>
          <w:lang w:val="fr-FR"/>
        </w:rPr>
        <w:t>:</w:t>
      </w:r>
    </w:p>
    <w:p w:rsidR="00B03D00" w:rsidRPr="00BF7C35" w:rsidRDefault="00B03D00" w:rsidP="00B03D00">
      <w:pPr>
        <w:pStyle w:val="Bullet1"/>
        <w:ind w:left="1743" w:hanging="130"/>
        <w:rPr>
          <w:lang w:val="fr-FR"/>
        </w:rPr>
      </w:pPr>
      <w:r w:rsidRPr="00BF7C35">
        <w:rPr>
          <w:lang w:val="fr-FR"/>
        </w:rPr>
        <w:t>Les faits nouveaux concernant la Convention internationale de 1982 sur l</w:t>
      </w:r>
      <w:r>
        <w:rPr>
          <w:lang w:val="fr-FR"/>
        </w:rPr>
        <w:t>’</w:t>
      </w:r>
      <w:r w:rsidRPr="00BF7C35">
        <w:rPr>
          <w:lang w:val="fr-FR"/>
        </w:rPr>
        <w:t>harmonisation des contrôles des marchandises aux frontières (</w:t>
      </w:r>
      <w:r>
        <w:rPr>
          <w:lang w:val="fr-FR"/>
        </w:rPr>
        <w:t>« </w:t>
      </w:r>
      <w:r w:rsidRPr="00BF7C35">
        <w:rPr>
          <w:lang w:val="fr-FR"/>
        </w:rPr>
        <w:t>Convention sur l</w:t>
      </w:r>
      <w:r>
        <w:rPr>
          <w:lang w:val="fr-FR"/>
        </w:rPr>
        <w:t>’</w:t>
      </w:r>
      <w:r w:rsidRPr="00BF7C35">
        <w:rPr>
          <w:lang w:val="fr-FR"/>
        </w:rPr>
        <w:t>harmonisation</w:t>
      </w:r>
      <w:r>
        <w:rPr>
          <w:lang w:val="fr-FR"/>
        </w:rPr>
        <w:t> »</w:t>
      </w:r>
      <w:r w:rsidRPr="00BF7C35">
        <w:rPr>
          <w:lang w:val="fr-FR"/>
        </w:rPr>
        <w:t>) et les activités de suivi et de renforcement des capacités destinées à faciliter l</w:t>
      </w:r>
      <w:r>
        <w:rPr>
          <w:lang w:val="fr-FR"/>
        </w:rPr>
        <w:t>’</w:t>
      </w:r>
      <w:r w:rsidRPr="00BF7C35">
        <w:rPr>
          <w:lang w:val="fr-FR"/>
        </w:rPr>
        <w:t>application adéquate de la Convention à l</w:t>
      </w:r>
      <w:r>
        <w:rPr>
          <w:lang w:val="fr-FR"/>
        </w:rPr>
        <w:t>’</w:t>
      </w:r>
      <w:r w:rsidRPr="00BF7C35">
        <w:rPr>
          <w:lang w:val="fr-FR"/>
        </w:rPr>
        <w:t>échelle nationale;</w:t>
      </w:r>
    </w:p>
    <w:p w:rsidR="00B03D00" w:rsidRPr="00BF7C35" w:rsidRDefault="00B03D00" w:rsidP="00B03D00">
      <w:pPr>
        <w:pStyle w:val="Bullet1"/>
        <w:ind w:left="1743" w:hanging="130"/>
        <w:rPr>
          <w:rFonts w:eastAsia="Times New Roman"/>
          <w:lang w:val="fr-FR"/>
        </w:rPr>
      </w:pPr>
      <w:r w:rsidRPr="00BF7C35">
        <w:rPr>
          <w:rFonts w:eastAsia="Times New Roman"/>
          <w:lang w:val="fr-FR"/>
        </w:rPr>
        <w:t xml:space="preserve">Les activités et faits nouveaux concernant la Convention TIR et le </w:t>
      </w:r>
      <w:r w:rsidRPr="00B03D00">
        <w:rPr>
          <w:lang w:val="fr-FR"/>
        </w:rPr>
        <w:t>fonctionnement</w:t>
      </w:r>
      <w:r w:rsidRPr="00BF7C35">
        <w:rPr>
          <w:rFonts w:eastAsia="Times New Roman"/>
          <w:lang w:val="fr-FR"/>
        </w:rPr>
        <w:t xml:space="preserve"> du régime TIR;</w:t>
      </w:r>
    </w:p>
    <w:p w:rsidR="00B03D00" w:rsidRPr="00BF7C35" w:rsidRDefault="00B03D00" w:rsidP="00B03D00">
      <w:pPr>
        <w:pStyle w:val="Bullet1"/>
        <w:ind w:left="1743" w:hanging="130"/>
        <w:rPr>
          <w:rFonts w:eastAsia="Times New Roman"/>
          <w:lang w:val="fr-FR"/>
        </w:rPr>
      </w:pPr>
      <w:r w:rsidRPr="00BF7C35">
        <w:rPr>
          <w:rFonts w:eastAsia="Times New Roman"/>
          <w:lang w:val="fr-FR"/>
        </w:rPr>
        <w:t>Les progrès accomplis dans la mise au point des aspects techniques du projet eTIR, les faits nouveaux relatifs aux efforts déployés en vue de l</w:t>
      </w:r>
      <w:r>
        <w:rPr>
          <w:rFonts w:eastAsia="Times New Roman"/>
          <w:lang w:val="fr-FR"/>
        </w:rPr>
        <w:t>’</w:t>
      </w:r>
      <w:r w:rsidRPr="00BF7C35">
        <w:rPr>
          <w:rFonts w:eastAsia="Times New Roman"/>
          <w:lang w:val="fr-FR"/>
        </w:rPr>
        <w:t>élaboration de l</w:t>
      </w:r>
      <w:r>
        <w:rPr>
          <w:rFonts w:eastAsia="Times New Roman"/>
          <w:lang w:val="fr-FR"/>
        </w:rPr>
        <w:t>’</w:t>
      </w:r>
      <w:r w:rsidRPr="00BF7C35">
        <w:rPr>
          <w:rFonts w:eastAsia="Times New Roman"/>
          <w:lang w:val="fr-FR"/>
        </w:rPr>
        <w:t>instrument juridique approprié pour encadrer la mise en service de la procédure TIR informatisée, et l</w:t>
      </w:r>
      <w:r>
        <w:rPr>
          <w:rFonts w:eastAsia="Times New Roman"/>
          <w:lang w:val="fr-FR"/>
        </w:rPr>
        <w:t>’</w:t>
      </w:r>
      <w:r w:rsidRPr="00BF7C35">
        <w:rPr>
          <w:rFonts w:eastAsia="Times New Roman"/>
          <w:lang w:val="fr-FR"/>
        </w:rPr>
        <w:t>état d</w:t>
      </w:r>
      <w:r>
        <w:rPr>
          <w:rFonts w:eastAsia="Times New Roman"/>
          <w:lang w:val="fr-FR"/>
        </w:rPr>
        <w:t>’</w:t>
      </w:r>
      <w:r w:rsidRPr="00BF7C35">
        <w:rPr>
          <w:rFonts w:eastAsia="Times New Roman"/>
          <w:lang w:val="fr-FR"/>
        </w:rPr>
        <w:t>avancement du projet pilote CEE-</w:t>
      </w:r>
      <w:hyperlink r:id="rId15" w:tgtFrame="_blank" w:history="1">
        <w:r w:rsidRPr="00BF7C35">
          <w:rPr>
            <w:rStyle w:val="Hyperlink"/>
            <w:rFonts w:eastAsia="Times New Roman"/>
            <w:lang w:val="fr-FR"/>
          </w:rPr>
          <w:t>IRU</w:t>
        </w:r>
      </w:hyperlink>
      <w:r w:rsidRPr="00BF7C35">
        <w:rPr>
          <w:rFonts w:eastAsia="Times New Roman"/>
          <w:lang w:val="fr-FR"/>
        </w:rPr>
        <w:t xml:space="preserve"> entre la République islamique d</w:t>
      </w:r>
      <w:r>
        <w:rPr>
          <w:rFonts w:eastAsia="Times New Roman"/>
          <w:lang w:val="fr-FR"/>
        </w:rPr>
        <w:t>’</w:t>
      </w:r>
      <w:r w:rsidRPr="00BF7C35">
        <w:rPr>
          <w:rFonts w:eastAsia="Times New Roman"/>
          <w:lang w:val="fr-FR"/>
        </w:rPr>
        <w:t>Iran et la Turquie;</w:t>
      </w:r>
    </w:p>
    <w:p w:rsidR="00B03D00" w:rsidRDefault="00B03D00" w:rsidP="00B03D00">
      <w:pPr>
        <w:pStyle w:val="Bullet1"/>
        <w:ind w:left="1743" w:hanging="130"/>
        <w:rPr>
          <w:rFonts w:eastAsia="Times New Roman"/>
          <w:lang w:val="fr-FR"/>
        </w:rPr>
      </w:pPr>
      <w:r w:rsidRPr="00BF7C35">
        <w:rPr>
          <w:rFonts w:eastAsia="Times New Roman"/>
          <w:lang w:val="fr-FR"/>
        </w:rPr>
        <w:t xml:space="preserve">Le projet </w:t>
      </w:r>
      <w:r>
        <w:rPr>
          <w:rFonts w:eastAsia="Times New Roman"/>
          <w:lang w:val="fr-FR"/>
        </w:rPr>
        <w:t>« </w:t>
      </w:r>
      <w:r w:rsidRPr="00BF7C35">
        <w:rPr>
          <w:rFonts w:eastAsia="Times New Roman"/>
          <w:lang w:val="fr-FR"/>
        </w:rPr>
        <w:t>Renforcement des capacités des pays en développement et des pays en transition à faciliter le franchissement légal des frontières, la coopération régionale et l</w:t>
      </w:r>
      <w:r>
        <w:rPr>
          <w:rFonts w:eastAsia="Times New Roman"/>
          <w:lang w:val="fr-FR"/>
        </w:rPr>
        <w:t>’</w:t>
      </w:r>
      <w:r w:rsidRPr="00BF7C35">
        <w:rPr>
          <w:rFonts w:eastAsia="Times New Roman"/>
          <w:lang w:val="fr-FR"/>
        </w:rPr>
        <w:t>intégration</w:t>
      </w:r>
      <w:r>
        <w:rPr>
          <w:rFonts w:eastAsia="Times New Roman"/>
          <w:lang w:val="fr-FR"/>
        </w:rPr>
        <w:t> »</w:t>
      </w:r>
      <w:r w:rsidRPr="00BF7C35">
        <w:rPr>
          <w:rFonts w:eastAsia="Times New Roman"/>
          <w:lang w:val="fr-FR"/>
        </w:rPr>
        <w:t>, financé au moyen du Compte de l</w:t>
      </w:r>
      <w:r>
        <w:rPr>
          <w:rFonts w:eastAsia="Times New Roman"/>
          <w:lang w:val="fr-FR"/>
        </w:rPr>
        <w:t>’</w:t>
      </w:r>
      <w:r w:rsidRPr="00BF7C35">
        <w:rPr>
          <w:rFonts w:eastAsia="Times New Roman"/>
          <w:lang w:val="fr-FR"/>
        </w:rPr>
        <w:t>ONU pour le développement (UNDA).</w:t>
      </w:r>
    </w:p>
    <w:p w:rsidR="00B03D00" w:rsidRPr="00B03D00" w:rsidRDefault="00B03D00" w:rsidP="00B03D00">
      <w:pPr>
        <w:pStyle w:val="SingleTxt"/>
        <w:spacing w:after="0" w:line="120" w:lineRule="exact"/>
        <w:rPr>
          <w:sz w:val="10"/>
          <w:lang w:val="fr-FR"/>
        </w:rPr>
      </w:pPr>
    </w:p>
    <w:p w:rsidR="00B03D00" w:rsidRPr="00B03D00" w:rsidRDefault="00B03D00" w:rsidP="00B03D00">
      <w:pPr>
        <w:pStyle w:val="SingleTxt"/>
        <w:spacing w:after="0" w:line="120" w:lineRule="exact"/>
        <w:rPr>
          <w:sz w:val="10"/>
          <w:lang w:val="fr-FR"/>
        </w:rPr>
      </w:pPr>
    </w:p>
    <w:p w:rsidR="00B03D00" w:rsidRDefault="00B03D00" w:rsidP="00B03D00">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BF7C35">
        <w:rPr>
          <w:lang w:val="fr-FR"/>
        </w:rPr>
        <w:tab/>
        <w:t>II.</w:t>
      </w:r>
      <w:r w:rsidRPr="00BF7C35">
        <w:rPr>
          <w:lang w:val="fr-FR"/>
        </w:rPr>
        <w:tab/>
        <w:t>Convention sur l</w:t>
      </w:r>
      <w:r>
        <w:rPr>
          <w:lang w:val="fr-FR"/>
        </w:rPr>
        <w:t>’</w:t>
      </w:r>
      <w:r w:rsidRPr="00BF7C35">
        <w:rPr>
          <w:lang w:val="fr-FR"/>
        </w:rPr>
        <w:t>harmonisation</w:t>
      </w:r>
    </w:p>
    <w:p w:rsidR="00B03D00" w:rsidRPr="00B03D00" w:rsidRDefault="00B03D00" w:rsidP="00B03D00">
      <w:pPr>
        <w:pStyle w:val="SingleTxt"/>
        <w:spacing w:after="0" w:line="120" w:lineRule="exact"/>
        <w:rPr>
          <w:sz w:val="10"/>
          <w:lang w:val="fr-FR"/>
        </w:rPr>
      </w:pPr>
    </w:p>
    <w:p w:rsidR="00B03D00" w:rsidRPr="00B03D00" w:rsidRDefault="00B03D00" w:rsidP="00B03D00">
      <w:pPr>
        <w:pStyle w:val="SingleTxt"/>
        <w:spacing w:after="0" w:line="120" w:lineRule="exact"/>
        <w:rPr>
          <w:sz w:val="10"/>
          <w:lang w:val="fr-FR"/>
        </w:rPr>
      </w:pPr>
    </w:p>
    <w:p w:rsidR="00B03D00" w:rsidRDefault="00B03D00" w:rsidP="00F1522D">
      <w:pPr>
        <w:pStyle w:val="SingleTxt"/>
        <w:numPr>
          <w:ilvl w:val="0"/>
          <w:numId w:val="9"/>
        </w:numPr>
        <w:tabs>
          <w:tab w:val="clear" w:pos="475"/>
          <w:tab w:val="num" w:pos="1742"/>
        </w:tabs>
        <w:ind w:left="1267"/>
        <w:rPr>
          <w:rFonts w:eastAsia="Times New Roman"/>
          <w:lang w:val="fr-FR"/>
        </w:rPr>
      </w:pPr>
      <w:r w:rsidRPr="00BF7C35">
        <w:rPr>
          <w:rFonts w:eastAsia="Times New Roman"/>
          <w:lang w:val="fr-FR"/>
        </w:rPr>
        <w:t>L</w:t>
      </w:r>
      <w:r>
        <w:rPr>
          <w:rFonts w:eastAsia="Times New Roman"/>
          <w:lang w:val="fr-FR"/>
        </w:rPr>
        <w:t>’</w:t>
      </w:r>
      <w:r w:rsidRPr="00BF7C35">
        <w:rPr>
          <w:rFonts w:eastAsia="Times New Roman"/>
          <w:lang w:val="fr-FR"/>
        </w:rPr>
        <w:t>état de la Convention internationale sur l</w:t>
      </w:r>
      <w:r>
        <w:rPr>
          <w:rFonts w:eastAsia="Times New Roman"/>
          <w:lang w:val="fr-FR"/>
        </w:rPr>
        <w:t>’</w:t>
      </w:r>
      <w:r w:rsidRPr="00BF7C35">
        <w:rPr>
          <w:rFonts w:eastAsia="Times New Roman"/>
          <w:lang w:val="fr-FR"/>
        </w:rPr>
        <w:t>harmonisation des contrôles des marchandises aux frontières (</w:t>
      </w:r>
      <w:r w:rsidRPr="00B03D00">
        <w:rPr>
          <w:rFonts w:eastAsia="Times New Roman"/>
          <w:spacing w:val="-2"/>
          <w:lang w:val="fr-FR"/>
        </w:rPr>
        <w:t>Convention</w:t>
      </w:r>
      <w:r w:rsidRPr="00BF7C35">
        <w:rPr>
          <w:rFonts w:eastAsia="Times New Roman"/>
          <w:lang w:val="fr-FR"/>
        </w:rPr>
        <w:t xml:space="preserve"> sur l</w:t>
      </w:r>
      <w:r>
        <w:rPr>
          <w:rFonts w:eastAsia="Times New Roman"/>
          <w:lang w:val="fr-FR"/>
        </w:rPr>
        <w:t>’</w:t>
      </w:r>
      <w:r w:rsidRPr="00BF7C35">
        <w:rPr>
          <w:rFonts w:eastAsia="Times New Roman"/>
          <w:lang w:val="fr-FR"/>
        </w:rPr>
        <w:t>harmonisation) de 1982 n</w:t>
      </w:r>
      <w:r>
        <w:rPr>
          <w:rFonts w:eastAsia="Times New Roman"/>
          <w:lang w:val="fr-FR"/>
        </w:rPr>
        <w:t>’</w:t>
      </w:r>
      <w:r w:rsidRPr="00BF7C35">
        <w:rPr>
          <w:rFonts w:eastAsia="Times New Roman"/>
          <w:lang w:val="fr-FR"/>
        </w:rPr>
        <w:t>a pas changé en 2015. Actuellement, la Convention c</w:t>
      </w:r>
      <w:r>
        <w:rPr>
          <w:rFonts w:eastAsia="Times New Roman"/>
          <w:lang w:val="fr-FR"/>
        </w:rPr>
        <w:t>ompte 57 Parties contractantes.</w:t>
      </w:r>
    </w:p>
    <w:p w:rsidR="00B03D00" w:rsidRPr="00B03D00" w:rsidRDefault="00B03D00" w:rsidP="00B03D00">
      <w:pPr>
        <w:pStyle w:val="SingleTxt"/>
        <w:spacing w:after="0" w:line="120" w:lineRule="exact"/>
        <w:rPr>
          <w:sz w:val="10"/>
          <w:lang w:val="fr-FR"/>
        </w:rPr>
      </w:pPr>
    </w:p>
    <w:p w:rsidR="00B03D00" w:rsidRPr="00B03D00" w:rsidRDefault="00B03D00" w:rsidP="00B03D00">
      <w:pPr>
        <w:pStyle w:val="SingleTxt"/>
        <w:spacing w:after="0" w:line="120" w:lineRule="exact"/>
        <w:rPr>
          <w:sz w:val="10"/>
          <w:lang w:val="fr-FR"/>
        </w:rPr>
      </w:pPr>
    </w:p>
    <w:p w:rsidR="00B03D00" w:rsidRDefault="00B03D00" w:rsidP="00B03D0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tab/>
        <w:t>A.</w:t>
      </w:r>
      <w:r w:rsidRPr="00BF7C35">
        <w:rPr>
          <w:lang w:val="fr-FR"/>
        </w:rPr>
        <w:tab/>
        <w:t>Activités propres à faciliter l</w:t>
      </w:r>
      <w:r>
        <w:rPr>
          <w:lang w:val="fr-FR"/>
        </w:rPr>
        <w:t>’</w:t>
      </w:r>
      <w:r w:rsidRPr="00BF7C35">
        <w:rPr>
          <w:lang w:val="fr-FR"/>
        </w:rPr>
        <w:t xml:space="preserve">application des dispositions </w:t>
      </w:r>
      <w:r>
        <w:rPr>
          <w:lang w:val="fr-FR"/>
        </w:rPr>
        <w:br/>
      </w:r>
      <w:r w:rsidRPr="00BF7C35">
        <w:rPr>
          <w:lang w:val="fr-FR"/>
        </w:rPr>
        <w:t>de l</w:t>
      </w:r>
      <w:r>
        <w:rPr>
          <w:lang w:val="fr-FR"/>
        </w:rPr>
        <w:t>’</w:t>
      </w:r>
      <w:r w:rsidRPr="00BF7C35">
        <w:rPr>
          <w:lang w:val="fr-FR"/>
        </w:rPr>
        <w:t xml:space="preserve">annexe 9 sur le passage des frontières </w:t>
      </w:r>
      <w:r>
        <w:rPr>
          <w:lang w:val="fr-FR"/>
        </w:rPr>
        <w:br/>
      </w:r>
      <w:r w:rsidRPr="00BF7C35">
        <w:rPr>
          <w:lang w:val="fr-FR"/>
        </w:rPr>
        <w:t>dans le transport ferroviaire</w:t>
      </w:r>
    </w:p>
    <w:p w:rsidR="00B03D00" w:rsidRPr="00B03D00" w:rsidRDefault="00B03D00" w:rsidP="00B03D00">
      <w:pPr>
        <w:pStyle w:val="SingleTxt"/>
        <w:spacing w:after="0" w:line="120" w:lineRule="exact"/>
        <w:rPr>
          <w:sz w:val="10"/>
          <w:lang w:val="fr-FR"/>
        </w:rPr>
      </w:pPr>
    </w:p>
    <w:p w:rsidR="00B03D00" w:rsidRPr="00B03D00" w:rsidRDefault="00B03D00" w:rsidP="00B03D00">
      <w:pPr>
        <w:pStyle w:val="SingleTxt"/>
        <w:spacing w:after="0" w:line="120" w:lineRule="exact"/>
        <w:rPr>
          <w:sz w:val="10"/>
          <w:lang w:val="fr-FR"/>
        </w:rPr>
      </w:pPr>
    </w:p>
    <w:p w:rsidR="00B03D00" w:rsidRPr="00BF7C35" w:rsidRDefault="00B03D00" w:rsidP="00F1522D">
      <w:pPr>
        <w:pStyle w:val="SingleTxt"/>
        <w:numPr>
          <w:ilvl w:val="0"/>
          <w:numId w:val="9"/>
        </w:numPr>
        <w:tabs>
          <w:tab w:val="clear" w:pos="475"/>
          <w:tab w:val="num" w:pos="1742"/>
        </w:tabs>
        <w:ind w:left="1267"/>
        <w:rPr>
          <w:rFonts w:eastAsia="Times New Roman"/>
          <w:lang w:val="fr-FR"/>
        </w:rPr>
      </w:pPr>
      <w:r w:rsidRPr="00BF7C35">
        <w:rPr>
          <w:rFonts w:eastAsia="Times New Roman"/>
          <w:lang w:val="fr-FR"/>
        </w:rPr>
        <w:t>Le Comité souhaitera sans doute rappeler que le Groupe de travail des transports par chemin de fer (</w:t>
      </w:r>
      <w:hyperlink r:id="rId16" w:tgtFrame="_blank" w:history="1">
        <w:r w:rsidRPr="00BF7C35">
          <w:rPr>
            <w:rFonts w:eastAsia="Times New Roman"/>
            <w:lang w:val="fr-FR"/>
          </w:rPr>
          <w:t>SC</w:t>
        </w:r>
      </w:hyperlink>
      <w:r w:rsidRPr="00BF7C35">
        <w:rPr>
          <w:rFonts w:eastAsia="Times New Roman"/>
          <w:lang w:val="fr-FR"/>
        </w:rPr>
        <w:t>.2), en collaboration avec le WP.30, a entrepris d</w:t>
      </w:r>
      <w:r>
        <w:rPr>
          <w:rFonts w:eastAsia="Times New Roman"/>
          <w:lang w:val="fr-FR"/>
        </w:rPr>
        <w:t>’</w:t>
      </w:r>
      <w:r w:rsidRPr="00BF7C35">
        <w:rPr>
          <w:rFonts w:eastAsia="Times New Roman"/>
          <w:lang w:val="fr-FR"/>
        </w:rPr>
        <w:t>élaborer des options pour un mécanisme de suivi de la mise en œuvre au niveau national des dispositions de l</w:t>
      </w:r>
      <w:r>
        <w:rPr>
          <w:rFonts w:eastAsia="Times New Roman"/>
          <w:lang w:val="fr-FR"/>
        </w:rPr>
        <w:t>’</w:t>
      </w:r>
      <w:r w:rsidRPr="00BF7C35">
        <w:rPr>
          <w:rFonts w:eastAsia="Times New Roman"/>
          <w:lang w:val="fr-FR"/>
        </w:rPr>
        <w:t xml:space="preserve">annexe 9 sur le passage des frontières dans le transport ferroviaire. À sa session précédente, le Comité a été informé des résultats du questionnaire </w:t>
      </w:r>
      <w:r w:rsidRPr="00BF7C35">
        <w:rPr>
          <w:rFonts w:eastAsia="Times New Roman"/>
          <w:lang w:val="fr-FR"/>
        </w:rPr>
        <w:lastRenderedPageBreak/>
        <w:t>(ECE/TRANS/SC.2/2013/6) sur les moyens de contrôler la mise en œuvre des dis</w:t>
      </w:r>
      <w:r w:rsidR="008E2B6D">
        <w:rPr>
          <w:rFonts w:eastAsia="Times New Roman"/>
          <w:lang w:val="fr-FR"/>
        </w:rPr>
        <w:t>positions de la nouvelle annexe </w:t>
      </w:r>
      <w:r w:rsidRPr="00BF7C35">
        <w:rPr>
          <w:rFonts w:eastAsia="Times New Roman"/>
          <w:lang w:val="fr-FR"/>
        </w:rPr>
        <w:t>9</w:t>
      </w:r>
      <w:r w:rsidR="008E2B6D">
        <w:rPr>
          <w:rFonts w:eastAsia="Times New Roman"/>
          <w:lang w:val="fr-FR"/>
        </w:rPr>
        <w:t>.</w:t>
      </w:r>
      <w:r w:rsidRPr="00BF7C35">
        <w:rPr>
          <w:rFonts w:eastAsia="Times New Roman"/>
          <w:lang w:val="fr-FR"/>
        </w:rPr>
        <w:t xml:space="preserve"> L</w:t>
      </w:r>
      <w:r>
        <w:rPr>
          <w:rFonts w:eastAsia="Times New Roman"/>
          <w:lang w:val="fr-FR"/>
        </w:rPr>
        <w:t>’</w:t>
      </w:r>
      <w:r w:rsidRPr="00BF7C35">
        <w:rPr>
          <w:rFonts w:eastAsia="Times New Roman"/>
          <w:lang w:val="fr-FR"/>
        </w:rPr>
        <w:t>analyse des réponses de vingt-sept Parties contractantes à la Convention sur l</w:t>
      </w:r>
      <w:r>
        <w:rPr>
          <w:rFonts w:eastAsia="Times New Roman"/>
          <w:lang w:val="fr-FR"/>
        </w:rPr>
        <w:t>’</w:t>
      </w:r>
      <w:r w:rsidRPr="00BF7C35">
        <w:rPr>
          <w:rFonts w:eastAsia="Times New Roman"/>
          <w:lang w:val="fr-FR"/>
        </w:rPr>
        <w:t>harmonisation a été présentée au WP.30 en 2015 et a montré que</w:t>
      </w:r>
      <w:r w:rsidR="008E2B6D">
        <w:rPr>
          <w:rFonts w:eastAsia="Times New Roman"/>
          <w:lang w:val="fr-FR"/>
        </w:rPr>
        <w:t> </w:t>
      </w:r>
      <w:r w:rsidRPr="00BF7C35">
        <w:rPr>
          <w:rFonts w:eastAsia="Times New Roman"/>
          <w:lang w:val="fr-FR"/>
        </w:rPr>
        <w:t>:</w:t>
      </w:r>
    </w:p>
    <w:p w:rsidR="00B03D00" w:rsidRPr="00BF7C35" w:rsidRDefault="008E2B6D" w:rsidP="008E2B6D">
      <w:pPr>
        <w:pStyle w:val="SingleTxt"/>
        <w:rPr>
          <w:lang w:val="fr-FR"/>
        </w:rPr>
      </w:pPr>
      <w:r>
        <w:rPr>
          <w:lang w:val="fr-FR"/>
        </w:rPr>
        <w:tab/>
      </w:r>
      <w:r w:rsidR="00B03D00" w:rsidRPr="00BF7C35">
        <w:rPr>
          <w:lang w:val="fr-FR"/>
        </w:rPr>
        <w:t>a)</w:t>
      </w:r>
      <w:r w:rsidR="00B03D00" w:rsidRPr="00BF7C35">
        <w:rPr>
          <w:lang w:val="fr-FR"/>
        </w:rPr>
        <w:tab/>
        <w:t>Sur le plan des principes, les États membres avaient respecté les procédures de l</w:t>
      </w:r>
      <w:r w:rsidR="00B03D00">
        <w:rPr>
          <w:lang w:val="fr-FR"/>
        </w:rPr>
        <w:t>’</w:t>
      </w:r>
      <w:r w:rsidR="00B03D00" w:rsidRPr="00BF7C35">
        <w:rPr>
          <w:lang w:val="fr-FR"/>
        </w:rPr>
        <w:t>annexe 9 sur la facilita</w:t>
      </w:r>
      <w:r>
        <w:rPr>
          <w:lang w:val="fr-FR"/>
        </w:rPr>
        <w:t>tion du passage des frontières;</w:t>
      </w:r>
    </w:p>
    <w:p w:rsidR="00B03D00" w:rsidRPr="00BF7C35" w:rsidRDefault="008E2B6D" w:rsidP="008E2B6D">
      <w:pPr>
        <w:pStyle w:val="SingleTxt"/>
        <w:rPr>
          <w:rFonts w:eastAsia="Times New Roman"/>
          <w:lang w:val="fr-FR"/>
        </w:rPr>
      </w:pPr>
      <w:r>
        <w:rPr>
          <w:rFonts w:eastAsia="Times New Roman"/>
          <w:lang w:val="fr-FR"/>
        </w:rPr>
        <w:tab/>
      </w:r>
      <w:r w:rsidR="00B03D00" w:rsidRPr="00BF7C35">
        <w:rPr>
          <w:rFonts w:eastAsia="Times New Roman"/>
          <w:lang w:val="fr-FR"/>
        </w:rPr>
        <w:t>b)</w:t>
      </w:r>
      <w:r w:rsidR="00B03D00" w:rsidRPr="00BF7C35">
        <w:rPr>
          <w:rFonts w:eastAsia="Times New Roman"/>
          <w:lang w:val="fr-FR"/>
        </w:rPr>
        <w:tab/>
        <w:t xml:space="preserve">Les mesures prises avaient notamment porté sur le renforcement technologique des gares ferroviaires frontalières (installation de systèmes informatiques, de moyens de communication, de dispositifs, etc.) et </w:t>
      </w:r>
      <w:r w:rsidR="00B03D00" w:rsidRPr="008E2B6D">
        <w:rPr>
          <w:lang w:val="fr-FR"/>
        </w:rPr>
        <w:t>l’amélioration</w:t>
      </w:r>
      <w:r w:rsidR="00B03D00" w:rsidRPr="00BF7C35">
        <w:rPr>
          <w:rFonts w:eastAsia="Times New Roman"/>
          <w:lang w:val="fr-FR"/>
        </w:rPr>
        <w:t xml:space="preserve"> de l</w:t>
      </w:r>
      <w:r w:rsidR="00B03D00">
        <w:rPr>
          <w:rFonts w:eastAsia="Times New Roman"/>
          <w:lang w:val="fr-FR"/>
        </w:rPr>
        <w:t>’</w:t>
      </w:r>
      <w:r w:rsidR="00B03D00" w:rsidRPr="00BF7C35">
        <w:rPr>
          <w:rFonts w:eastAsia="Times New Roman"/>
          <w:lang w:val="fr-FR"/>
        </w:rPr>
        <w:t>infrastructure pour que la capacité dans les gares so</w:t>
      </w:r>
      <w:r>
        <w:rPr>
          <w:rFonts w:eastAsia="Times New Roman"/>
          <w:lang w:val="fr-FR"/>
        </w:rPr>
        <w:t>it adaptée au volume du trafic;</w:t>
      </w:r>
    </w:p>
    <w:p w:rsidR="00B03D00" w:rsidRPr="00BF7C35" w:rsidRDefault="008E2B6D" w:rsidP="008E2B6D">
      <w:pPr>
        <w:pStyle w:val="SingleTxt"/>
        <w:rPr>
          <w:rFonts w:eastAsia="Times New Roman"/>
          <w:lang w:val="fr-FR"/>
        </w:rPr>
      </w:pPr>
      <w:r>
        <w:rPr>
          <w:rFonts w:eastAsia="Times New Roman"/>
          <w:lang w:val="fr-FR"/>
        </w:rPr>
        <w:tab/>
      </w:r>
      <w:r w:rsidR="00B03D00" w:rsidRPr="00BF7C35">
        <w:rPr>
          <w:rFonts w:eastAsia="Times New Roman"/>
          <w:lang w:val="fr-FR"/>
        </w:rPr>
        <w:t>c)</w:t>
      </w:r>
      <w:r w:rsidR="00B03D00" w:rsidRPr="00BF7C35">
        <w:rPr>
          <w:rFonts w:eastAsia="Times New Roman"/>
          <w:lang w:val="fr-FR"/>
        </w:rPr>
        <w:tab/>
        <w:t>Les négociations bilatérales avaient été plus nombreuses et de nouveaux accords bilatéraux avaient été signés pour réduire le plus possible les retards pour les trains de v</w:t>
      </w:r>
      <w:r>
        <w:rPr>
          <w:rFonts w:eastAsia="Times New Roman"/>
          <w:lang w:val="fr-FR"/>
        </w:rPr>
        <w:t>oyageurs et de marchandises; et</w:t>
      </w:r>
    </w:p>
    <w:p w:rsidR="00B03D00" w:rsidRPr="00BF7C35" w:rsidRDefault="008E2B6D" w:rsidP="008E2B6D">
      <w:pPr>
        <w:pStyle w:val="SingleTxt"/>
        <w:rPr>
          <w:rFonts w:eastAsia="Times New Roman"/>
          <w:lang w:val="fr-FR"/>
        </w:rPr>
      </w:pPr>
      <w:r>
        <w:rPr>
          <w:rFonts w:eastAsia="Times New Roman"/>
          <w:lang w:val="fr-FR"/>
        </w:rPr>
        <w:tab/>
      </w:r>
      <w:r w:rsidR="00B03D00" w:rsidRPr="00BF7C35">
        <w:rPr>
          <w:rFonts w:eastAsia="Times New Roman"/>
          <w:lang w:val="fr-FR"/>
        </w:rPr>
        <w:t>d)</w:t>
      </w:r>
      <w:r w:rsidR="00B03D00" w:rsidRPr="00BF7C35">
        <w:rPr>
          <w:rFonts w:eastAsia="Times New Roman"/>
          <w:lang w:val="fr-FR"/>
        </w:rPr>
        <w:tab/>
        <w:t>Le contrôle des marchandises en transit n</w:t>
      </w:r>
      <w:r w:rsidR="00B03D00">
        <w:rPr>
          <w:rFonts w:eastAsia="Times New Roman"/>
          <w:lang w:val="fr-FR"/>
        </w:rPr>
        <w:t>’</w:t>
      </w:r>
      <w:r w:rsidR="00B03D00" w:rsidRPr="00BF7C35">
        <w:rPr>
          <w:rFonts w:eastAsia="Times New Roman"/>
          <w:lang w:val="fr-FR"/>
        </w:rPr>
        <w:t>était effectué que dans les cas où les circonstances l</w:t>
      </w:r>
      <w:r w:rsidR="00B03D00">
        <w:rPr>
          <w:rFonts w:eastAsia="Times New Roman"/>
          <w:lang w:val="fr-FR"/>
        </w:rPr>
        <w:t>’</w:t>
      </w:r>
      <w:r>
        <w:rPr>
          <w:rFonts w:eastAsia="Times New Roman"/>
          <w:lang w:val="fr-FR"/>
        </w:rPr>
        <w:t>imposaient.</w:t>
      </w:r>
    </w:p>
    <w:p w:rsidR="00B03D00" w:rsidRDefault="00B03D00" w:rsidP="00F1522D">
      <w:pPr>
        <w:pStyle w:val="SingleTxt"/>
        <w:numPr>
          <w:ilvl w:val="0"/>
          <w:numId w:val="9"/>
        </w:numPr>
        <w:tabs>
          <w:tab w:val="clear" w:pos="475"/>
          <w:tab w:val="num" w:pos="1742"/>
        </w:tabs>
        <w:ind w:left="1267"/>
        <w:rPr>
          <w:rFonts w:eastAsia="Times New Roman"/>
          <w:spacing w:val="2"/>
          <w:lang w:val="fr-FR"/>
        </w:rPr>
      </w:pPr>
      <w:r w:rsidRPr="008E2B6D">
        <w:rPr>
          <w:rFonts w:eastAsia="Times New Roman"/>
          <w:spacing w:val="2"/>
          <w:lang w:val="fr-FR"/>
        </w:rPr>
        <w:t>Sur la base des éléments susmentionnés, le SC.2 a établi un plan d’action pour la suite à donner aux résultats de l’enquête, qui portait notamment sur les mesures et les actions qui pourraient être mises en œuvre par les Parties contractantes, le secrétariat et d’autres parties prenantes telles que l’Organisation pour la coopération des chemins de fer (OSJD) et l’Organisation intergouvernementale pour les transports internationaux ferroviaires (OTIF). Ces actions visent, entre autres, à faciliter la délivrance de visas pour les professionnels du secteur ferroviaire; à élaborer des mécanismes de coopération pour les contrôles frontaliers et autres; à améliorer les procédures d’évaluation, notamment des risques; et à fixer des délais pour les opérations techniques. Ce plan d’action a été présenté à la soixante-neuvième session du SC.2 (23-25 novembre 2015) et figure dans le document ECE/TRANS/SC.2/2015/6.</w:t>
      </w:r>
    </w:p>
    <w:p w:rsidR="008E2B6D" w:rsidRPr="008E2B6D" w:rsidRDefault="008E2B6D" w:rsidP="008E2B6D">
      <w:pPr>
        <w:pStyle w:val="SingleTxt"/>
        <w:spacing w:after="0" w:line="120" w:lineRule="exact"/>
        <w:rPr>
          <w:sz w:val="10"/>
          <w:lang w:val="fr-FR"/>
        </w:rPr>
      </w:pPr>
    </w:p>
    <w:p w:rsidR="008E2B6D" w:rsidRPr="008E2B6D" w:rsidRDefault="008E2B6D" w:rsidP="008E2B6D">
      <w:pPr>
        <w:pStyle w:val="SingleTxt"/>
        <w:spacing w:after="0" w:line="120" w:lineRule="exact"/>
        <w:rPr>
          <w:sz w:val="10"/>
          <w:lang w:val="fr-FR"/>
        </w:rPr>
      </w:pPr>
    </w:p>
    <w:p w:rsidR="00B03D00" w:rsidRDefault="00B03D00" w:rsidP="008E2B6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tab/>
        <w:t>B.</w:t>
      </w:r>
      <w:r w:rsidRPr="00BF7C35">
        <w:rPr>
          <w:lang w:val="fr-FR"/>
        </w:rPr>
        <w:tab/>
        <w:t>Enquête biennale sur l</w:t>
      </w:r>
      <w:r>
        <w:rPr>
          <w:lang w:val="fr-FR"/>
        </w:rPr>
        <w:t>’</w:t>
      </w:r>
      <w:r w:rsidRPr="00BF7C35">
        <w:rPr>
          <w:lang w:val="fr-FR"/>
        </w:rPr>
        <w:t>application de l</w:t>
      </w:r>
      <w:r>
        <w:rPr>
          <w:lang w:val="fr-FR"/>
        </w:rPr>
        <w:t>’</w:t>
      </w:r>
      <w:r w:rsidRPr="00BF7C35">
        <w:rPr>
          <w:lang w:val="fr-FR"/>
        </w:rPr>
        <w:t xml:space="preserve">annexe 8 </w:t>
      </w:r>
      <w:r w:rsidR="008E2B6D">
        <w:rPr>
          <w:lang w:val="fr-FR"/>
        </w:rPr>
        <w:br/>
      </w:r>
      <w:r w:rsidRPr="00BF7C35">
        <w:rPr>
          <w:lang w:val="fr-FR"/>
        </w:rPr>
        <w:t>relative au passage</w:t>
      </w:r>
      <w:r w:rsidR="008E2B6D">
        <w:rPr>
          <w:lang w:val="fr-FR"/>
        </w:rPr>
        <w:t xml:space="preserve"> </w:t>
      </w:r>
      <w:r w:rsidRPr="00BF7C35">
        <w:rPr>
          <w:lang w:val="fr-FR"/>
        </w:rPr>
        <w:t xml:space="preserve">des frontières </w:t>
      </w:r>
      <w:r w:rsidR="008E2B6D">
        <w:rPr>
          <w:lang w:val="fr-FR"/>
        </w:rPr>
        <w:br/>
      </w:r>
      <w:r w:rsidRPr="00BF7C35">
        <w:rPr>
          <w:lang w:val="fr-FR"/>
        </w:rPr>
        <w:t>en transport routier international</w:t>
      </w:r>
    </w:p>
    <w:p w:rsidR="008E2B6D" w:rsidRPr="008E2B6D" w:rsidRDefault="008E2B6D" w:rsidP="008E2B6D">
      <w:pPr>
        <w:pStyle w:val="SingleTxt"/>
        <w:spacing w:after="0" w:line="120" w:lineRule="exact"/>
        <w:rPr>
          <w:sz w:val="10"/>
          <w:lang w:val="fr-FR"/>
        </w:rPr>
      </w:pPr>
    </w:p>
    <w:p w:rsidR="008E2B6D" w:rsidRPr="008E2B6D" w:rsidRDefault="008E2B6D" w:rsidP="008E2B6D">
      <w:pPr>
        <w:pStyle w:val="SingleTxt"/>
        <w:spacing w:after="0" w:line="120" w:lineRule="exact"/>
        <w:rPr>
          <w:sz w:val="10"/>
          <w:lang w:val="fr-FR"/>
        </w:rPr>
      </w:pPr>
    </w:p>
    <w:p w:rsidR="00B03D00" w:rsidRPr="00BF7C35" w:rsidRDefault="00B03D00" w:rsidP="00F1522D">
      <w:pPr>
        <w:pStyle w:val="SingleTxt"/>
        <w:numPr>
          <w:ilvl w:val="0"/>
          <w:numId w:val="9"/>
        </w:numPr>
        <w:tabs>
          <w:tab w:val="clear" w:pos="475"/>
          <w:tab w:val="num" w:pos="1742"/>
        </w:tabs>
        <w:ind w:left="1267"/>
        <w:rPr>
          <w:rFonts w:eastAsia="Times New Roman"/>
          <w:lang w:val="fr-FR"/>
        </w:rPr>
      </w:pPr>
      <w:r w:rsidRPr="00BF7C35">
        <w:rPr>
          <w:rFonts w:eastAsia="Times New Roman"/>
          <w:lang w:val="fr-FR"/>
        </w:rPr>
        <w:t>À sa session précédente, le Comité a été informé que, conformément à l</w:t>
      </w:r>
      <w:r>
        <w:rPr>
          <w:rFonts w:eastAsia="Times New Roman"/>
          <w:lang w:val="fr-FR"/>
        </w:rPr>
        <w:t>’</w:t>
      </w:r>
      <w:r w:rsidR="008E2B6D">
        <w:rPr>
          <w:rFonts w:eastAsia="Times New Roman"/>
          <w:lang w:val="fr-FR"/>
        </w:rPr>
        <w:t>article </w:t>
      </w:r>
      <w:r w:rsidRPr="00BF7C35">
        <w:rPr>
          <w:rFonts w:eastAsia="Times New Roman"/>
          <w:lang w:val="fr-FR"/>
        </w:rPr>
        <w:t>7 de l</w:t>
      </w:r>
      <w:r>
        <w:rPr>
          <w:rFonts w:eastAsia="Times New Roman"/>
          <w:lang w:val="fr-FR"/>
        </w:rPr>
        <w:t>’</w:t>
      </w:r>
      <w:r w:rsidR="008E2B6D">
        <w:rPr>
          <w:rFonts w:eastAsia="Times New Roman"/>
          <w:lang w:val="fr-FR"/>
        </w:rPr>
        <w:t>annexe </w:t>
      </w:r>
      <w:r w:rsidRPr="00BF7C35">
        <w:rPr>
          <w:rFonts w:eastAsia="Times New Roman"/>
          <w:lang w:val="fr-FR"/>
        </w:rPr>
        <w:t xml:space="preserve">8 de la Convention sur </w:t>
      </w:r>
      <w:r w:rsidRPr="008E2B6D">
        <w:rPr>
          <w:rFonts w:eastAsia="Times New Roman"/>
          <w:spacing w:val="2"/>
          <w:lang w:val="fr-FR"/>
        </w:rPr>
        <w:t>l’harmonisation</w:t>
      </w:r>
      <w:r w:rsidRPr="00BF7C35">
        <w:rPr>
          <w:rFonts w:eastAsia="Times New Roman"/>
          <w:lang w:val="fr-FR"/>
        </w:rPr>
        <w:t>, le secrétariat était tenu d</w:t>
      </w:r>
      <w:r>
        <w:rPr>
          <w:rFonts w:eastAsia="Times New Roman"/>
          <w:lang w:val="fr-FR"/>
        </w:rPr>
        <w:t>’</w:t>
      </w:r>
      <w:r w:rsidRPr="00BF7C35">
        <w:rPr>
          <w:rFonts w:eastAsia="Times New Roman"/>
          <w:lang w:val="fr-FR"/>
        </w:rPr>
        <w:t>effectuer tous les deux ans une enquête sur l</w:t>
      </w:r>
      <w:r>
        <w:rPr>
          <w:rFonts w:eastAsia="Times New Roman"/>
          <w:lang w:val="fr-FR"/>
        </w:rPr>
        <w:t>’</w:t>
      </w:r>
      <w:r w:rsidRPr="00BF7C35">
        <w:rPr>
          <w:rFonts w:eastAsia="Times New Roman"/>
          <w:lang w:val="fr-FR"/>
        </w:rPr>
        <w:t>application, au niveau nati</w:t>
      </w:r>
      <w:bookmarkStart w:id="1" w:name="insstart"/>
      <w:bookmarkEnd w:id="1"/>
      <w:r w:rsidRPr="00BF7C35">
        <w:rPr>
          <w:rFonts w:eastAsia="Times New Roman"/>
          <w:lang w:val="fr-FR"/>
        </w:rPr>
        <w:t>onal, de l</w:t>
      </w:r>
      <w:r>
        <w:rPr>
          <w:rFonts w:eastAsia="Times New Roman"/>
          <w:lang w:val="fr-FR"/>
        </w:rPr>
        <w:t>’</w:t>
      </w:r>
      <w:r w:rsidR="008E2B6D">
        <w:rPr>
          <w:rFonts w:eastAsia="Times New Roman"/>
          <w:lang w:val="fr-FR"/>
        </w:rPr>
        <w:t>annexe </w:t>
      </w:r>
      <w:r w:rsidRPr="00BF7C35">
        <w:rPr>
          <w:rFonts w:eastAsia="Times New Roman"/>
          <w:lang w:val="fr-FR"/>
        </w:rPr>
        <w:t>8 relative au passage des frontières en transport routier international. Le Comité voudra sans doute se rappeler que la dernière enquête avait été lancée par le secrétariat en novembre 2014 et que les Parties contractantes avaient été i</w:t>
      </w:r>
      <w:r w:rsidR="008E2B6D">
        <w:rPr>
          <w:rFonts w:eastAsia="Times New Roman"/>
          <w:lang w:val="fr-FR"/>
        </w:rPr>
        <w:t>nvitées à y répondre pour le 16 </w:t>
      </w:r>
      <w:r w:rsidRPr="00BF7C35">
        <w:rPr>
          <w:rFonts w:eastAsia="Times New Roman"/>
          <w:lang w:val="fr-FR"/>
        </w:rPr>
        <w:t>janvier 2015. Les résultats de l</w:t>
      </w:r>
      <w:r>
        <w:rPr>
          <w:rFonts w:eastAsia="Times New Roman"/>
          <w:lang w:val="fr-FR"/>
        </w:rPr>
        <w:t>’</w:t>
      </w:r>
      <w:r w:rsidRPr="00BF7C35">
        <w:rPr>
          <w:rFonts w:eastAsia="Times New Roman"/>
          <w:lang w:val="fr-FR"/>
        </w:rPr>
        <w:t>enquête ont été établis en févr</w:t>
      </w:r>
      <w:r w:rsidR="008E2B6D">
        <w:rPr>
          <w:rFonts w:eastAsia="Times New Roman"/>
          <w:lang w:val="fr-FR"/>
        </w:rPr>
        <w:t>ier 2015 et présentés à la 140</w:t>
      </w:r>
      <w:r w:rsidR="008E2B6D" w:rsidRPr="008E2B6D">
        <w:rPr>
          <w:rFonts w:eastAsia="Times New Roman"/>
          <w:vertAlign w:val="superscript"/>
          <w:lang w:val="fr-FR"/>
        </w:rPr>
        <w:t>e</w:t>
      </w:r>
      <w:r w:rsidR="008E2B6D">
        <w:rPr>
          <w:rFonts w:eastAsia="Times New Roman"/>
          <w:lang w:val="fr-FR"/>
        </w:rPr>
        <w:t> </w:t>
      </w:r>
      <w:r w:rsidRPr="00BF7C35">
        <w:rPr>
          <w:rFonts w:eastAsia="Times New Roman"/>
          <w:lang w:val="fr-FR"/>
        </w:rPr>
        <w:t>session du WP.30. Le Comité souhaitera peut-être prendre note de ses principales conclusions, à savoir que</w:t>
      </w:r>
      <w:r w:rsidR="008E2B6D">
        <w:rPr>
          <w:rFonts w:eastAsia="Times New Roman"/>
          <w:lang w:val="fr-FR"/>
        </w:rPr>
        <w:t> </w:t>
      </w:r>
      <w:r w:rsidRPr="00BF7C35">
        <w:rPr>
          <w:rFonts w:eastAsia="Times New Roman"/>
          <w:lang w:val="fr-FR"/>
        </w:rPr>
        <w:t>:</w:t>
      </w:r>
    </w:p>
    <w:p w:rsidR="00B03D00" w:rsidRPr="00BF7C35" w:rsidRDefault="00D916A2" w:rsidP="00D916A2">
      <w:pPr>
        <w:pStyle w:val="SingleTxt"/>
        <w:rPr>
          <w:lang w:val="fr-FR"/>
        </w:rPr>
      </w:pPr>
      <w:r>
        <w:rPr>
          <w:lang w:val="fr-FR"/>
        </w:rPr>
        <w:tab/>
      </w:r>
      <w:r w:rsidR="00B03D00" w:rsidRPr="00BF7C35">
        <w:rPr>
          <w:lang w:val="fr-FR"/>
        </w:rPr>
        <w:t>a)</w:t>
      </w:r>
      <w:r w:rsidR="00B03D00" w:rsidRPr="00BF7C35">
        <w:rPr>
          <w:lang w:val="fr-FR"/>
        </w:rPr>
        <w:tab/>
        <w:t>Dix-sept pays avaient répondu au questionnaire en ligne;</w:t>
      </w:r>
    </w:p>
    <w:p w:rsidR="00B03D00" w:rsidRPr="00BF7C35" w:rsidRDefault="00D916A2" w:rsidP="00D916A2">
      <w:pPr>
        <w:pStyle w:val="SingleTxt"/>
        <w:rPr>
          <w:rFonts w:eastAsia="Times New Roman"/>
          <w:lang w:val="fr-FR"/>
        </w:rPr>
      </w:pPr>
      <w:r>
        <w:rPr>
          <w:rFonts w:eastAsia="Times New Roman"/>
          <w:lang w:val="fr-FR"/>
        </w:rPr>
        <w:tab/>
      </w:r>
      <w:r w:rsidR="00B03D00" w:rsidRPr="00BF7C35">
        <w:rPr>
          <w:rFonts w:eastAsia="Times New Roman"/>
          <w:lang w:val="fr-FR"/>
        </w:rPr>
        <w:t>b)</w:t>
      </w:r>
      <w:r w:rsidR="00B03D00" w:rsidRPr="00BF7C35">
        <w:rPr>
          <w:rFonts w:eastAsia="Times New Roman"/>
          <w:lang w:val="fr-FR"/>
        </w:rPr>
        <w:tab/>
        <w:t>Les réponses montraient que de bons résultats avaient été obtenus dans les domaines suivants notamment</w:t>
      </w:r>
      <w:r w:rsidR="00125417">
        <w:rPr>
          <w:rFonts w:eastAsia="Times New Roman"/>
          <w:lang w:val="fr-FR"/>
        </w:rPr>
        <w:t> </w:t>
      </w:r>
      <w:r w:rsidR="00B03D00" w:rsidRPr="00BF7C35">
        <w:rPr>
          <w:rFonts w:eastAsia="Times New Roman"/>
          <w:lang w:val="fr-FR"/>
        </w:rPr>
        <w:t>: a) la publication officielle de l</w:t>
      </w:r>
      <w:r w:rsidR="00B03D00">
        <w:rPr>
          <w:rFonts w:eastAsia="Times New Roman"/>
          <w:lang w:val="fr-FR"/>
        </w:rPr>
        <w:t>’</w:t>
      </w:r>
      <w:r>
        <w:rPr>
          <w:rFonts w:eastAsia="Times New Roman"/>
          <w:lang w:val="fr-FR"/>
        </w:rPr>
        <w:t>annexe </w:t>
      </w:r>
      <w:r w:rsidR="00B03D00" w:rsidRPr="00BF7C35">
        <w:rPr>
          <w:rFonts w:eastAsia="Times New Roman"/>
          <w:lang w:val="fr-FR"/>
        </w:rPr>
        <w:t>8 dans chaque pays; b) l</w:t>
      </w:r>
      <w:r w:rsidR="00B03D00">
        <w:rPr>
          <w:rFonts w:eastAsia="Times New Roman"/>
          <w:lang w:val="fr-FR"/>
        </w:rPr>
        <w:t>’</w:t>
      </w:r>
      <w:r w:rsidR="00B03D00" w:rsidRPr="00BF7C35">
        <w:rPr>
          <w:rFonts w:eastAsia="Times New Roman"/>
          <w:lang w:val="fr-FR"/>
        </w:rPr>
        <w:t>octroi de visas aux conducteurs professionnels; c) l</w:t>
      </w:r>
      <w:r w:rsidR="00B03D00">
        <w:rPr>
          <w:rFonts w:eastAsia="Times New Roman"/>
          <w:lang w:val="fr-FR"/>
        </w:rPr>
        <w:t>’</w:t>
      </w:r>
      <w:r w:rsidR="00B03D00" w:rsidRPr="00BF7C35">
        <w:rPr>
          <w:rFonts w:eastAsia="Times New Roman"/>
          <w:lang w:val="fr-FR"/>
        </w:rPr>
        <w:t>échange d</w:t>
      </w:r>
      <w:r w:rsidR="00B03D00">
        <w:rPr>
          <w:rFonts w:eastAsia="Times New Roman"/>
          <w:lang w:val="fr-FR"/>
        </w:rPr>
        <w:t>’</w:t>
      </w:r>
      <w:r w:rsidR="00B03D00" w:rsidRPr="00BF7C35">
        <w:rPr>
          <w:rFonts w:eastAsia="Times New Roman"/>
          <w:lang w:val="fr-FR"/>
        </w:rPr>
        <w:t>informations sur les questions relatives aux visas; d) l</w:t>
      </w:r>
      <w:r w:rsidR="00B03D00">
        <w:rPr>
          <w:rFonts w:eastAsia="Times New Roman"/>
          <w:lang w:val="fr-FR"/>
        </w:rPr>
        <w:t>’</w:t>
      </w:r>
      <w:r w:rsidR="00B03D00" w:rsidRPr="00BF7C35">
        <w:rPr>
          <w:rFonts w:eastAsia="Times New Roman"/>
          <w:lang w:val="fr-FR"/>
        </w:rPr>
        <w:t>information des parties prenantes aux transports internationaux; e) la facilitation des contrôles des envois urgents. La plupart des pays avaient mis en place aux points de franchissement des frontières diverses infrastructures (installations de contrôle conjoint, de séparation des flux, de stationnement approprié, etc.) permettant d</w:t>
      </w:r>
      <w:r w:rsidR="00B03D00">
        <w:rPr>
          <w:rFonts w:eastAsia="Times New Roman"/>
          <w:lang w:val="fr-FR"/>
        </w:rPr>
        <w:t>’</w:t>
      </w:r>
      <w:r w:rsidR="00B03D00" w:rsidRPr="00BF7C35">
        <w:rPr>
          <w:rFonts w:eastAsia="Times New Roman"/>
          <w:lang w:val="fr-FR"/>
        </w:rPr>
        <w:t>accélérer les transports</w:t>
      </w:r>
      <w:r>
        <w:rPr>
          <w:rFonts w:eastAsia="Times New Roman"/>
          <w:lang w:val="fr-FR"/>
        </w:rPr>
        <w:t xml:space="preserve"> internationaux de marchandises;</w:t>
      </w:r>
    </w:p>
    <w:p w:rsidR="00B03D00" w:rsidRPr="00BF7C35" w:rsidRDefault="00D916A2" w:rsidP="00D916A2">
      <w:pPr>
        <w:pStyle w:val="SingleTxt"/>
        <w:rPr>
          <w:rFonts w:eastAsia="Times New Roman"/>
          <w:lang w:val="fr-FR"/>
        </w:rPr>
      </w:pPr>
      <w:r>
        <w:rPr>
          <w:rFonts w:eastAsia="Times New Roman"/>
          <w:lang w:val="fr-FR"/>
        </w:rPr>
        <w:lastRenderedPageBreak/>
        <w:tab/>
        <w:t>c)</w:t>
      </w:r>
      <w:r w:rsidR="00B03D00" w:rsidRPr="00BF7C35">
        <w:rPr>
          <w:rFonts w:eastAsia="Times New Roman"/>
          <w:lang w:val="fr-FR"/>
        </w:rPr>
        <w:tab/>
        <w:t>Un nombre relativement faible de procédures de contrôle avait été transféré aux lieux de départ et de destination, et des efforts supplémentaires da</w:t>
      </w:r>
      <w:r>
        <w:rPr>
          <w:rFonts w:eastAsia="Times New Roman"/>
          <w:lang w:val="fr-FR"/>
        </w:rPr>
        <w:t>ns ce sens étaient souhaitables;</w:t>
      </w:r>
    </w:p>
    <w:p w:rsidR="00B03D00" w:rsidRPr="00BF7C35" w:rsidRDefault="00D916A2" w:rsidP="00D916A2">
      <w:pPr>
        <w:pStyle w:val="SingleTxt"/>
        <w:rPr>
          <w:rFonts w:eastAsia="Times New Roman"/>
          <w:lang w:val="fr-FR"/>
        </w:rPr>
      </w:pPr>
      <w:r>
        <w:rPr>
          <w:rFonts w:eastAsia="Times New Roman"/>
          <w:lang w:val="fr-FR"/>
        </w:rPr>
        <w:tab/>
      </w:r>
      <w:r w:rsidR="00B03D00" w:rsidRPr="00BF7C35">
        <w:rPr>
          <w:rFonts w:eastAsia="Times New Roman"/>
          <w:lang w:val="fr-FR"/>
        </w:rPr>
        <w:t>d)</w:t>
      </w:r>
      <w:r w:rsidR="00B03D00" w:rsidRPr="00BF7C35">
        <w:rPr>
          <w:rFonts w:eastAsia="Times New Roman"/>
          <w:lang w:val="fr-FR"/>
        </w:rPr>
        <w:tab/>
        <w:t>Des progrès insuffisants avaient également été constatés en ce qui concernait la reconnaissance du Certificat international de contrôle technique et du Certificat internation</w:t>
      </w:r>
      <w:r>
        <w:rPr>
          <w:rFonts w:eastAsia="Times New Roman"/>
          <w:lang w:val="fr-FR"/>
        </w:rPr>
        <w:t>al de pesée de véhicule (CIPV).</w:t>
      </w:r>
    </w:p>
    <w:p w:rsidR="00B03D00" w:rsidRDefault="00B03D00" w:rsidP="00F1522D">
      <w:pPr>
        <w:pStyle w:val="SingleTxt"/>
        <w:numPr>
          <w:ilvl w:val="0"/>
          <w:numId w:val="9"/>
        </w:numPr>
        <w:tabs>
          <w:tab w:val="clear" w:pos="475"/>
          <w:tab w:val="num" w:pos="1742"/>
        </w:tabs>
        <w:ind w:left="1267"/>
        <w:rPr>
          <w:rFonts w:eastAsia="Times New Roman"/>
          <w:lang w:val="fr-FR"/>
        </w:rPr>
      </w:pPr>
      <w:r w:rsidRPr="00BF7C35">
        <w:rPr>
          <w:rFonts w:eastAsia="Times New Roman"/>
          <w:lang w:val="fr-FR"/>
        </w:rPr>
        <w:t>Le Comité se s</w:t>
      </w:r>
      <w:r w:rsidR="00D916A2">
        <w:rPr>
          <w:rFonts w:eastAsia="Times New Roman"/>
          <w:lang w:val="fr-FR"/>
        </w:rPr>
        <w:t>ouviendra sans doute que, le 30 </w:t>
      </w:r>
      <w:r w:rsidRPr="00BF7C35">
        <w:rPr>
          <w:rFonts w:eastAsia="Times New Roman"/>
          <w:lang w:val="fr-FR"/>
        </w:rPr>
        <w:t>septembre 2014, conformément à l</w:t>
      </w:r>
      <w:r>
        <w:rPr>
          <w:rFonts w:eastAsia="Times New Roman"/>
          <w:lang w:val="fr-FR"/>
        </w:rPr>
        <w:t>’</w:t>
      </w:r>
      <w:r w:rsidR="00D916A2">
        <w:rPr>
          <w:rFonts w:eastAsia="Times New Roman"/>
          <w:lang w:val="fr-FR"/>
        </w:rPr>
        <w:t>article </w:t>
      </w:r>
      <w:r w:rsidRPr="00BF7C35">
        <w:rPr>
          <w:rFonts w:eastAsia="Times New Roman"/>
          <w:lang w:val="fr-FR"/>
        </w:rPr>
        <w:t>5 de l</w:t>
      </w:r>
      <w:r>
        <w:rPr>
          <w:rFonts w:eastAsia="Times New Roman"/>
          <w:lang w:val="fr-FR"/>
        </w:rPr>
        <w:t>’</w:t>
      </w:r>
      <w:r w:rsidR="00D916A2">
        <w:rPr>
          <w:rFonts w:eastAsia="Times New Roman"/>
          <w:lang w:val="fr-FR"/>
        </w:rPr>
        <w:t>annexe </w:t>
      </w:r>
      <w:r w:rsidRPr="00BF7C35">
        <w:rPr>
          <w:rFonts w:eastAsia="Times New Roman"/>
          <w:lang w:val="fr-FR"/>
        </w:rPr>
        <w:t>8 de la Convention sur l</w:t>
      </w:r>
      <w:r>
        <w:rPr>
          <w:rFonts w:eastAsia="Times New Roman"/>
          <w:lang w:val="fr-FR"/>
        </w:rPr>
        <w:t>’</w:t>
      </w:r>
      <w:r w:rsidRPr="00BF7C35">
        <w:rPr>
          <w:rFonts w:eastAsia="Times New Roman"/>
          <w:lang w:val="fr-FR"/>
        </w:rPr>
        <w:t>harmonisation, le premier CIPV avait été délivré en République de Moldova. La Géorgie et l</w:t>
      </w:r>
      <w:r>
        <w:rPr>
          <w:rFonts w:eastAsia="Times New Roman"/>
          <w:lang w:val="fr-FR"/>
        </w:rPr>
        <w:t>’</w:t>
      </w:r>
      <w:r w:rsidRPr="00BF7C35">
        <w:rPr>
          <w:rFonts w:eastAsia="Times New Roman"/>
          <w:lang w:val="fr-FR"/>
        </w:rPr>
        <w:t>Ukraine avaient été les premiers pays à accepter ce CIPV. Compte tenu des résultats de la dernière enquête sur la mise en œuvre de l</w:t>
      </w:r>
      <w:r>
        <w:rPr>
          <w:rFonts w:eastAsia="Times New Roman"/>
          <w:lang w:val="fr-FR"/>
        </w:rPr>
        <w:t>’</w:t>
      </w:r>
      <w:r w:rsidRPr="00BF7C35">
        <w:rPr>
          <w:rFonts w:eastAsia="Times New Roman"/>
          <w:lang w:val="fr-FR"/>
        </w:rPr>
        <w:t>annexe</w:t>
      </w:r>
      <w:r w:rsidR="00D916A2">
        <w:rPr>
          <w:rFonts w:eastAsia="Times New Roman"/>
          <w:lang w:val="fr-FR"/>
        </w:rPr>
        <w:t> </w:t>
      </w:r>
      <w:r w:rsidRPr="00BF7C35">
        <w:rPr>
          <w:rFonts w:eastAsia="Times New Roman"/>
          <w:lang w:val="fr-FR"/>
        </w:rPr>
        <w:t>8 de la Convention sur l</w:t>
      </w:r>
      <w:r>
        <w:rPr>
          <w:rFonts w:eastAsia="Times New Roman"/>
          <w:lang w:val="fr-FR"/>
        </w:rPr>
        <w:t>’</w:t>
      </w:r>
      <w:r w:rsidRPr="00BF7C35">
        <w:rPr>
          <w:rFonts w:eastAsia="Times New Roman"/>
          <w:lang w:val="fr-FR"/>
        </w:rPr>
        <w:t>harmonisation, le Comité souhaitera peut-être encourager les Parties contractantes à la Convention à utiliser davantage le CIPV.</w:t>
      </w:r>
    </w:p>
    <w:p w:rsidR="00D916A2" w:rsidRPr="00D916A2" w:rsidRDefault="00D916A2" w:rsidP="00D916A2">
      <w:pPr>
        <w:pStyle w:val="SingleTxt"/>
        <w:spacing w:after="0" w:line="120" w:lineRule="exact"/>
        <w:rPr>
          <w:sz w:val="10"/>
          <w:lang w:val="fr-FR"/>
        </w:rPr>
      </w:pPr>
    </w:p>
    <w:p w:rsidR="00D916A2" w:rsidRPr="00D916A2" w:rsidRDefault="00D916A2" w:rsidP="00D916A2">
      <w:pPr>
        <w:pStyle w:val="SingleTxt"/>
        <w:spacing w:after="0" w:line="120" w:lineRule="exact"/>
        <w:rPr>
          <w:sz w:val="10"/>
          <w:lang w:val="fr-FR"/>
        </w:rPr>
      </w:pPr>
    </w:p>
    <w:p w:rsidR="00B03D00" w:rsidRDefault="00B03D00" w:rsidP="00D916A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tab/>
        <w:t>C.</w:t>
      </w:r>
      <w:r w:rsidRPr="00BF7C35">
        <w:rPr>
          <w:lang w:val="fr-FR"/>
        </w:rPr>
        <w:tab/>
        <w:t>Nouvelle annexe 10 à la Convention sur l</w:t>
      </w:r>
      <w:r>
        <w:rPr>
          <w:lang w:val="fr-FR"/>
        </w:rPr>
        <w:t>’</w:t>
      </w:r>
      <w:r w:rsidRPr="00BF7C35">
        <w:rPr>
          <w:lang w:val="fr-FR"/>
        </w:rPr>
        <w:t xml:space="preserve">harmonisation, </w:t>
      </w:r>
      <w:r w:rsidR="00D916A2">
        <w:rPr>
          <w:lang w:val="fr-FR"/>
        </w:rPr>
        <w:br/>
      </w:r>
      <w:r w:rsidRPr="00BF7C35">
        <w:rPr>
          <w:lang w:val="fr-FR"/>
        </w:rPr>
        <w:t>relative aux ports maritimes</w:t>
      </w:r>
    </w:p>
    <w:p w:rsidR="00D916A2" w:rsidRPr="00D916A2" w:rsidRDefault="00D916A2" w:rsidP="00D916A2">
      <w:pPr>
        <w:pStyle w:val="SingleTxt"/>
        <w:spacing w:after="0" w:line="120" w:lineRule="exact"/>
        <w:rPr>
          <w:sz w:val="10"/>
          <w:lang w:val="fr-FR"/>
        </w:rPr>
      </w:pPr>
    </w:p>
    <w:p w:rsidR="00D916A2" w:rsidRPr="00D916A2" w:rsidRDefault="00D916A2" w:rsidP="00D916A2">
      <w:pPr>
        <w:pStyle w:val="SingleTxt"/>
        <w:spacing w:after="0" w:line="120" w:lineRule="exact"/>
        <w:rPr>
          <w:sz w:val="10"/>
          <w:lang w:val="fr-FR"/>
        </w:rPr>
      </w:pPr>
    </w:p>
    <w:p w:rsidR="00B03D00" w:rsidRDefault="00B03D00" w:rsidP="00F1522D">
      <w:pPr>
        <w:pStyle w:val="SingleTxt"/>
        <w:numPr>
          <w:ilvl w:val="0"/>
          <w:numId w:val="9"/>
        </w:numPr>
        <w:tabs>
          <w:tab w:val="clear" w:pos="475"/>
          <w:tab w:val="num" w:pos="1742"/>
        </w:tabs>
        <w:ind w:left="1267"/>
        <w:rPr>
          <w:rFonts w:eastAsia="Times New Roman"/>
          <w:lang w:val="fr-FR"/>
        </w:rPr>
      </w:pPr>
      <w:r w:rsidRPr="00BF7C35">
        <w:rPr>
          <w:rFonts w:eastAsia="Times New Roman"/>
          <w:lang w:val="fr-FR"/>
        </w:rPr>
        <w:t>À sa précédente session, le Comité avait appuyé la décision du Comité d</w:t>
      </w:r>
      <w:r>
        <w:rPr>
          <w:rFonts w:eastAsia="Times New Roman"/>
          <w:lang w:val="fr-FR"/>
        </w:rPr>
        <w:t>’</w:t>
      </w:r>
      <w:r w:rsidRPr="00BF7C35">
        <w:rPr>
          <w:rFonts w:eastAsia="Times New Roman"/>
          <w:lang w:val="fr-FR"/>
        </w:rPr>
        <w:t>administration de la Convention (</w:t>
      </w:r>
      <w:hyperlink r:id="rId17" w:tgtFrame="_blank" w:history="1">
        <w:r w:rsidRPr="00BF7C35">
          <w:rPr>
            <w:rStyle w:val="Hyperlink"/>
            <w:rFonts w:eastAsia="Times New Roman"/>
            <w:lang w:val="fr-FR"/>
          </w:rPr>
          <w:t>AC.3</w:t>
        </w:r>
      </w:hyperlink>
      <w:r w:rsidRPr="00BF7C35">
        <w:rPr>
          <w:rFonts w:eastAsia="Times New Roman"/>
          <w:lang w:val="fr-FR"/>
        </w:rPr>
        <w:t>) d</w:t>
      </w:r>
      <w:r>
        <w:rPr>
          <w:rFonts w:eastAsia="Times New Roman"/>
          <w:lang w:val="fr-FR"/>
        </w:rPr>
        <w:t>’</w:t>
      </w:r>
      <w:r w:rsidRPr="00BF7C35">
        <w:rPr>
          <w:rFonts w:eastAsia="Times New Roman"/>
          <w:lang w:val="fr-FR"/>
        </w:rPr>
        <w:t>étudier la possibilité d</w:t>
      </w:r>
      <w:r>
        <w:rPr>
          <w:rFonts w:eastAsia="Times New Roman"/>
          <w:lang w:val="fr-FR"/>
        </w:rPr>
        <w:t>’</w:t>
      </w:r>
      <w:r w:rsidRPr="00BF7C35">
        <w:rPr>
          <w:rFonts w:eastAsia="Times New Roman"/>
          <w:lang w:val="fr-FR"/>
        </w:rPr>
        <w:t>élaborer une nouvelle annexe à la Convention portant sur les procédures de passage des frontières dans les ports maritimes (</w:t>
      </w:r>
      <w:hyperlink r:id="rId18" w:tgtFrame="_blank" w:history="1">
        <w:r w:rsidRPr="00BF7C35">
          <w:rPr>
            <w:rStyle w:val="Hyperlink"/>
            <w:rFonts w:eastAsia="Times New Roman"/>
            <w:lang w:val="fr-FR"/>
          </w:rPr>
          <w:t>ECE/TRANS/248</w:t>
        </w:r>
      </w:hyperlink>
      <w:r w:rsidRPr="00BF7C35">
        <w:rPr>
          <w:rFonts w:eastAsia="Times New Roman"/>
          <w:lang w:val="fr-FR"/>
        </w:rPr>
        <w:t>, par.106). Compte tenu des premières réactions favorables suscitées par cette décision, de la part des associations professionnelles et des experts nationaux, le WP.30 avait chargé le secrétariat d</w:t>
      </w:r>
      <w:r>
        <w:rPr>
          <w:rFonts w:eastAsia="Times New Roman"/>
          <w:lang w:val="fr-FR"/>
        </w:rPr>
        <w:t>’</w:t>
      </w:r>
      <w:r w:rsidRPr="00BF7C35">
        <w:rPr>
          <w:rFonts w:eastAsia="Times New Roman"/>
          <w:lang w:val="fr-FR"/>
        </w:rPr>
        <w:t>établir un avant-projet d</w:t>
      </w:r>
      <w:r>
        <w:rPr>
          <w:rFonts w:eastAsia="Times New Roman"/>
          <w:lang w:val="fr-FR"/>
        </w:rPr>
        <w:t>’</w:t>
      </w:r>
      <w:r w:rsidR="00D916A2">
        <w:rPr>
          <w:rFonts w:eastAsia="Times New Roman"/>
          <w:lang w:val="fr-FR"/>
        </w:rPr>
        <w:t>annexe </w:t>
      </w:r>
      <w:r w:rsidRPr="00BF7C35">
        <w:rPr>
          <w:rFonts w:eastAsia="Times New Roman"/>
          <w:lang w:val="fr-FR"/>
        </w:rPr>
        <w:t>10, qui avait été présenté et examiné à sa 141</w:t>
      </w:r>
      <w:r w:rsidRPr="00BF7C35">
        <w:rPr>
          <w:rFonts w:eastAsia="Times New Roman"/>
          <w:vertAlign w:val="superscript"/>
          <w:lang w:val="fr-FR"/>
        </w:rPr>
        <w:t>e</w:t>
      </w:r>
      <w:r w:rsidR="00D916A2">
        <w:rPr>
          <w:rFonts w:eastAsia="Times New Roman"/>
          <w:lang w:val="fr-FR"/>
        </w:rPr>
        <w:t> </w:t>
      </w:r>
      <w:r w:rsidRPr="00BF7C35">
        <w:rPr>
          <w:rFonts w:eastAsia="Times New Roman"/>
          <w:lang w:val="fr-FR"/>
        </w:rPr>
        <w:t>session en octobre 2015. Le Comité souhaitera peut-être noter que ce projet avait bénéficié de contributions de fond de l</w:t>
      </w:r>
      <w:r>
        <w:rPr>
          <w:rFonts w:eastAsia="Times New Roman"/>
          <w:lang w:val="fr-FR"/>
        </w:rPr>
        <w:t>’</w:t>
      </w:r>
      <w:r w:rsidRPr="00BF7C35">
        <w:rPr>
          <w:rFonts w:eastAsia="Times New Roman"/>
          <w:lang w:val="fr-FR"/>
        </w:rPr>
        <w:t>Organisation maritime internationale (OMI) et d</w:t>
      </w:r>
      <w:r>
        <w:rPr>
          <w:rFonts w:eastAsia="Times New Roman"/>
          <w:lang w:val="fr-FR"/>
        </w:rPr>
        <w:t>’</w:t>
      </w:r>
      <w:r w:rsidRPr="00BF7C35">
        <w:rPr>
          <w:rFonts w:eastAsia="Times New Roman"/>
          <w:lang w:val="fr-FR"/>
        </w:rPr>
        <w:t>associations professionnelles telles que l</w:t>
      </w:r>
      <w:r>
        <w:rPr>
          <w:rFonts w:eastAsia="Times New Roman"/>
          <w:lang w:val="fr-FR"/>
        </w:rPr>
        <w:t>’</w:t>
      </w:r>
      <w:r w:rsidRPr="00BF7C35">
        <w:rPr>
          <w:rFonts w:eastAsia="Times New Roman"/>
          <w:lang w:val="fr-FR"/>
        </w:rPr>
        <w:t>Organisation des ports maritimes européens (ESPO), International Port Community Systems Association (IPCSA), la Fédération des associations nationales de courtiers et agents maritimes (FONASBA), l</w:t>
      </w:r>
      <w:r>
        <w:rPr>
          <w:rFonts w:eastAsia="Times New Roman"/>
          <w:lang w:val="fr-FR"/>
        </w:rPr>
        <w:t>’</w:t>
      </w:r>
      <w:r w:rsidRPr="00BF7C35">
        <w:rPr>
          <w:rFonts w:eastAsia="Times New Roman"/>
          <w:lang w:val="fr-FR"/>
        </w:rPr>
        <w:t>Association internationale des ports (AIP) et la Fédération européenne des opérateurs portuaires privés (FEPORT). Sur la base de ce premier projet, qui figure dans le document ECE/TRANS/WP.30/2015/21, le WP.30 a invité toutes les Parties contractantes à échanger des informations avec les organismes compétents, les autorités portuaires et les exploitants commerciaux sur les travaux en cours relatifs à cette nouvelle annexe, afin d</w:t>
      </w:r>
      <w:r>
        <w:rPr>
          <w:rFonts w:eastAsia="Times New Roman"/>
          <w:lang w:val="fr-FR"/>
        </w:rPr>
        <w:t>’</w:t>
      </w:r>
      <w:r w:rsidRPr="00BF7C35">
        <w:rPr>
          <w:rFonts w:eastAsia="Times New Roman"/>
          <w:lang w:val="fr-FR"/>
        </w:rPr>
        <w:t>obtenir d</w:t>
      </w:r>
      <w:r>
        <w:rPr>
          <w:rFonts w:eastAsia="Times New Roman"/>
          <w:lang w:val="fr-FR"/>
        </w:rPr>
        <w:t>’</w:t>
      </w:r>
      <w:r w:rsidRPr="00BF7C35">
        <w:rPr>
          <w:rFonts w:eastAsia="Times New Roman"/>
          <w:lang w:val="fr-FR"/>
        </w:rPr>
        <w:t>autres observations sur le projet et de faciliter et accélérer sa finalisation. Le WP.30 continuera à élaborer le projet d</w:t>
      </w:r>
      <w:r>
        <w:rPr>
          <w:rFonts w:eastAsia="Times New Roman"/>
          <w:lang w:val="fr-FR"/>
        </w:rPr>
        <w:t>’</w:t>
      </w:r>
      <w:r w:rsidR="00D916A2">
        <w:rPr>
          <w:rFonts w:eastAsia="Times New Roman"/>
          <w:lang w:val="fr-FR"/>
        </w:rPr>
        <w:t>annexe </w:t>
      </w:r>
      <w:r w:rsidRPr="00BF7C35">
        <w:rPr>
          <w:rFonts w:eastAsia="Times New Roman"/>
          <w:lang w:val="fr-FR"/>
        </w:rPr>
        <w:t>10 et rendra compte des progrès accomplis à la prochaine session du Comité des transports intérieurs.</w:t>
      </w:r>
    </w:p>
    <w:p w:rsidR="00D916A2" w:rsidRPr="00D916A2" w:rsidRDefault="00D916A2" w:rsidP="00D916A2">
      <w:pPr>
        <w:pStyle w:val="SingleTxt"/>
        <w:spacing w:after="0" w:line="120" w:lineRule="exact"/>
        <w:rPr>
          <w:sz w:val="10"/>
          <w:lang w:val="fr-FR"/>
        </w:rPr>
      </w:pPr>
    </w:p>
    <w:p w:rsidR="00D916A2" w:rsidRPr="00D916A2" w:rsidRDefault="00D916A2" w:rsidP="00D916A2">
      <w:pPr>
        <w:pStyle w:val="SingleTxt"/>
        <w:spacing w:after="0" w:line="120" w:lineRule="exact"/>
        <w:rPr>
          <w:sz w:val="10"/>
          <w:lang w:val="fr-FR"/>
        </w:rPr>
      </w:pPr>
    </w:p>
    <w:p w:rsidR="00B03D00" w:rsidRDefault="00B03D00" w:rsidP="00D916A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szCs w:val="24"/>
          <w:lang w:val="fr-FR"/>
        </w:rPr>
        <w:tab/>
      </w:r>
      <w:r w:rsidRPr="00BF7C35">
        <w:rPr>
          <w:lang w:val="fr-FR"/>
        </w:rPr>
        <w:t>III.</w:t>
      </w:r>
      <w:r w:rsidRPr="00BF7C35">
        <w:rPr>
          <w:lang w:val="fr-FR"/>
        </w:rPr>
        <w:tab/>
        <w:t xml:space="preserve">Convention internationale pour faciliter le franchissement </w:t>
      </w:r>
      <w:r w:rsidR="00D916A2">
        <w:rPr>
          <w:lang w:val="fr-FR"/>
        </w:rPr>
        <w:br/>
      </w:r>
      <w:r w:rsidRPr="00BF7C35">
        <w:rPr>
          <w:lang w:val="fr-FR"/>
        </w:rPr>
        <w:t>des frontières aux voyageurs et aux bagages transportés</w:t>
      </w:r>
      <w:r w:rsidR="00D916A2">
        <w:rPr>
          <w:lang w:val="fr-FR"/>
        </w:rPr>
        <w:t xml:space="preserve"> </w:t>
      </w:r>
      <w:r w:rsidR="00D916A2">
        <w:rPr>
          <w:lang w:val="fr-FR"/>
        </w:rPr>
        <w:br/>
        <w:t>par voie ferrée, du 10 </w:t>
      </w:r>
      <w:r w:rsidRPr="00BF7C35">
        <w:rPr>
          <w:lang w:val="fr-FR"/>
        </w:rPr>
        <w:t>janvier 1952</w:t>
      </w:r>
    </w:p>
    <w:p w:rsidR="00D916A2" w:rsidRPr="00D916A2" w:rsidRDefault="00D916A2" w:rsidP="00D916A2">
      <w:pPr>
        <w:pStyle w:val="SingleTxt"/>
        <w:spacing w:after="0" w:line="120" w:lineRule="exact"/>
        <w:rPr>
          <w:sz w:val="10"/>
          <w:lang w:val="fr-FR"/>
        </w:rPr>
      </w:pPr>
    </w:p>
    <w:p w:rsidR="00D916A2" w:rsidRPr="00D916A2" w:rsidRDefault="00D916A2" w:rsidP="00D916A2">
      <w:pPr>
        <w:pStyle w:val="SingleTxt"/>
        <w:spacing w:after="0" w:line="120" w:lineRule="exact"/>
        <w:rPr>
          <w:sz w:val="10"/>
          <w:lang w:val="fr-FR"/>
        </w:rPr>
      </w:pPr>
    </w:p>
    <w:p w:rsidR="00B03D00" w:rsidRDefault="00B03D00" w:rsidP="00F1522D">
      <w:pPr>
        <w:pStyle w:val="SingleTxt"/>
        <w:numPr>
          <w:ilvl w:val="0"/>
          <w:numId w:val="9"/>
        </w:numPr>
        <w:tabs>
          <w:tab w:val="clear" w:pos="475"/>
          <w:tab w:val="num" w:pos="1742"/>
        </w:tabs>
        <w:ind w:left="1267"/>
        <w:rPr>
          <w:rFonts w:eastAsia="Times New Roman"/>
          <w:lang w:val="fr-FR"/>
        </w:rPr>
      </w:pPr>
      <w:r w:rsidRPr="00BF7C35">
        <w:rPr>
          <w:rFonts w:eastAsia="Times New Roman"/>
          <w:lang w:val="fr-FR"/>
        </w:rPr>
        <w:t>Le Comité se souviendra sans doute qu</w:t>
      </w:r>
      <w:r>
        <w:rPr>
          <w:rFonts w:eastAsia="Times New Roman"/>
          <w:lang w:val="fr-FR"/>
        </w:rPr>
        <w:t>’</w:t>
      </w:r>
      <w:r w:rsidRPr="00BF7C35">
        <w:rPr>
          <w:rFonts w:eastAsia="Times New Roman"/>
          <w:lang w:val="fr-FR"/>
        </w:rPr>
        <w:t>à sa session de 2013, plusieurs délégations avaient préconisé l</w:t>
      </w:r>
      <w:r>
        <w:rPr>
          <w:rFonts w:eastAsia="Times New Roman"/>
          <w:lang w:val="fr-FR"/>
        </w:rPr>
        <w:t>’</w:t>
      </w:r>
      <w:r w:rsidRPr="00BF7C35">
        <w:rPr>
          <w:rFonts w:eastAsia="Times New Roman"/>
          <w:lang w:val="fr-FR"/>
        </w:rPr>
        <w:t>élaboration d</w:t>
      </w:r>
      <w:r>
        <w:rPr>
          <w:rFonts w:eastAsia="Times New Roman"/>
          <w:lang w:val="fr-FR"/>
        </w:rPr>
        <w:t>’</w:t>
      </w:r>
      <w:r w:rsidRPr="00BF7C35">
        <w:rPr>
          <w:rFonts w:eastAsia="Times New Roman"/>
          <w:lang w:val="fr-FR"/>
        </w:rPr>
        <w:t>un nouvel accord international, qu</w:t>
      </w:r>
      <w:r>
        <w:rPr>
          <w:rFonts w:eastAsia="Times New Roman"/>
          <w:lang w:val="fr-FR"/>
        </w:rPr>
        <w:t>’</w:t>
      </w:r>
      <w:r w:rsidRPr="00BF7C35">
        <w:rPr>
          <w:rFonts w:eastAsia="Times New Roman"/>
          <w:lang w:val="fr-FR"/>
        </w:rPr>
        <w:t>elles jugeaient nécessaire pour faciliter le franchissement des frontières nationales par voie ferrée, afin de remplacer la Convention de 1952, jugée obsolète. Cela étant, un groupe informel d</w:t>
      </w:r>
      <w:r>
        <w:rPr>
          <w:rFonts w:eastAsia="Times New Roman"/>
          <w:lang w:val="fr-FR"/>
        </w:rPr>
        <w:t>’</w:t>
      </w:r>
      <w:r w:rsidRPr="00BF7C35">
        <w:rPr>
          <w:rFonts w:eastAsia="Times New Roman"/>
          <w:lang w:val="fr-FR"/>
        </w:rPr>
        <w:t>experts chargé d</w:t>
      </w:r>
      <w:r>
        <w:rPr>
          <w:rFonts w:eastAsia="Times New Roman"/>
          <w:lang w:val="fr-FR"/>
        </w:rPr>
        <w:t>’</w:t>
      </w:r>
      <w:r w:rsidRPr="00BF7C35">
        <w:rPr>
          <w:rFonts w:eastAsia="Times New Roman"/>
          <w:lang w:val="fr-FR"/>
        </w:rPr>
        <w:t>élaborer une telle convention a commencé ses travaux en septembre 2014 à Varsovie avec des représentants de 12</w:t>
      </w:r>
      <w:r w:rsidR="00D916A2">
        <w:rPr>
          <w:rFonts w:eastAsia="Times New Roman"/>
          <w:lang w:val="fr-FR"/>
        </w:rPr>
        <w:t> </w:t>
      </w:r>
      <w:r w:rsidRPr="00BF7C35">
        <w:rPr>
          <w:rFonts w:eastAsia="Times New Roman"/>
          <w:lang w:val="fr-FR"/>
        </w:rPr>
        <w:t>pays. Ces réunions étaient organisées à l</w:t>
      </w:r>
      <w:r>
        <w:rPr>
          <w:rFonts w:eastAsia="Times New Roman"/>
          <w:lang w:val="fr-FR"/>
        </w:rPr>
        <w:t>’</w:t>
      </w:r>
      <w:r w:rsidRPr="00BF7C35">
        <w:rPr>
          <w:rFonts w:eastAsia="Times New Roman"/>
          <w:lang w:val="fr-FR"/>
        </w:rPr>
        <w:t>initiative de l</w:t>
      </w:r>
      <w:r>
        <w:rPr>
          <w:rFonts w:eastAsia="Times New Roman"/>
          <w:lang w:val="fr-FR"/>
        </w:rPr>
        <w:t>’</w:t>
      </w:r>
      <w:r w:rsidRPr="00BF7C35">
        <w:rPr>
          <w:rFonts w:eastAsia="Times New Roman"/>
          <w:lang w:val="fr-FR"/>
        </w:rPr>
        <w:t>OSJD et sous l</w:t>
      </w:r>
      <w:r>
        <w:rPr>
          <w:rFonts w:eastAsia="Times New Roman"/>
          <w:lang w:val="fr-FR"/>
        </w:rPr>
        <w:t>’</w:t>
      </w:r>
      <w:r w:rsidRPr="00BF7C35">
        <w:rPr>
          <w:rFonts w:eastAsia="Times New Roman"/>
          <w:lang w:val="fr-FR"/>
        </w:rPr>
        <w:t>égide de la CEE. Le prin</w:t>
      </w:r>
      <w:r w:rsidR="00D916A2">
        <w:rPr>
          <w:rFonts w:eastAsia="Times New Roman"/>
          <w:lang w:val="fr-FR"/>
        </w:rPr>
        <w:t xml:space="preserve">cipal résultat de ces travaux a </w:t>
      </w:r>
      <w:r w:rsidRPr="00BF7C35">
        <w:rPr>
          <w:rFonts w:eastAsia="Times New Roman"/>
          <w:lang w:val="fr-FR"/>
        </w:rPr>
        <w:t>été l</w:t>
      </w:r>
      <w:r>
        <w:rPr>
          <w:rFonts w:eastAsia="Times New Roman"/>
          <w:lang w:val="fr-FR"/>
        </w:rPr>
        <w:t>’</w:t>
      </w:r>
      <w:r w:rsidRPr="00BF7C35">
        <w:rPr>
          <w:rFonts w:eastAsia="Times New Roman"/>
          <w:lang w:val="fr-FR"/>
        </w:rPr>
        <w:t>avant-projet d</w:t>
      </w:r>
      <w:r>
        <w:rPr>
          <w:rFonts w:eastAsia="Times New Roman"/>
          <w:lang w:val="fr-FR"/>
        </w:rPr>
        <w:t>’</w:t>
      </w:r>
      <w:r w:rsidRPr="00BF7C35">
        <w:rPr>
          <w:rFonts w:eastAsia="Times New Roman"/>
          <w:lang w:val="fr-FR"/>
        </w:rPr>
        <w:t xml:space="preserve">une nouvelle Convention, qui a été présenté au </w:t>
      </w:r>
      <w:r w:rsidRPr="00BF7C35">
        <w:rPr>
          <w:rFonts w:eastAsia="Times New Roman"/>
          <w:lang w:val="fr-FR"/>
        </w:rPr>
        <w:lastRenderedPageBreak/>
        <w:t xml:space="preserve">WP.30 en octobre 2015 (voir </w:t>
      </w:r>
      <w:hyperlink r:id="rId19" w:tgtFrame="_blank" w:history="1">
        <w:r w:rsidRPr="00BF7C35">
          <w:rPr>
            <w:rStyle w:val="Hyperlink"/>
            <w:rFonts w:eastAsia="Times New Roman"/>
            <w:lang w:val="fr-FR"/>
          </w:rPr>
          <w:t>ECE/TRANS/WP.30/2015/22</w:t>
        </w:r>
      </w:hyperlink>
      <w:r w:rsidRPr="00BF7C35">
        <w:rPr>
          <w:rFonts w:eastAsia="Times New Roman"/>
          <w:lang w:val="fr-FR"/>
        </w:rPr>
        <w:t>). Ce projet de Convention n</w:t>
      </w:r>
      <w:r>
        <w:rPr>
          <w:rFonts w:eastAsia="Times New Roman"/>
          <w:lang w:val="fr-FR"/>
        </w:rPr>
        <w:t>’</w:t>
      </w:r>
      <w:r w:rsidRPr="00BF7C35">
        <w:rPr>
          <w:rFonts w:eastAsia="Times New Roman"/>
          <w:lang w:val="fr-FR"/>
        </w:rPr>
        <w:t>est pas exclusivement une convention douanière, mais un instrument juridique complet censé s</w:t>
      </w:r>
      <w:r>
        <w:rPr>
          <w:rFonts w:eastAsia="Times New Roman"/>
          <w:lang w:val="fr-FR"/>
        </w:rPr>
        <w:t>’</w:t>
      </w:r>
      <w:r w:rsidRPr="00BF7C35">
        <w:rPr>
          <w:rFonts w:eastAsia="Times New Roman"/>
          <w:lang w:val="fr-FR"/>
        </w:rPr>
        <w:t>appliquer à tous les types de contrôles aux frontières qui peuvent être effectués par les organismes de contrôle des frontières, y compris la police des frontières, dans le cadre de la circulation internationale de voyageurs et de leurs bagages. Le Groupe de travail a fait remarquer qu</w:t>
      </w:r>
      <w:r>
        <w:rPr>
          <w:rFonts w:eastAsia="Times New Roman"/>
          <w:lang w:val="fr-FR"/>
        </w:rPr>
        <w:t>’</w:t>
      </w:r>
      <w:r w:rsidRPr="00BF7C35">
        <w:rPr>
          <w:rFonts w:eastAsia="Times New Roman"/>
          <w:lang w:val="fr-FR"/>
        </w:rPr>
        <w:t>il était important d</w:t>
      </w:r>
      <w:r>
        <w:rPr>
          <w:rFonts w:eastAsia="Times New Roman"/>
          <w:lang w:val="fr-FR"/>
        </w:rPr>
        <w:t>’</w:t>
      </w:r>
      <w:r w:rsidRPr="00BF7C35">
        <w:rPr>
          <w:rFonts w:eastAsia="Times New Roman"/>
          <w:lang w:val="fr-FR"/>
        </w:rPr>
        <w:t>éviter les doubles emplois avec d</w:t>
      </w:r>
      <w:r>
        <w:rPr>
          <w:rFonts w:eastAsia="Times New Roman"/>
          <w:lang w:val="fr-FR"/>
        </w:rPr>
        <w:t>’</w:t>
      </w:r>
      <w:r w:rsidRPr="00BF7C35">
        <w:rPr>
          <w:rFonts w:eastAsia="Times New Roman"/>
          <w:lang w:val="fr-FR"/>
        </w:rPr>
        <w:t>autres instruments juridiques en vigueur et a chargé le secrétariat d</w:t>
      </w:r>
      <w:r>
        <w:rPr>
          <w:rFonts w:eastAsia="Times New Roman"/>
          <w:lang w:val="fr-FR"/>
        </w:rPr>
        <w:t>’</w:t>
      </w:r>
      <w:r w:rsidRPr="00BF7C35">
        <w:rPr>
          <w:rFonts w:eastAsia="Times New Roman"/>
          <w:lang w:val="fr-FR"/>
        </w:rPr>
        <w:t>établir, avec le concours de l</w:t>
      </w:r>
      <w:r>
        <w:rPr>
          <w:rFonts w:eastAsia="Times New Roman"/>
          <w:lang w:val="fr-FR"/>
        </w:rPr>
        <w:t>’</w:t>
      </w:r>
      <w:r w:rsidRPr="00BF7C35">
        <w:rPr>
          <w:rFonts w:eastAsia="Times New Roman"/>
          <w:lang w:val="fr-FR"/>
        </w:rPr>
        <w:t>OSJD, du groupe de travail informel et des délégations intéressées, un document contenant une analyse comparative de la nouvelle convention et d</w:t>
      </w:r>
      <w:r>
        <w:rPr>
          <w:rFonts w:eastAsia="Times New Roman"/>
          <w:lang w:val="fr-FR"/>
        </w:rPr>
        <w:t>’</w:t>
      </w:r>
      <w:r w:rsidRPr="00BF7C35">
        <w:rPr>
          <w:rFonts w:eastAsia="Times New Roman"/>
          <w:lang w:val="fr-FR"/>
        </w:rPr>
        <w:t>autres instruments juridiques pertinents, afin de faciliter l</w:t>
      </w:r>
      <w:r>
        <w:rPr>
          <w:rFonts w:eastAsia="Times New Roman"/>
          <w:lang w:val="fr-FR"/>
        </w:rPr>
        <w:t>’</w:t>
      </w:r>
      <w:r w:rsidRPr="00BF7C35">
        <w:rPr>
          <w:rFonts w:eastAsia="Times New Roman"/>
          <w:lang w:val="fr-FR"/>
        </w:rPr>
        <w:t>examen du projet de texte de la nouvelle convention dans le courant de l</w:t>
      </w:r>
      <w:r>
        <w:rPr>
          <w:rFonts w:eastAsia="Times New Roman"/>
          <w:lang w:val="fr-FR"/>
        </w:rPr>
        <w:t>’</w:t>
      </w:r>
      <w:r w:rsidRPr="00BF7C35">
        <w:rPr>
          <w:rFonts w:eastAsia="Times New Roman"/>
          <w:lang w:val="fr-FR"/>
        </w:rPr>
        <w:t>année 2016.</w:t>
      </w:r>
    </w:p>
    <w:p w:rsidR="00D916A2" w:rsidRPr="00D916A2" w:rsidRDefault="00D916A2" w:rsidP="00D916A2">
      <w:pPr>
        <w:pStyle w:val="SingleTxt"/>
        <w:spacing w:after="0" w:line="120" w:lineRule="exact"/>
        <w:rPr>
          <w:sz w:val="10"/>
          <w:lang w:val="fr-FR"/>
        </w:rPr>
      </w:pPr>
    </w:p>
    <w:p w:rsidR="00D916A2" w:rsidRPr="00D916A2" w:rsidRDefault="00D916A2" w:rsidP="00D916A2">
      <w:pPr>
        <w:pStyle w:val="SingleTxt"/>
        <w:spacing w:after="0" w:line="120" w:lineRule="exact"/>
        <w:rPr>
          <w:sz w:val="10"/>
          <w:lang w:val="fr-FR"/>
        </w:rPr>
      </w:pPr>
    </w:p>
    <w:p w:rsidR="00B03D00" w:rsidRDefault="00B03D00" w:rsidP="00D916A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szCs w:val="24"/>
          <w:lang w:val="fr-FR"/>
        </w:rPr>
        <w:tab/>
      </w:r>
      <w:r w:rsidRPr="00BF7C35">
        <w:rPr>
          <w:lang w:val="fr-FR"/>
        </w:rPr>
        <w:t>IV.</w:t>
      </w:r>
      <w:r w:rsidRPr="00BF7C35">
        <w:rPr>
          <w:lang w:val="fr-FR"/>
        </w:rPr>
        <w:tab/>
        <w:t>Conventions douanières relatives à l</w:t>
      </w:r>
      <w:r>
        <w:rPr>
          <w:lang w:val="fr-FR"/>
        </w:rPr>
        <w:t>’</w:t>
      </w:r>
      <w:r w:rsidRPr="00BF7C35">
        <w:rPr>
          <w:lang w:val="fr-FR"/>
        </w:rPr>
        <w:t xml:space="preserve">importation </w:t>
      </w:r>
      <w:r w:rsidR="00CF75F7">
        <w:rPr>
          <w:lang w:val="fr-FR"/>
        </w:rPr>
        <w:br/>
      </w:r>
      <w:r w:rsidRPr="00BF7C35">
        <w:rPr>
          <w:lang w:val="fr-FR"/>
        </w:rPr>
        <w:t xml:space="preserve">temporaire des véhicules routiers privés (1954) </w:t>
      </w:r>
      <w:r w:rsidR="00D916A2">
        <w:rPr>
          <w:lang w:val="fr-FR"/>
        </w:rPr>
        <w:br/>
      </w:r>
      <w:r w:rsidRPr="00BF7C35">
        <w:rPr>
          <w:lang w:val="fr-FR"/>
        </w:rPr>
        <w:t>et des véhicules routiers commerciaux (1956)</w:t>
      </w:r>
    </w:p>
    <w:p w:rsidR="00D916A2" w:rsidRPr="00D916A2" w:rsidRDefault="00D916A2" w:rsidP="00D916A2">
      <w:pPr>
        <w:pStyle w:val="SingleTxt"/>
        <w:spacing w:after="0" w:line="120" w:lineRule="exact"/>
        <w:rPr>
          <w:sz w:val="10"/>
          <w:lang w:val="fr-FR"/>
        </w:rPr>
      </w:pPr>
    </w:p>
    <w:p w:rsidR="00D916A2" w:rsidRPr="00D916A2" w:rsidRDefault="00D916A2" w:rsidP="00D916A2">
      <w:pPr>
        <w:pStyle w:val="SingleTxt"/>
        <w:spacing w:after="0" w:line="120" w:lineRule="exact"/>
        <w:rPr>
          <w:sz w:val="10"/>
          <w:lang w:val="fr-FR"/>
        </w:rPr>
      </w:pPr>
    </w:p>
    <w:p w:rsidR="00B03D00" w:rsidRDefault="00B03D00" w:rsidP="00F1522D">
      <w:pPr>
        <w:pStyle w:val="SingleTxt"/>
        <w:numPr>
          <w:ilvl w:val="0"/>
          <w:numId w:val="9"/>
        </w:numPr>
        <w:tabs>
          <w:tab w:val="clear" w:pos="475"/>
          <w:tab w:val="num" w:pos="1742"/>
        </w:tabs>
        <w:ind w:left="1267"/>
        <w:rPr>
          <w:rFonts w:eastAsia="Times New Roman"/>
          <w:lang w:val="fr-FR"/>
        </w:rPr>
      </w:pPr>
      <w:r w:rsidRPr="00BF7C35">
        <w:rPr>
          <w:rFonts w:eastAsia="Times New Roman"/>
          <w:lang w:val="fr-FR"/>
        </w:rPr>
        <w:t xml:space="preserve">À sa précédente session, le </w:t>
      </w:r>
      <w:r w:rsidR="00D916A2">
        <w:rPr>
          <w:rFonts w:eastAsia="Times New Roman"/>
          <w:lang w:val="fr-FR"/>
        </w:rPr>
        <w:t>Comité a été informé que, le 30 </w:t>
      </w:r>
      <w:r w:rsidRPr="00BF7C35">
        <w:rPr>
          <w:rFonts w:eastAsia="Times New Roman"/>
          <w:lang w:val="fr-FR"/>
        </w:rPr>
        <w:t>juin 2014, le Secrétaire général de l</w:t>
      </w:r>
      <w:r>
        <w:rPr>
          <w:rFonts w:eastAsia="Times New Roman"/>
          <w:lang w:val="fr-FR"/>
        </w:rPr>
        <w:t>’</w:t>
      </w:r>
      <w:r w:rsidRPr="00BF7C35">
        <w:rPr>
          <w:rFonts w:eastAsia="Times New Roman"/>
          <w:lang w:val="fr-FR"/>
        </w:rPr>
        <w:t>Organisation des Nations Unies, agissant en sa qualité de dépositaire, avait publié la notification dépositaire C.N.315.2014.TREATIES-XI.A.8, communiquant une proposition d</w:t>
      </w:r>
      <w:r>
        <w:rPr>
          <w:rFonts w:eastAsia="Times New Roman"/>
          <w:lang w:val="fr-FR"/>
        </w:rPr>
        <w:t>’</w:t>
      </w:r>
      <w:r w:rsidRPr="00BF7C35">
        <w:rPr>
          <w:rFonts w:eastAsia="Times New Roman"/>
          <w:lang w:val="fr-FR"/>
        </w:rPr>
        <w:t>amendement à la Convention douanière relative à l</w:t>
      </w:r>
      <w:r>
        <w:rPr>
          <w:rFonts w:eastAsia="Times New Roman"/>
          <w:lang w:val="fr-FR"/>
        </w:rPr>
        <w:t>’</w:t>
      </w:r>
      <w:r w:rsidRPr="00BF7C35">
        <w:rPr>
          <w:rFonts w:eastAsia="Times New Roman"/>
          <w:lang w:val="fr-FR"/>
        </w:rPr>
        <w:t>importation temporaire des véhicules routiers commerciaux (1954), transmise par le Gouvernement des Émirats arabes unis. Le délai de notification d</w:t>
      </w:r>
      <w:r>
        <w:rPr>
          <w:rFonts w:eastAsia="Times New Roman"/>
          <w:lang w:val="fr-FR"/>
        </w:rPr>
        <w:t>’</w:t>
      </w:r>
      <w:r w:rsidRPr="00BF7C35">
        <w:rPr>
          <w:rFonts w:eastAsia="Times New Roman"/>
          <w:lang w:val="fr-FR"/>
        </w:rPr>
        <w:t>objections à cet amendement avait expiré le 1</w:t>
      </w:r>
      <w:r w:rsidRPr="00D916A2">
        <w:rPr>
          <w:rFonts w:eastAsia="Times New Roman"/>
          <w:vertAlign w:val="superscript"/>
          <w:lang w:val="fr-FR"/>
        </w:rPr>
        <w:t>er</w:t>
      </w:r>
      <w:r w:rsidRPr="00BF7C35">
        <w:rPr>
          <w:rFonts w:eastAsia="Times New Roman"/>
          <w:lang w:val="fr-FR"/>
        </w:rPr>
        <w:t> janvier 2015. Par conséquent, dès le 1</w:t>
      </w:r>
      <w:r w:rsidRPr="00D916A2">
        <w:rPr>
          <w:rFonts w:eastAsia="Times New Roman"/>
          <w:vertAlign w:val="superscript"/>
          <w:lang w:val="fr-FR"/>
        </w:rPr>
        <w:t>er</w:t>
      </w:r>
      <w:r w:rsidRPr="00BF7C35">
        <w:rPr>
          <w:rFonts w:eastAsia="Times New Roman"/>
          <w:lang w:val="fr-FR"/>
        </w:rPr>
        <w:t> avril 2015, l</w:t>
      </w:r>
      <w:r>
        <w:rPr>
          <w:rFonts w:eastAsia="Times New Roman"/>
          <w:lang w:val="fr-FR"/>
        </w:rPr>
        <w:t>’</w:t>
      </w:r>
      <w:r w:rsidRPr="00BF7C35">
        <w:rPr>
          <w:rFonts w:eastAsia="Times New Roman"/>
          <w:lang w:val="fr-FR"/>
        </w:rPr>
        <w:t>amendement était entré en vigueur pour toutes les Parties contractantes et les carnets de passage en douane (CPD) utilisés dans une région spécifique pouvaient être imprimés dans deux langues officielles de l</w:t>
      </w:r>
      <w:r>
        <w:rPr>
          <w:rFonts w:eastAsia="Times New Roman"/>
          <w:lang w:val="fr-FR"/>
        </w:rPr>
        <w:t>’</w:t>
      </w:r>
      <w:r w:rsidRPr="00BF7C35">
        <w:rPr>
          <w:rFonts w:eastAsia="Times New Roman"/>
          <w:lang w:val="fr-FR"/>
        </w:rPr>
        <w:t>ONU, étant entendu que l</w:t>
      </w:r>
      <w:r>
        <w:rPr>
          <w:rFonts w:eastAsia="Times New Roman"/>
          <w:lang w:val="fr-FR"/>
        </w:rPr>
        <w:t>’</w:t>
      </w:r>
      <w:r w:rsidRPr="00BF7C35">
        <w:rPr>
          <w:rFonts w:eastAsia="Times New Roman"/>
          <w:lang w:val="fr-FR"/>
        </w:rPr>
        <w:t>une des deux devait être l</w:t>
      </w:r>
      <w:r>
        <w:rPr>
          <w:rFonts w:eastAsia="Times New Roman"/>
          <w:lang w:val="fr-FR"/>
        </w:rPr>
        <w:t>’</w:t>
      </w:r>
      <w:r w:rsidRPr="00BF7C35">
        <w:rPr>
          <w:rFonts w:eastAsia="Times New Roman"/>
          <w:lang w:val="fr-FR"/>
        </w:rPr>
        <w:t>anglais ou le français (notification dépositaire C.N.26.2015.TREATIES-XI.A.8 du 13 janvi</w:t>
      </w:r>
      <w:r w:rsidR="00D916A2">
        <w:rPr>
          <w:rFonts w:eastAsia="Times New Roman"/>
          <w:lang w:val="fr-FR"/>
        </w:rPr>
        <w:t>er 2015). Le Comité voudra peut-</w:t>
      </w:r>
      <w:r w:rsidRPr="00BF7C35">
        <w:rPr>
          <w:rFonts w:eastAsia="Times New Roman"/>
          <w:lang w:val="fr-FR"/>
        </w:rPr>
        <w:t>être aussi noter que le Comité de gestion de la Convention relative à l</w:t>
      </w:r>
      <w:r>
        <w:rPr>
          <w:rFonts w:eastAsia="Times New Roman"/>
          <w:lang w:val="fr-FR"/>
        </w:rPr>
        <w:t>’</w:t>
      </w:r>
      <w:r w:rsidRPr="00BF7C35">
        <w:rPr>
          <w:rFonts w:eastAsia="Times New Roman"/>
          <w:lang w:val="fr-FR"/>
        </w:rPr>
        <w:t>admission temporaire (Convention d</w:t>
      </w:r>
      <w:r>
        <w:rPr>
          <w:rFonts w:eastAsia="Times New Roman"/>
          <w:lang w:val="fr-FR"/>
        </w:rPr>
        <w:t>’</w:t>
      </w:r>
      <w:r w:rsidRPr="00BF7C35">
        <w:rPr>
          <w:rFonts w:eastAsia="Times New Roman"/>
          <w:lang w:val="fr-FR"/>
        </w:rPr>
        <w:t>Istanbul, 1990), à sa réunion d</w:t>
      </w:r>
      <w:r>
        <w:rPr>
          <w:rFonts w:eastAsia="Times New Roman"/>
          <w:lang w:val="fr-FR"/>
        </w:rPr>
        <w:t>’</w:t>
      </w:r>
      <w:r w:rsidRPr="00BF7C35">
        <w:rPr>
          <w:rFonts w:eastAsia="Times New Roman"/>
          <w:lang w:val="fr-FR"/>
        </w:rPr>
        <w:t>octobre 2015, avait accepté de modifier l</w:t>
      </w:r>
      <w:r>
        <w:rPr>
          <w:rFonts w:eastAsia="Times New Roman"/>
          <w:lang w:val="fr-FR"/>
        </w:rPr>
        <w:t>’</w:t>
      </w:r>
      <w:r w:rsidRPr="00BF7C35">
        <w:rPr>
          <w:rFonts w:eastAsia="Times New Roman"/>
          <w:lang w:val="fr-FR"/>
        </w:rPr>
        <w:t>appendice II de l</w:t>
      </w:r>
      <w:r>
        <w:rPr>
          <w:rFonts w:eastAsia="Times New Roman"/>
          <w:lang w:val="fr-FR"/>
        </w:rPr>
        <w:t>’</w:t>
      </w:r>
      <w:r w:rsidRPr="00BF7C35">
        <w:rPr>
          <w:rFonts w:eastAsia="Times New Roman"/>
          <w:lang w:val="fr-FR"/>
        </w:rPr>
        <w:t>annexe A, relatif au modèle de CPD, de façon à l</w:t>
      </w:r>
      <w:r>
        <w:rPr>
          <w:rFonts w:eastAsia="Times New Roman"/>
          <w:lang w:val="fr-FR"/>
        </w:rPr>
        <w:t>’</w:t>
      </w:r>
      <w:r w:rsidRPr="00BF7C35">
        <w:rPr>
          <w:rFonts w:eastAsia="Times New Roman"/>
          <w:lang w:val="fr-FR"/>
        </w:rPr>
        <w:t>aligner sur le dernier amendement apporté à la Convention de 1954 relative à l</w:t>
      </w:r>
      <w:r>
        <w:rPr>
          <w:rFonts w:eastAsia="Times New Roman"/>
          <w:lang w:val="fr-FR"/>
        </w:rPr>
        <w:t>’</w:t>
      </w:r>
      <w:r w:rsidRPr="00BF7C35">
        <w:rPr>
          <w:rFonts w:eastAsia="Times New Roman"/>
          <w:lang w:val="fr-FR"/>
        </w:rPr>
        <w:t>importation temporaire des véhicules routiers privés.</w:t>
      </w:r>
    </w:p>
    <w:p w:rsidR="00D916A2" w:rsidRPr="00D916A2" w:rsidRDefault="00D916A2" w:rsidP="00D916A2">
      <w:pPr>
        <w:pStyle w:val="SingleTxt"/>
        <w:spacing w:after="0" w:line="120" w:lineRule="exact"/>
        <w:rPr>
          <w:sz w:val="10"/>
          <w:lang w:val="fr-FR"/>
        </w:rPr>
      </w:pPr>
    </w:p>
    <w:p w:rsidR="00D916A2" w:rsidRPr="00D916A2" w:rsidRDefault="00D916A2" w:rsidP="00D916A2">
      <w:pPr>
        <w:pStyle w:val="SingleTxt"/>
        <w:spacing w:after="0" w:line="120" w:lineRule="exact"/>
        <w:rPr>
          <w:sz w:val="10"/>
          <w:lang w:val="fr-FR"/>
        </w:rPr>
      </w:pPr>
    </w:p>
    <w:p w:rsidR="00B03D00" w:rsidRDefault="00D916A2" w:rsidP="00D916A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t>V.</w:t>
      </w:r>
      <w:r>
        <w:rPr>
          <w:lang w:val="fr-FR"/>
        </w:rPr>
        <w:tab/>
        <w:t>Convention TIR</w:t>
      </w:r>
    </w:p>
    <w:p w:rsidR="00D916A2" w:rsidRPr="00D916A2" w:rsidRDefault="00D916A2" w:rsidP="00D916A2">
      <w:pPr>
        <w:pStyle w:val="SingleTxt"/>
        <w:spacing w:after="0" w:line="120" w:lineRule="exact"/>
        <w:rPr>
          <w:sz w:val="10"/>
          <w:lang w:val="fr-FR"/>
        </w:rPr>
      </w:pPr>
    </w:p>
    <w:p w:rsidR="00D916A2" w:rsidRPr="00D916A2" w:rsidRDefault="00D916A2" w:rsidP="00D916A2">
      <w:pPr>
        <w:pStyle w:val="SingleTxt"/>
        <w:spacing w:after="0" w:line="120" w:lineRule="exact"/>
        <w:rPr>
          <w:sz w:val="10"/>
          <w:lang w:val="fr-FR"/>
        </w:rPr>
      </w:pPr>
    </w:p>
    <w:p w:rsidR="00B03D00" w:rsidRPr="00BF7C35" w:rsidRDefault="00B03D00" w:rsidP="00F1522D">
      <w:pPr>
        <w:pStyle w:val="SingleTxt"/>
        <w:numPr>
          <w:ilvl w:val="0"/>
          <w:numId w:val="9"/>
        </w:numPr>
        <w:tabs>
          <w:tab w:val="clear" w:pos="475"/>
          <w:tab w:val="num" w:pos="1742"/>
        </w:tabs>
        <w:ind w:left="1267"/>
        <w:rPr>
          <w:rFonts w:eastAsia="Times New Roman"/>
          <w:lang w:val="fr-FR"/>
        </w:rPr>
      </w:pPr>
      <w:r w:rsidRPr="00BF7C35">
        <w:rPr>
          <w:rFonts w:eastAsia="Times New Roman"/>
          <w:lang w:val="fr-FR"/>
        </w:rPr>
        <w:t>Le Comité voud</w:t>
      </w:r>
      <w:r w:rsidR="00D916A2">
        <w:rPr>
          <w:rFonts w:eastAsia="Times New Roman"/>
          <w:lang w:val="fr-FR"/>
        </w:rPr>
        <w:t>ra bien noter que, le 23 </w:t>
      </w:r>
      <w:r w:rsidRPr="00BF7C35">
        <w:rPr>
          <w:rFonts w:eastAsia="Times New Roman"/>
          <w:lang w:val="fr-FR"/>
        </w:rPr>
        <w:t>juillet 2015, le Secrétaire général de l</w:t>
      </w:r>
      <w:r>
        <w:rPr>
          <w:rFonts w:eastAsia="Times New Roman"/>
          <w:lang w:val="fr-FR"/>
        </w:rPr>
        <w:t>’</w:t>
      </w:r>
      <w:r w:rsidRPr="00BF7C35">
        <w:rPr>
          <w:rFonts w:eastAsia="Times New Roman"/>
          <w:lang w:val="fr-FR"/>
        </w:rPr>
        <w:t>ONU, agissant en sa qualité de dépositaire, avait publié la notification dépositaire C.N.420.2015.TREATI</w:t>
      </w:r>
      <w:r w:rsidR="00D916A2">
        <w:rPr>
          <w:rFonts w:eastAsia="Times New Roman"/>
          <w:lang w:val="fr-FR"/>
        </w:rPr>
        <w:t>ES-XIA.16, annonçant que, le 21 </w:t>
      </w:r>
      <w:r w:rsidRPr="00BF7C35">
        <w:rPr>
          <w:rFonts w:eastAsia="Times New Roman"/>
          <w:lang w:val="fr-FR"/>
        </w:rPr>
        <w:t>juillet 2015, le Gouvernement de la République islamique du Pakistan avait déposé ses instruments d</w:t>
      </w:r>
      <w:r>
        <w:rPr>
          <w:rFonts w:eastAsia="Times New Roman"/>
          <w:lang w:val="fr-FR"/>
        </w:rPr>
        <w:t>’</w:t>
      </w:r>
      <w:r w:rsidRPr="00BF7C35">
        <w:rPr>
          <w:rFonts w:eastAsia="Times New Roman"/>
          <w:lang w:val="fr-FR"/>
        </w:rPr>
        <w:t>adhésion à la Convention TIR de 1</w:t>
      </w:r>
      <w:r w:rsidR="00D916A2">
        <w:rPr>
          <w:rFonts w:eastAsia="Times New Roman"/>
          <w:lang w:val="fr-FR"/>
        </w:rPr>
        <w:t>975. Conformément au paragraphe </w:t>
      </w:r>
      <w:r w:rsidRPr="00BF7C35">
        <w:rPr>
          <w:rFonts w:eastAsia="Times New Roman"/>
          <w:lang w:val="fr-FR"/>
        </w:rPr>
        <w:t>2 de l</w:t>
      </w:r>
      <w:r>
        <w:rPr>
          <w:rFonts w:eastAsia="Times New Roman"/>
          <w:lang w:val="fr-FR"/>
        </w:rPr>
        <w:t>’</w:t>
      </w:r>
      <w:r w:rsidR="00D916A2">
        <w:rPr>
          <w:rFonts w:eastAsia="Times New Roman"/>
          <w:lang w:val="fr-FR"/>
        </w:rPr>
        <w:t>article </w:t>
      </w:r>
      <w:r w:rsidRPr="00BF7C35">
        <w:rPr>
          <w:rFonts w:eastAsia="Times New Roman"/>
          <w:lang w:val="fr-FR"/>
        </w:rPr>
        <w:t>53, la Convention est entrée en vigueur pour le Pakistan le 21</w:t>
      </w:r>
      <w:r w:rsidR="00D916A2">
        <w:rPr>
          <w:rFonts w:eastAsia="Times New Roman"/>
          <w:lang w:val="fr-FR"/>
        </w:rPr>
        <w:t> </w:t>
      </w:r>
      <w:r w:rsidRPr="00BF7C35">
        <w:rPr>
          <w:rFonts w:eastAsia="Times New Roman"/>
          <w:lang w:val="fr-FR"/>
        </w:rPr>
        <w:t>janvier 2016. Avec l</w:t>
      </w:r>
      <w:r>
        <w:rPr>
          <w:rFonts w:eastAsia="Times New Roman"/>
          <w:lang w:val="fr-FR"/>
        </w:rPr>
        <w:t>’</w:t>
      </w:r>
      <w:r w:rsidRPr="00BF7C35">
        <w:rPr>
          <w:rFonts w:eastAsia="Times New Roman"/>
          <w:lang w:val="fr-FR"/>
        </w:rPr>
        <w:t>adhésion du Pakistan, la Convention TIR compte</w:t>
      </w:r>
      <w:r w:rsidR="00D916A2">
        <w:rPr>
          <w:rFonts w:eastAsia="Times New Roman"/>
          <w:lang w:val="fr-FR"/>
        </w:rPr>
        <w:t xml:space="preserve"> désormais 69 </w:t>
      </w:r>
      <w:r w:rsidRPr="00BF7C35">
        <w:rPr>
          <w:rFonts w:eastAsia="Times New Roman"/>
          <w:lang w:val="fr-FR"/>
        </w:rPr>
        <w:t>Parties contractantes.</w:t>
      </w:r>
    </w:p>
    <w:p w:rsidR="00B03D00" w:rsidRPr="00BF7C35" w:rsidRDefault="00B03D00" w:rsidP="00F1522D">
      <w:pPr>
        <w:pStyle w:val="SingleTxt"/>
        <w:keepNext/>
        <w:numPr>
          <w:ilvl w:val="0"/>
          <w:numId w:val="9"/>
        </w:numPr>
        <w:tabs>
          <w:tab w:val="clear" w:pos="475"/>
          <w:tab w:val="num" w:pos="1742"/>
        </w:tabs>
        <w:ind w:left="1267"/>
        <w:rPr>
          <w:rFonts w:eastAsia="Times New Roman"/>
          <w:lang w:val="fr-FR"/>
        </w:rPr>
      </w:pPr>
      <w:r w:rsidRPr="00BF7C35">
        <w:rPr>
          <w:rFonts w:eastAsia="Times New Roman"/>
          <w:lang w:val="fr-FR"/>
        </w:rPr>
        <w:t>En 2015, la Convention TIR a célébré son quarantième anniversaire. Le WP.30 et le Comité de gestion TIR (AC.2) ont continué à examiner et parachever un ensemble complet de propositions d</w:t>
      </w:r>
      <w:r>
        <w:rPr>
          <w:rFonts w:eastAsia="Times New Roman"/>
          <w:lang w:val="fr-FR"/>
        </w:rPr>
        <w:t>’</w:t>
      </w:r>
      <w:r w:rsidRPr="00BF7C35">
        <w:rPr>
          <w:rFonts w:eastAsia="Times New Roman"/>
          <w:lang w:val="fr-FR"/>
        </w:rPr>
        <w:t>amendements à la Convention TIR. En 2015, ces deux organes ont conclu un accord provisoire sur un certain nombre de propositions d</w:t>
      </w:r>
      <w:r>
        <w:rPr>
          <w:rFonts w:eastAsia="Times New Roman"/>
          <w:lang w:val="fr-FR"/>
        </w:rPr>
        <w:t>’</w:t>
      </w:r>
      <w:r w:rsidRPr="00BF7C35">
        <w:rPr>
          <w:rFonts w:eastAsia="Times New Roman"/>
          <w:lang w:val="fr-FR"/>
        </w:rPr>
        <w:t>amendements qui sont actuellement en attente d</w:t>
      </w:r>
      <w:r>
        <w:rPr>
          <w:rFonts w:eastAsia="Times New Roman"/>
          <w:lang w:val="fr-FR"/>
        </w:rPr>
        <w:t>’</w:t>
      </w:r>
      <w:r w:rsidRPr="00BF7C35">
        <w:rPr>
          <w:rFonts w:eastAsia="Times New Roman"/>
          <w:lang w:val="fr-FR"/>
        </w:rPr>
        <w:t>adoption formelle. Le Comité souhaitera peut-être prendre note de certains des principaux points examinés</w:t>
      </w:r>
      <w:r w:rsidR="00D916A2">
        <w:rPr>
          <w:rFonts w:eastAsia="Times New Roman"/>
          <w:lang w:val="fr-FR"/>
        </w:rPr>
        <w:t> </w:t>
      </w:r>
      <w:r w:rsidRPr="00BF7C35">
        <w:rPr>
          <w:rFonts w:eastAsia="Times New Roman"/>
          <w:lang w:val="fr-FR"/>
        </w:rPr>
        <w:t>:</w:t>
      </w:r>
    </w:p>
    <w:p w:rsidR="00B03D00" w:rsidRPr="00BF7C35" w:rsidRDefault="00D916A2" w:rsidP="00D916A2">
      <w:pPr>
        <w:pStyle w:val="SingleTxt"/>
        <w:rPr>
          <w:lang w:val="fr-FR"/>
        </w:rPr>
      </w:pPr>
      <w:r>
        <w:rPr>
          <w:lang w:val="fr-FR"/>
        </w:rPr>
        <w:tab/>
      </w:r>
      <w:r w:rsidR="00B03D00" w:rsidRPr="00BF7C35">
        <w:rPr>
          <w:lang w:val="fr-FR"/>
        </w:rPr>
        <w:t>a)</w:t>
      </w:r>
      <w:r w:rsidR="00B03D00" w:rsidRPr="00BF7C35">
        <w:rPr>
          <w:lang w:val="fr-FR"/>
        </w:rPr>
        <w:tab/>
        <w:t>Modification du niveau de garantie maximale par Carnet TIR. La Commission de contrôle TIR (TIRExB) a été chargé d</w:t>
      </w:r>
      <w:r w:rsidR="00B03D00">
        <w:rPr>
          <w:lang w:val="fr-FR"/>
        </w:rPr>
        <w:t>’</w:t>
      </w:r>
      <w:r w:rsidR="00B03D00" w:rsidRPr="00BF7C35">
        <w:rPr>
          <w:lang w:val="fr-FR"/>
        </w:rPr>
        <w:t xml:space="preserve">examiner cette question en </w:t>
      </w:r>
      <w:r w:rsidR="00B03D00" w:rsidRPr="00BF7C35">
        <w:rPr>
          <w:lang w:val="fr-FR"/>
        </w:rPr>
        <w:lastRenderedPageBreak/>
        <w:t>détail et a achevé cet examen en octobre 2015. Les considérations de la Commission seront examinées par l</w:t>
      </w:r>
      <w:r w:rsidR="00B03D00">
        <w:rPr>
          <w:lang w:val="fr-FR"/>
        </w:rPr>
        <w:t>’</w:t>
      </w:r>
      <w:r w:rsidR="00B03D00" w:rsidRPr="00BF7C35">
        <w:rPr>
          <w:lang w:val="fr-FR"/>
        </w:rPr>
        <w:t>AC.2 en 2016. Sur la base des informations fournies oralement à l</w:t>
      </w:r>
      <w:r w:rsidR="00B03D00">
        <w:rPr>
          <w:lang w:val="fr-FR"/>
        </w:rPr>
        <w:t>’</w:t>
      </w:r>
      <w:r w:rsidR="00B03D00" w:rsidRPr="00BF7C35">
        <w:rPr>
          <w:lang w:val="fr-FR"/>
        </w:rPr>
        <w:t>AC.2 par le Président de la Commission, le Comité souhaitera peut-être noter que la Commission a recensé cinq options principales concernant le niveau de garantie par Carnet TIR, dont aucune ne semble, selon elle, justifier un amendement de la Convention TIR. Néanmoins, compte tenu des informations fournies par l</w:t>
      </w:r>
      <w:r w:rsidR="00B03D00">
        <w:rPr>
          <w:lang w:val="fr-FR"/>
        </w:rPr>
        <w:t>’</w:t>
      </w:r>
      <w:r w:rsidR="00B03D00" w:rsidRPr="00BF7C35">
        <w:rPr>
          <w:lang w:val="fr-FR"/>
        </w:rPr>
        <w:t>IRU en octobre 2015, à savoir que, à la suite de délibérations avec les institutions concernées, la chaîne de garantie sera en mesure de porter l</w:t>
      </w:r>
      <w:r>
        <w:rPr>
          <w:lang w:val="fr-FR"/>
        </w:rPr>
        <w:t>e plafond de garantie à 100 </w:t>
      </w:r>
      <w:r w:rsidRPr="00CF75F7">
        <w:rPr>
          <w:szCs w:val="20"/>
          <w:lang w:val="fr-FR"/>
        </w:rPr>
        <w:t>000 </w:t>
      </w:r>
      <w:r w:rsidR="00B03D00" w:rsidRPr="00CF75F7">
        <w:rPr>
          <w:szCs w:val="20"/>
          <w:lang w:val="fr-FR"/>
        </w:rPr>
        <w:t>euros</w:t>
      </w:r>
      <w:r w:rsidR="00B03D00" w:rsidRPr="00BF7C35">
        <w:rPr>
          <w:lang w:val="fr-FR"/>
        </w:rPr>
        <w:t xml:space="preserve"> par carnet TIR, à compter du 1</w:t>
      </w:r>
      <w:r w:rsidR="00B03D00" w:rsidRPr="00D916A2">
        <w:rPr>
          <w:vertAlign w:val="superscript"/>
          <w:lang w:val="fr-FR"/>
        </w:rPr>
        <w:t>er</w:t>
      </w:r>
      <w:r w:rsidR="00B03D00" w:rsidRPr="00BF7C35">
        <w:rPr>
          <w:lang w:val="fr-FR"/>
        </w:rPr>
        <w:t> juillet 2016, l</w:t>
      </w:r>
      <w:r w:rsidR="00B03D00">
        <w:rPr>
          <w:lang w:val="fr-FR"/>
        </w:rPr>
        <w:t>’</w:t>
      </w:r>
      <w:r w:rsidR="00B03D00" w:rsidRPr="00BF7C35">
        <w:rPr>
          <w:lang w:val="fr-FR"/>
        </w:rPr>
        <w:t>AC.2 poursuivra ses</w:t>
      </w:r>
      <w:r w:rsidR="00B03D00">
        <w:rPr>
          <w:lang w:val="fr-FR"/>
        </w:rPr>
        <w:t xml:space="preserve"> </w:t>
      </w:r>
      <w:r w:rsidR="00B03D00" w:rsidRPr="00BF7C35">
        <w:rPr>
          <w:lang w:val="fr-FR"/>
        </w:rPr>
        <w:t>travaux en vue de conclure son examen de cette</w:t>
      </w:r>
      <w:r>
        <w:rPr>
          <w:lang w:val="fr-FR"/>
        </w:rPr>
        <w:t xml:space="preserve"> question, probablement en 2016;</w:t>
      </w:r>
    </w:p>
    <w:p w:rsidR="00B03D00" w:rsidRPr="00BF7C35" w:rsidRDefault="00D916A2" w:rsidP="00D916A2">
      <w:pPr>
        <w:pStyle w:val="SingleTxt"/>
        <w:rPr>
          <w:rFonts w:eastAsia="Times New Roman"/>
          <w:lang w:val="fr-FR"/>
        </w:rPr>
      </w:pPr>
      <w:r>
        <w:rPr>
          <w:rFonts w:eastAsia="Times New Roman"/>
          <w:lang w:val="fr-FR"/>
        </w:rPr>
        <w:tab/>
      </w:r>
      <w:r w:rsidR="00B03D00" w:rsidRPr="00BF7C35">
        <w:rPr>
          <w:rFonts w:eastAsia="Times New Roman"/>
          <w:lang w:val="fr-FR"/>
        </w:rPr>
        <w:t>b)</w:t>
      </w:r>
      <w:r w:rsidR="00B03D00" w:rsidRPr="00BF7C35">
        <w:rPr>
          <w:rFonts w:eastAsia="Times New Roman"/>
          <w:lang w:val="fr-FR"/>
        </w:rPr>
        <w:tab/>
        <w:t>Élaboration</w:t>
      </w:r>
      <w:r w:rsidR="00B03D00">
        <w:rPr>
          <w:rFonts w:eastAsia="Times New Roman"/>
          <w:lang w:val="fr-FR"/>
        </w:rPr>
        <w:t xml:space="preserve"> </w:t>
      </w:r>
      <w:r w:rsidR="00B03D00" w:rsidRPr="00BF7C35">
        <w:rPr>
          <w:rFonts w:eastAsia="Times New Roman"/>
          <w:lang w:val="fr-FR"/>
        </w:rPr>
        <w:t>de nouvelles dispositions de l</w:t>
      </w:r>
      <w:r w:rsidR="00B03D00">
        <w:rPr>
          <w:rFonts w:eastAsia="Times New Roman"/>
          <w:lang w:val="fr-FR"/>
        </w:rPr>
        <w:t>’</w:t>
      </w:r>
      <w:r>
        <w:rPr>
          <w:rFonts w:eastAsia="Times New Roman"/>
          <w:lang w:val="fr-FR"/>
        </w:rPr>
        <w:t>annexe </w:t>
      </w:r>
      <w:r w:rsidR="00B03D00" w:rsidRPr="00BF7C35">
        <w:rPr>
          <w:rFonts w:eastAsia="Times New Roman"/>
          <w:lang w:val="fr-FR"/>
        </w:rPr>
        <w:t xml:space="preserve">9 de la </w:t>
      </w:r>
      <w:r>
        <w:rPr>
          <w:rFonts w:eastAsia="Times New Roman"/>
          <w:lang w:val="fr-FR"/>
        </w:rPr>
        <w:t>partie </w:t>
      </w:r>
      <w:r w:rsidR="00B03D00" w:rsidRPr="00BF7C35">
        <w:rPr>
          <w:rFonts w:eastAsia="Times New Roman"/>
          <w:lang w:val="fr-FR"/>
        </w:rPr>
        <w:t>3 de la Convention TIR, visant à renforcer la légitimité et la transparence des opérations TIR effectuées par l</w:t>
      </w:r>
      <w:r w:rsidR="00B03D00">
        <w:rPr>
          <w:rFonts w:eastAsia="Times New Roman"/>
          <w:lang w:val="fr-FR"/>
        </w:rPr>
        <w:t>’</w:t>
      </w:r>
      <w:r w:rsidR="00B03D00" w:rsidRPr="00BF7C35">
        <w:rPr>
          <w:rFonts w:eastAsia="Times New Roman"/>
          <w:lang w:val="fr-FR"/>
        </w:rPr>
        <w:t>organisme international habilité à faire appliquer le régime international de garanties ainsi qu</w:t>
      </w:r>
      <w:r w:rsidR="00B03D00">
        <w:rPr>
          <w:rFonts w:eastAsia="Times New Roman"/>
          <w:lang w:val="fr-FR"/>
        </w:rPr>
        <w:t>’</w:t>
      </w:r>
      <w:r w:rsidR="00B03D00" w:rsidRPr="00BF7C35">
        <w:rPr>
          <w:rFonts w:eastAsia="Times New Roman"/>
          <w:lang w:val="fr-FR"/>
        </w:rPr>
        <w:t>à éditer et à délivrer les carnets TIR. En 2015, les Parties contractantes à la Convention TIR ont examiné les projets de di</w:t>
      </w:r>
      <w:r w:rsidR="004B5817">
        <w:rPr>
          <w:rFonts w:eastAsia="Times New Roman"/>
          <w:lang w:val="fr-FR"/>
        </w:rPr>
        <w:t>spositions figurant aux alinéas </w:t>
      </w:r>
      <w:r w:rsidR="00B03D00" w:rsidRPr="00BF7C35">
        <w:rPr>
          <w:rFonts w:eastAsia="Times New Roman"/>
          <w:lang w:val="fr-FR"/>
        </w:rPr>
        <w:t xml:space="preserve">o), p) et q) (dites </w:t>
      </w:r>
      <w:r>
        <w:rPr>
          <w:rFonts w:eastAsia="Times New Roman"/>
          <w:lang w:val="fr-FR"/>
        </w:rPr>
        <w:t>« </w:t>
      </w:r>
      <w:r w:rsidR="00B03D00" w:rsidRPr="00BF7C35">
        <w:rPr>
          <w:rFonts w:eastAsia="Times New Roman"/>
          <w:lang w:val="fr-FR"/>
        </w:rPr>
        <w:t>dispositions o), p) et q)</w:t>
      </w:r>
      <w:r>
        <w:rPr>
          <w:rFonts w:eastAsia="Times New Roman"/>
          <w:lang w:val="fr-FR"/>
        </w:rPr>
        <w:t> »</w:t>
      </w:r>
      <w:r w:rsidR="00B03D00" w:rsidRPr="00BF7C35">
        <w:rPr>
          <w:rFonts w:eastAsia="Times New Roman"/>
          <w:lang w:val="fr-FR"/>
        </w:rPr>
        <w:t>), parallèlement aux propositions connexes visant à modifier l</w:t>
      </w:r>
      <w:r w:rsidR="00B03D00">
        <w:rPr>
          <w:rFonts w:eastAsia="Times New Roman"/>
          <w:lang w:val="fr-FR"/>
        </w:rPr>
        <w:t>’</w:t>
      </w:r>
      <w:r w:rsidR="00B03D00" w:rsidRPr="00BF7C35">
        <w:rPr>
          <w:rFonts w:eastAsia="Times New Roman"/>
          <w:lang w:val="fr-FR"/>
        </w:rPr>
        <w:t>annexe 8 de la Convention TIR, ainsi qu</w:t>
      </w:r>
      <w:r w:rsidR="00B03D00">
        <w:rPr>
          <w:rFonts w:eastAsia="Times New Roman"/>
          <w:lang w:val="fr-FR"/>
        </w:rPr>
        <w:t>’</w:t>
      </w:r>
      <w:r w:rsidR="00B03D00" w:rsidRPr="00BF7C35">
        <w:rPr>
          <w:rFonts w:eastAsia="Times New Roman"/>
          <w:lang w:val="fr-FR"/>
        </w:rPr>
        <w:t>à d</w:t>
      </w:r>
      <w:r w:rsidR="00B03D00">
        <w:rPr>
          <w:rFonts w:eastAsia="Times New Roman"/>
          <w:lang w:val="fr-FR"/>
        </w:rPr>
        <w:t>’</w:t>
      </w:r>
      <w:r w:rsidR="00B03D00" w:rsidRPr="00BF7C35">
        <w:rPr>
          <w:rFonts w:eastAsia="Times New Roman"/>
          <w:lang w:val="fr-FR"/>
        </w:rPr>
        <w:t>autres dispositions visant à donner à l</w:t>
      </w:r>
      <w:r w:rsidR="00B03D00">
        <w:rPr>
          <w:rFonts w:eastAsia="Times New Roman"/>
          <w:lang w:val="fr-FR"/>
        </w:rPr>
        <w:t>’</w:t>
      </w:r>
      <w:r w:rsidR="00B03D00" w:rsidRPr="00BF7C35">
        <w:rPr>
          <w:rFonts w:eastAsia="Times New Roman"/>
          <w:lang w:val="fr-FR"/>
        </w:rPr>
        <w:t>AC.2 les moyens d</w:t>
      </w:r>
      <w:r w:rsidR="00B03D00">
        <w:rPr>
          <w:rFonts w:eastAsia="Times New Roman"/>
          <w:lang w:val="fr-FR"/>
        </w:rPr>
        <w:t>’</w:t>
      </w:r>
      <w:r w:rsidR="00B03D00" w:rsidRPr="00BF7C35">
        <w:rPr>
          <w:rFonts w:eastAsia="Times New Roman"/>
          <w:lang w:val="fr-FR"/>
        </w:rPr>
        <w:t>effectuer des examens et vérifications supplémentaires de l</w:t>
      </w:r>
      <w:r w:rsidR="00B03D00">
        <w:rPr>
          <w:rFonts w:eastAsia="Times New Roman"/>
          <w:lang w:val="fr-FR"/>
        </w:rPr>
        <w:t>’</w:t>
      </w:r>
      <w:r w:rsidR="00B03D00" w:rsidRPr="00BF7C35">
        <w:rPr>
          <w:rFonts w:eastAsia="Times New Roman"/>
          <w:lang w:val="fr-FR"/>
        </w:rPr>
        <w:t>organisme international habilité, ou de charger un autre organe de le faire. Cela étant, le WP.30 devrait examiner un ensemble</w:t>
      </w:r>
      <w:r>
        <w:rPr>
          <w:rFonts w:eastAsia="Times New Roman"/>
          <w:lang w:val="fr-FR"/>
        </w:rPr>
        <w:t xml:space="preserve"> révisé de propositions en 2016;</w:t>
      </w:r>
    </w:p>
    <w:p w:rsidR="00B03D00" w:rsidRPr="00BF7C35" w:rsidRDefault="00D916A2" w:rsidP="00D916A2">
      <w:pPr>
        <w:pStyle w:val="SingleTxt"/>
        <w:rPr>
          <w:rFonts w:eastAsia="Times New Roman"/>
          <w:lang w:val="fr-FR"/>
        </w:rPr>
      </w:pPr>
      <w:r>
        <w:rPr>
          <w:rFonts w:eastAsia="Times New Roman"/>
          <w:lang w:val="fr-FR"/>
        </w:rPr>
        <w:tab/>
      </w:r>
      <w:r w:rsidR="00B03D00" w:rsidRPr="00BF7C35">
        <w:rPr>
          <w:rFonts w:eastAsia="Times New Roman"/>
          <w:lang w:val="fr-FR"/>
        </w:rPr>
        <w:t>c)</w:t>
      </w:r>
      <w:r w:rsidR="00B03D00" w:rsidRPr="00BF7C35">
        <w:rPr>
          <w:rFonts w:eastAsia="Times New Roman"/>
          <w:lang w:val="fr-FR"/>
        </w:rPr>
        <w:tab/>
        <w:t>Examen approfondi du texte de la Convention TIR afin d</w:t>
      </w:r>
      <w:r w:rsidR="00B03D00">
        <w:rPr>
          <w:rFonts w:eastAsia="Times New Roman"/>
          <w:lang w:val="fr-FR"/>
        </w:rPr>
        <w:t>’</w:t>
      </w:r>
      <w:r w:rsidR="00B03D00" w:rsidRPr="00BF7C35">
        <w:rPr>
          <w:rFonts w:eastAsia="Times New Roman"/>
          <w:lang w:val="fr-FR"/>
        </w:rPr>
        <w:t>en améliorer la cohérence et la clarté. En 2015, le WP.30 est arrivé à la conclusion qu</w:t>
      </w:r>
      <w:r w:rsidR="00B03D00">
        <w:rPr>
          <w:rFonts w:eastAsia="Times New Roman"/>
          <w:lang w:val="fr-FR"/>
        </w:rPr>
        <w:t>’</w:t>
      </w:r>
      <w:r w:rsidR="00B03D00" w:rsidRPr="00BF7C35">
        <w:rPr>
          <w:rFonts w:eastAsia="Times New Roman"/>
          <w:lang w:val="fr-FR"/>
        </w:rPr>
        <w:t>au fil du temps un certain nombre de termes avaient été employés de façon incohérente, ou tout du moins sans que des recherches appropriées semblent avoir été menées. Le WP.30 a demandé au secrétariat d</w:t>
      </w:r>
      <w:r w:rsidR="00B03D00">
        <w:rPr>
          <w:rFonts w:eastAsia="Times New Roman"/>
          <w:lang w:val="fr-FR"/>
        </w:rPr>
        <w:t>’</w:t>
      </w:r>
      <w:r w:rsidR="00B03D00" w:rsidRPr="00BF7C35">
        <w:rPr>
          <w:rFonts w:eastAsia="Times New Roman"/>
          <w:lang w:val="fr-FR"/>
        </w:rPr>
        <w:t>établir une liste des modifications à apporter aux fins d</w:t>
      </w:r>
      <w:r w:rsidR="00B03D00">
        <w:rPr>
          <w:rFonts w:eastAsia="Times New Roman"/>
          <w:lang w:val="fr-FR"/>
        </w:rPr>
        <w:t>’</w:t>
      </w:r>
      <w:r w:rsidR="00B03D00" w:rsidRPr="00BF7C35">
        <w:rPr>
          <w:rFonts w:eastAsia="Times New Roman"/>
          <w:lang w:val="fr-FR"/>
        </w:rPr>
        <w:t>harmonisation du texte, qui semblaient appropriées ou justifiées, po</w:t>
      </w:r>
      <w:r>
        <w:rPr>
          <w:rFonts w:eastAsia="Times New Roman"/>
          <w:lang w:val="fr-FR"/>
        </w:rPr>
        <w:t>ur examen et décision en 2016;</w:t>
      </w:r>
    </w:p>
    <w:p w:rsidR="00B03D00" w:rsidRPr="00BF7C35" w:rsidRDefault="00D916A2" w:rsidP="00D916A2">
      <w:pPr>
        <w:pStyle w:val="SingleTxt"/>
        <w:rPr>
          <w:rFonts w:eastAsia="Times New Roman"/>
          <w:lang w:val="fr-FR"/>
        </w:rPr>
      </w:pPr>
      <w:r>
        <w:rPr>
          <w:rFonts w:eastAsia="Times New Roman"/>
          <w:lang w:val="fr-FR"/>
        </w:rPr>
        <w:tab/>
      </w:r>
      <w:r w:rsidR="00B03D00" w:rsidRPr="00BF7C35">
        <w:rPr>
          <w:rFonts w:eastAsia="Times New Roman"/>
          <w:lang w:val="fr-FR"/>
        </w:rPr>
        <w:t>d)</w:t>
      </w:r>
      <w:r w:rsidR="00B03D00" w:rsidRPr="00BF7C35">
        <w:rPr>
          <w:rFonts w:eastAsia="Times New Roman"/>
          <w:lang w:val="fr-FR"/>
        </w:rPr>
        <w:tab/>
        <w:t>Proposition de modification de l</w:t>
      </w:r>
      <w:r w:rsidR="00B03D00">
        <w:rPr>
          <w:rFonts w:eastAsia="Times New Roman"/>
          <w:lang w:val="fr-FR"/>
        </w:rPr>
        <w:t>’</w:t>
      </w:r>
      <w:r>
        <w:rPr>
          <w:rFonts w:eastAsia="Times New Roman"/>
          <w:lang w:val="fr-FR"/>
        </w:rPr>
        <w:t>article </w:t>
      </w:r>
      <w:r w:rsidR="00B03D00" w:rsidRPr="00BF7C35">
        <w:rPr>
          <w:rFonts w:eastAsia="Times New Roman"/>
          <w:lang w:val="fr-FR"/>
        </w:rPr>
        <w:t>49 de la Convention, afin d</w:t>
      </w:r>
      <w:r w:rsidR="00B03D00">
        <w:rPr>
          <w:rFonts w:eastAsia="Times New Roman"/>
          <w:lang w:val="fr-FR"/>
        </w:rPr>
        <w:t>’</w:t>
      </w:r>
      <w:r w:rsidR="00B03D00" w:rsidRPr="00BF7C35">
        <w:rPr>
          <w:rFonts w:eastAsia="Times New Roman"/>
          <w:lang w:val="fr-FR"/>
        </w:rPr>
        <w:t>élargir la portée des facilités que les Parties contractantes pourraient accorder aux opérateurs de transport. Cette proposition a été élaborée par la Commission de contrôle en 2015 et soumise à l</w:t>
      </w:r>
      <w:r w:rsidR="00B03D00">
        <w:rPr>
          <w:rFonts w:eastAsia="Times New Roman"/>
          <w:lang w:val="fr-FR"/>
        </w:rPr>
        <w:t>’</w:t>
      </w:r>
      <w:r w:rsidR="00B03D00" w:rsidRPr="00BF7C35">
        <w:rPr>
          <w:rFonts w:eastAsia="Times New Roman"/>
          <w:lang w:val="fr-FR"/>
        </w:rPr>
        <w:t>AC.2 pour examen en juin 2015. Alors que l</w:t>
      </w:r>
      <w:r w:rsidR="00B03D00">
        <w:rPr>
          <w:rFonts w:eastAsia="Times New Roman"/>
          <w:lang w:val="fr-FR"/>
        </w:rPr>
        <w:t>’</w:t>
      </w:r>
      <w:r w:rsidR="00B03D00" w:rsidRPr="00BF7C35">
        <w:rPr>
          <w:rFonts w:eastAsia="Times New Roman"/>
          <w:lang w:val="fr-FR"/>
        </w:rPr>
        <w:t>on s</w:t>
      </w:r>
      <w:r w:rsidR="00B03D00">
        <w:rPr>
          <w:rFonts w:eastAsia="Times New Roman"/>
          <w:lang w:val="fr-FR"/>
        </w:rPr>
        <w:t>’</w:t>
      </w:r>
      <w:r w:rsidR="00B03D00" w:rsidRPr="00BF7C35">
        <w:rPr>
          <w:rFonts w:eastAsia="Times New Roman"/>
          <w:lang w:val="fr-FR"/>
        </w:rPr>
        <w:t>accorde, dans l</w:t>
      </w:r>
      <w:r w:rsidR="00B03D00">
        <w:rPr>
          <w:rFonts w:eastAsia="Times New Roman"/>
          <w:lang w:val="fr-FR"/>
        </w:rPr>
        <w:t>’</w:t>
      </w:r>
      <w:r w:rsidR="00B03D00" w:rsidRPr="00BF7C35">
        <w:rPr>
          <w:rFonts w:eastAsia="Times New Roman"/>
          <w:lang w:val="fr-FR"/>
        </w:rPr>
        <w:t>ensemble, sur la nécessité d</w:t>
      </w:r>
      <w:r w:rsidR="00B03D00">
        <w:rPr>
          <w:rFonts w:eastAsia="Times New Roman"/>
          <w:lang w:val="fr-FR"/>
        </w:rPr>
        <w:t>’</w:t>
      </w:r>
      <w:r w:rsidR="00B03D00" w:rsidRPr="00BF7C35">
        <w:rPr>
          <w:rFonts w:eastAsia="Times New Roman"/>
          <w:lang w:val="fr-FR"/>
        </w:rPr>
        <w:t>élargir la portée des facilités sous le régime de la Convention TIR, l</w:t>
      </w:r>
      <w:r w:rsidR="00B03D00">
        <w:rPr>
          <w:rFonts w:eastAsia="Times New Roman"/>
          <w:lang w:val="fr-FR"/>
        </w:rPr>
        <w:t>’</w:t>
      </w:r>
      <w:r w:rsidR="00B03D00" w:rsidRPr="00BF7C35">
        <w:rPr>
          <w:rFonts w:eastAsia="Times New Roman"/>
          <w:lang w:val="fr-FR"/>
        </w:rPr>
        <w:t>AC.2 était d</w:t>
      </w:r>
      <w:r w:rsidR="00B03D00">
        <w:rPr>
          <w:rFonts w:eastAsia="Times New Roman"/>
          <w:lang w:val="fr-FR"/>
        </w:rPr>
        <w:t>’</w:t>
      </w:r>
      <w:r w:rsidR="00B03D00" w:rsidRPr="00BF7C35">
        <w:rPr>
          <w:rFonts w:eastAsia="Times New Roman"/>
          <w:lang w:val="fr-FR"/>
        </w:rPr>
        <w:t>avis que plusieurs éléments devaient encore faire l</w:t>
      </w:r>
      <w:r w:rsidR="00B03D00">
        <w:rPr>
          <w:rFonts w:eastAsia="Times New Roman"/>
          <w:lang w:val="fr-FR"/>
        </w:rPr>
        <w:t>’</w:t>
      </w:r>
      <w:r w:rsidR="00B03D00" w:rsidRPr="00BF7C35">
        <w:rPr>
          <w:rFonts w:eastAsia="Times New Roman"/>
          <w:lang w:val="fr-FR"/>
        </w:rPr>
        <w:t>objet d</w:t>
      </w:r>
      <w:r w:rsidR="00B03D00">
        <w:rPr>
          <w:rFonts w:eastAsia="Times New Roman"/>
          <w:lang w:val="fr-FR"/>
        </w:rPr>
        <w:t>’</w:t>
      </w:r>
      <w:r w:rsidR="00B03D00" w:rsidRPr="00BF7C35">
        <w:rPr>
          <w:rFonts w:eastAsia="Times New Roman"/>
          <w:lang w:val="fr-FR"/>
        </w:rPr>
        <w:t>une analyse et d</w:t>
      </w:r>
      <w:r w:rsidR="00B03D00">
        <w:rPr>
          <w:rFonts w:eastAsia="Times New Roman"/>
          <w:lang w:val="fr-FR"/>
        </w:rPr>
        <w:t>’</w:t>
      </w:r>
      <w:r w:rsidR="00B03D00" w:rsidRPr="00BF7C35">
        <w:rPr>
          <w:rFonts w:eastAsia="Times New Roman"/>
          <w:lang w:val="fr-FR"/>
        </w:rPr>
        <w:t>une clarification. À ce titre, l</w:t>
      </w:r>
      <w:r w:rsidR="00B03D00">
        <w:rPr>
          <w:rFonts w:eastAsia="Times New Roman"/>
          <w:lang w:val="fr-FR"/>
        </w:rPr>
        <w:t>’</w:t>
      </w:r>
      <w:r w:rsidR="00B03D00" w:rsidRPr="00BF7C35">
        <w:rPr>
          <w:rFonts w:eastAsia="Times New Roman"/>
          <w:lang w:val="fr-FR"/>
        </w:rPr>
        <w:t>AC.2 a demandé au secrétariat de procéder à une évaluation détaillée des questions en suspens, laquelle servira de base aux débats et aux décisions ultérieures à ce sujet en 2016.</w:t>
      </w:r>
    </w:p>
    <w:p w:rsidR="00B03D00" w:rsidRDefault="00B03D00" w:rsidP="00F1522D">
      <w:pPr>
        <w:pStyle w:val="SingleTxt"/>
        <w:numPr>
          <w:ilvl w:val="0"/>
          <w:numId w:val="9"/>
        </w:numPr>
        <w:tabs>
          <w:tab w:val="clear" w:pos="475"/>
          <w:tab w:val="num" w:pos="1742"/>
        </w:tabs>
        <w:ind w:left="1267"/>
        <w:rPr>
          <w:rFonts w:eastAsia="Times New Roman"/>
          <w:lang w:val="fr-FR"/>
        </w:rPr>
      </w:pPr>
      <w:r w:rsidRPr="00BF7C35">
        <w:rPr>
          <w:rFonts w:eastAsia="Times New Roman"/>
          <w:lang w:val="fr-FR"/>
        </w:rPr>
        <w:t>Le Comité souhaitera peut-être noter que, en raison de la charge de travail exceptionnellement lourde de l</w:t>
      </w:r>
      <w:r>
        <w:rPr>
          <w:rFonts w:eastAsia="Times New Roman"/>
          <w:lang w:val="fr-FR"/>
        </w:rPr>
        <w:t>’</w:t>
      </w:r>
      <w:r w:rsidRPr="00BF7C35">
        <w:rPr>
          <w:rFonts w:eastAsia="Times New Roman"/>
          <w:lang w:val="fr-FR"/>
        </w:rPr>
        <w:t>AC.2 en 2015, une session supplémentaire a été organisée en juin 2015, sur la demande d</w:t>
      </w:r>
      <w:r>
        <w:rPr>
          <w:rFonts w:eastAsia="Times New Roman"/>
          <w:lang w:val="fr-FR"/>
        </w:rPr>
        <w:t>’</w:t>
      </w:r>
      <w:r w:rsidRPr="00BF7C35">
        <w:rPr>
          <w:rFonts w:eastAsia="Times New Roman"/>
          <w:lang w:val="fr-FR"/>
        </w:rPr>
        <w:t>au moins cinq Parties contractantes, comme le prévoit l</w:t>
      </w:r>
      <w:r>
        <w:rPr>
          <w:rFonts w:eastAsia="Times New Roman"/>
          <w:lang w:val="fr-FR"/>
        </w:rPr>
        <w:t>’</w:t>
      </w:r>
      <w:r w:rsidRPr="00BF7C35">
        <w:rPr>
          <w:rFonts w:eastAsia="Times New Roman"/>
          <w:lang w:val="fr-FR"/>
        </w:rPr>
        <w:t>annexe 8 de l</w:t>
      </w:r>
      <w:r>
        <w:rPr>
          <w:rFonts w:eastAsia="Times New Roman"/>
          <w:lang w:val="fr-FR"/>
        </w:rPr>
        <w:t>’</w:t>
      </w:r>
      <w:r w:rsidRPr="00BF7C35">
        <w:rPr>
          <w:rFonts w:eastAsia="Times New Roman"/>
          <w:lang w:val="fr-FR"/>
        </w:rPr>
        <w:t>article 4 de la Convention TIR.</w:t>
      </w:r>
    </w:p>
    <w:p w:rsidR="00383196" w:rsidRPr="00383196" w:rsidRDefault="00383196" w:rsidP="00383196">
      <w:pPr>
        <w:pStyle w:val="SingleTxt"/>
        <w:spacing w:after="0" w:line="120" w:lineRule="exact"/>
        <w:rPr>
          <w:sz w:val="10"/>
          <w:lang w:val="fr-FR"/>
        </w:rPr>
      </w:pPr>
    </w:p>
    <w:p w:rsidR="00383196" w:rsidRPr="00383196" w:rsidRDefault="00383196" w:rsidP="00383196">
      <w:pPr>
        <w:pStyle w:val="SingleTxt"/>
        <w:spacing w:after="0" w:line="120" w:lineRule="exact"/>
        <w:rPr>
          <w:sz w:val="10"/>
          <w:lang w:val="fr-FR"/>
        </w:rPr>
      </w:pPr>
    </w:p>
    <w:p w:rsidR="00B03D00" w:rsidRDefault="00B03D00" w:rsidP="0038319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tab/>
        <w:t>A.</w:t>
      </w:r>
      <w:r w:rsidRPr="00BF7C35">
        <w:rPr>
          <w:lang w:val="fr-FR"/>
        </w:rPr>
        <w:tab/>
        <w:t xml:space="preserve">Banque de données internationale TIR </w:t>
      </w:r>
      <w:r w:rsidR="00383196">
        <w:rPr>
          <w:lang w:val="fr-FR"/>
        </w:rPr>
        <w:br/>
      </w:r>
      <w:r w:rsidRPr="00BF7C35">
        <w:rPr>
          <w:lang w:val="fr-FR"/>
        </w:rPr>
        <w:t>et outils électroniques</w:t>
      </w:r>
      <w:r w:rsidR="00383196">
        <w:rPr>
          <w:lang w:val="fr-FR"/>
        </w:rPr>
        <w:t xml:space="preserve"> </w:t>
      </w:r>
      <w:r w:rsidRPr="00BF7C35">
        <w:rPr>
          <w:lang w:val="fr-FR"/>
        </w:rPr>
        <w:t>du secrétariat TIR</w:t>
      </w:r>
    </w:p>
    <w:p w:rsidR="00383196" w:rsidRPr="00383196" w:rsidRDefault="00383196" w:rsidP="00383196">
      <w:pPr>
        <w:pStyle w:val="SingleTxt"/>
        <w:spacing w:after="0" w:line="120" w:lineRule="exact"/>
        <w:rPr>
          <w:sz w:val="10"/>
          <w:lang w:val="fr-FR"/>
        </w:rPr>
      </w:pPr>
    </w:p>
    <w:p w:rsidR="00383196" w:rsidRPr="00383196" w:rsidRDefault="00383196" w:rsidP="00383196">
      <w:pPr>
        <w:pStyle w:val="SingleTxt"/>
        <w:spacing w:after="0" w:line="120" w:lineRule="exact"/>
        <w:rPr>
          <w:sz w:val="10"/>
          <w:lang w:val="fr-FR"/>
        </w:rPr>
      </w:pPr>
    </w:p>
    <w:p w:rsidR="00B03D00" w:rsidRDefault="00B03D00" w:rsidP="00F1522D">
      <w:pPr>
        <w:pStyle w:val="SingleTxt"/>
        <w:numPr>
          <w:ilvl w:val="0"/>
          <w:numId w:val="9"/>
        </w:numPr>
        <w:tabs>
          <w:tab w:val="clear" w:pos="475"/>
          <w:tab w:val="num" w:pos="1742"/>
        </w:tabs>
        <w:ind w:left="1267"/>
        <w:rPr>
          <w:rFonts w:eastAsia="Times New Roman"/>
          <w:lang w:val="fr-FR"/>
        </w:rPr>
      </w:pPr>
      <w:r w:rsidRPr="00BF7C35">
        <w:rPr>
          <w:rFonts w:eastAsia="Times New Roman"/>
          <w:lang w:val="fr-FR"/>
        </w:rPr>
        <w:t>Le Comité se souviendra sans doute qu</w:t>
      </w:r>
      <w:r>
        <w:rPr>
          <w:rFonts w:eastAsia="Times New Roman"/>
          <w:lang w:val="fr-FR"/>
        </w:rPr>
        <w:t>’</w:t>
      </w:r>
      <w:r w:rsidRPr="00BF7C35">
        <w:rPr>
          <w:rFonts w:eastAsia="Times New Roman"/>
          <w:lang w:val="fr-FR"/>
        </w:rPr>
        <w:t>en 2014, le secrétariat avait été chargé de créer une nouvelle base de données répertoriant les bureaux de douane ayant l</w:t>
      </w:r>
      <w:r>
        <w:rPr>
          <w:rFonts w:eastAsia="Times New Roman"/>
          <w:lang w:val="fr-FR"/>
        </w:rPr>
        <w:t>’</w:t>
      </w:r>
      <w:r w:rsidRPr="00BF7C35">
        <w:rPr>
          <w:rFonts w:eastAsia="Times New Roman"/>
          <w:lang w:val="fr-FR"/>
        </w:rPr>
        <w:t xml:space="preserve">agrément TIR </w:t>
      </w:r>
      <w:r w:rsidR="00383196">
        <w:rPr>
          <w:rFonts w:eastAsia="Times New Roman"/>
          <w:lang w:val="fr-FR"/>
        </w:rPr>
        <w:t>(ECE/TRANS/WP.30/AC.2/117, par. </w:t>
      </w:r>
      <w:r w:rsidRPr="00BF7C35">
        <w:rPr>
          <w:rFonts w:eastAsia="Times New Roman"/>
          <w:lang w:val="fr-FR"/>
        </w:rPr>
        <w:t>21). En 2015, le secrétariat a lancé les travaux visant à élaborer un nouveau projet de Banque de données internationale TIR (ITDB), envisagé pour consolider l</w:t>
      </w:r>
      <w:r>
        <w:rPr>
          <w:rFonts w:eastAsia="Times New Roman"/>
          <w:lang w:val="fr-FR"/>
        </w:rPr>
        <w:t>’</w:t>
      </w:r>
      <w:r w:rsidRPr="00BF7C35">
        <w:rPr>
          <w:rFonts w:eastAsia="Times New Roman"/>
          <w:lang w:val="fr-FR"/>
        </w:rPr>
        <w:t>ensemble des applications électroniques actuellement gérées par le secrétariat TIR. Ce projet devrait être réalisé par étapes, la première d</w:t>
      </w:r>
      <w:r>
        <w:rPr>
          <w:rFonts w:eastAsia="Times New Roman"/>
          <w:lang w:val="fr-FR"/>
        </w:rPr>
        <w:t>’</w:t>
      </w:r>
      <w:r w:rsidRPr="00BF7C35">
        <w:rPr>
          <w:rFonts w:eastAsia="Times New Roman"/>
          <w:lang w:val="fr-FR"/>
        </w:rPr>
        <w:t xml:space="preserve">entre elles consistant à remplacer les applications actuelles </w:t>
      </w:r>
      <w:r w:rsidRPr="00BF7C35">
        <w:rPr>
          <w:rFonts w:eastAsia="Times New Roman"/>
          <w:lang w:val="fr-FR"/>
        </w:rPr>
        <w:lastRenderedPageBreak/>
        <w:t>(ITDBonline+ et Registre de dispositifs de scellement et de timbres douaniers de la CEE). À un stade ultérieur, peut-être à la fin de 2016, les nouvelles applications telles que la base de données sur les bureaux de douane seraient mises en service. Le Comité voudra sans doute noter que la date de lancement de l</w:t>
      </w:r>
      <w:r>
        <w:rPr>
          <w:rFonts w:eastAsia="Times New Roman"/>
          <w:lang w:val="fr-FR"/>
        </w:rPr>
        <w:t>’</w:t>
      </w:r>
      <w:r w:rsidRPr="00BF7C35">
        <w:rPr>
          <w:rFonts w:eastAsia="Times New Roman"/>
          <w:lang w:val="fr-FR"/>
        </w:rPr>
        <w:t>application dépendrait de facteurs extérieurs tels que la réalisation d</w:t>
      </w:r>
      <w:r>
        <w:rPr>
          <w:rFonts w:eastAsia="Times New Roman"/>
          <w:lang w:val="fr-FR"/>
        </w:rPr>
        <w:t>’</w:t>
      </w:r>
      <w:r w:rsidRPr="00BF7C35">
        <w:rPr>
          <w:rFonts w:eastAsia="Times New Roman"/>
          <w:lang w:val="fr-FR"/>
        </w:rPr>
        <w:t>un audit de sécurité et l</w:t>
      </w:r>
      <w:r>
        <w:rPr>
          <w:rFonts w:eastAsia="Times New Roman"/>
          <w:lang w:val="fr-FR"/>
        </w:rPr>
        <w:t>’</w:t>
      </w:r>
      <w:r w:rsidRPr="00BF7C35">
        <w:rPr>
          <w:rFonts w:eastAsia="Times New Roman"/>
          <w:lang w:val="fr-FR"/>
        </w:rPr>
        <w:t>état de préparation de l</w:t>
      </w:r>
      <w:r>
        <w:rPr>
          <w:rFonts w:eastAsia="Times New Roman"/>
          <w:lang w:val="fr-FR"/>
        </w:rPr>
        <w:t>’</w:t>
      </w:r>
      <w:r w:rsidRPr="00BF7C35">
        <w:rPr>
          <w:rFonts w:eastAsia="Times New Roman"/>
          <w:lang w:val="fr-FR"/>
        </w:rPr>
        <w:t>infrastructure.</w:t>
      </w:r>
    </w:p>
    <w:p w:rsidR="00383196" w:rsidRPr="00383196" w:rsidRDefault="00383196" w:rsidP="00383196">
      <w:pPr>
        <w:pStyle w:val="SingleTxt"/>
        <w:spacing w:after="0" w:line="120" w:lineRule="exact"/>
        <w:rPr>
          <w:sz w:val="10"/>
          <w:lang w:val="fr-FR"/>
        </w:rPr>
      </w:pPr>
    </w:p>
    <w:p w:rsidR="00383196" w:rsidRPr="00383196" w:rsidRDefault="00383196" w:rsidP="00383196">
      <w:pPr>
        <w:pStyle w:val="SingleTxt"/>
        <w:spacing w:after="0" w:line="120" w:lineRule="exact"/>
        <w:rPr>
          <w:sz w:val="10"/>
          <w:lang w:val="fr-FR"/>
        </w:rPr>
      </w:pPr>
    </w:p>
    <w:p w:rsidR="00B03D00" w:rsidRDefault="00B03D00" w:rsidP="0038319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tab/>
        <w:t>B.</w:t>
      </w:r>
      <w:r w:rsidRPr="00BF7C35">
        <w:rPr>
          <w:lang w:val="fr-FR"/>
        </w:rPr>
        <w:tab/>
        <w:t>Ateliers et sémina</w:t>
      </w:r>
      <w:r w:rsidR="00383196">
        <w:rPr>
          <w:lang w:val="fr-FR"/>
        </w:rPr>
        <w:t>ires TIR nationaux et régionaux</w:t>
      </w:r>
    </w:p>
    <w:p w:rsidR="00383196" w:rsidRPr="00383196" w:rsidRDefault="00383196" w:rsidP="00383196">
      <w:pPr>
        <w:pStyle w:val="SingleTxt"/>
        <w:spacing w:after="0" w:line="120" w:lineRule="exact"/>
        <w:rPr>
          <w:sz w:val="10"/>
          <w:lang w:val="fr-FR"/>
        </w:rPr>
      </w:pPr>
    </w:p>
    <w:p w:rsidR="00383196" w:rsidRPr="00383196" w:rsidRDefault="00383196" w:rsidP="00383196">
      <w:pPr>
        <w:pStyle w:val="SingleTxt"/>
        <w:spacing w:after="0" w:line="120" w:lineRule="exact"/>
        <w:rPr>
          <w:sz w:val="10"/>
          <w:lang w:val="fr-FR"/>
        </w:rPr>
      </w:pPr>
    </w:p>
    <w:p w:rsidR="00B03D00" w:rsidRPr="00BF7C35" w:rsidRDefault="00B03D00" w:rsidP="00F1522D">
      <w:pPr>
        <w:pStyle w:val="SingleTxt"/>
        <w:numPr>
          <w:ilvl w:val="0"/>
          <w:numId w:val="9"/>
        </w:numPr>
        <w:tabs>
          <w:tab w:val="clear" w:pos="475"/>
          <w:tab w:val="num" w:pos="1742"/>
        </w:tabs>
        <w:ind w:left="1267"/>
        <w:rPr>
          <w:rFonts w:eastAsia="Times New Roman"/>
          <w:lang w:val="fr-FR"/>
        </w:rPr>
      </w:pPr>
      <w:r w:rsidRPr="00BF7C35">
        <w:rPr>
          <w:rFonts w:eastAsia="Times New Roman"/>
          <w:lang w:val="fr-FR"/>
        </w:rPr>
        <w:t>En 2015, le secrétariat TIR a apporté des contributions de fond à une série de conférences, séminaires et événements, et il a organisé ou co-organisé des séminaires et événements relatifs au régime TIR et à la facilitation du passage des frontières en général. Le Comité souhaitera peut-être prendre not</w:t>
      </w:r>
      <w:r w:rsidR="00CF75F7">
        <w:rPr>
          <w:rFonts w:eastAsia="Times New Roman"/>
          <w:lang w:val="fr-FR"/>
        </w:rPr>
        <w:t>e de la liste non exhaustive ci</w:t>
      </w:r>
      <w:r w:rsidR="00CF75F7">
        <w:rPr>
          <w:rFonts w:eastAsia="Times New Roman"/>
          <w:lang w:val="fr-FR"/>
        </w:rPr>
        <w:noBreakHyphen/>
      </w:r>
      <w:r w:rsidRPr="00BF7C35">
        <w:rPr>
          <w:rFonts w:eastAsia="Times New Roman"/>
          <w:lang w:val="fr-FR"/>
        </w:rPr>
        <w:t>après des événements auxquels a participé la CEE</w:t>
      </w:r>
      <w:r w:rsidR="00383196">
        <w:rPr>
          <w:rFonts w:eastAsia="Times New Roman"/>
          <w:lang w:val="fr-FR"/>
        </w:rPr>
        <w:t> </w:t>
      </w:r>
      <w:r w:rsidRPr="00BF7C35">
        <w:rPr>
          <w:rFonts w:eastAsia="Times New Roman"/>
          <w:lang w:val="fr-FR"/>
        </w:rPr>
        <w:t>:</w:t>
      </w:r>
    </w:p>
    <w:p w:rsidR="00B03D00" w:rsidRPr="00BF7C35" w:rsidRDefault="00DC26D8" w:rsidP="00DC26D8">
      <w:pPr>
        <w:pStyle w:val="SingleTxt"/>
        <w:rPr>
          <w:rFonts w:eastAsia="Times New Roman"/>
          <w:lang w:val="fr-FR"/>
        </w:rPr>
      </w:pPr>
      <w:r>
        <w:rPr>
          <w:rFonts w:eastAsia="Times New Roman"/>
          <w:lang w:val="fr-FR"/>
        </w:rPr>
        <w:tab/>
      </w:r>
      <w:r w:rsidR="00B03D00" w:rsidRPr="00BF7C35">
        <w:rPr>
          <w:rFonts w:eastAsia="Times New Roman"/>
          <w:lang w:val="fr-FR"/>
        </w:rPr>
        <w:t>a)</w:t>
      </w:r>
      <w:r w:rsidR="00B03D00" w:rsidRPr="00BF7C35">
        <w:rPr>
          <w:rFonts w:eastAsia="Times New Roman"/>
          <w:lang w:val="fr-FR"/>
        </w:rPr>
        <w:tab/>
        <w:t xml:space="preserve">Le séminaire régional TIR, organisé conjointement par la TIRExB et le secrétariat TIR, </w:t>
      </w:r>
      <w:r>
        <w:rPr>
          <w:rFonts w:eastAsia="Times New Roman"/>
          <w:lang w:val="fr-FR"/>
        </w:rPr>
        <w:t>et tenu à Douchanbé du 19 au 22 </w:t>
      </w:r>
      <w:r w:rsidR="00B03D00" w:rsidRPr="00BF7C35">
        <w:rPr>
          <w:rFonts w:eastAsia="Times New Roman"/>
          <w:lang w:val="fr-FR"/>
        </w:rPr>
        <w:t>mai 2015, avec le concours du Collège de formation du personnel aux frontières OSCE et de l</w:t>
      </w:r>
      <w:r w:rsidR="00B03D00">
        <w:rPr>
          <w:rFonts w:eastAsia="Times New Roman"/>
          <w:lang w:val="fr-FR"/>
        </w:rPr>
        <w:t>’</w:t>
      </w:r>
      <w:r w:rsidR="00B03D00" w:rsidRPr="00BF7C35">
        <w:rPr>
          <w:rFonts w:eastAsia="Times New Roman"/>
          <w:lang w:val="fr-FR"/>
        </w:rPr>
        <w:t xml:space="preserve">administration douanière du Gouvernement </w:t>
      </w:r>
      <w:r>
        <w:rPr>
          <w:rFonts w:eastAsia="Times New Roman"/>
          <w:lang w:val="fr-FR"/>
        </w:rPr>
        <w:t>de la République du Tadjikistan;</w:t>
      </w:r>
    </w:p>
    <w:p w:rsidR="00B03D00" w:rsidRPr="00BF7C35" w:rsidRDefault="00DC26D8" w:rsidP="00DC26D8">
      <w:pPr>
        <w:pStyle w:val="SingleTxt"/>
        <w:rPr>
          <w:rFonts w:eastAsia="Times New Roman"/>
          <w:lang w:val="fr-FR"/>
        </w:rPr>
      </w:pPr>
      <w:r>
        <w:rPr>
          <w:rFonts w:eastAsia="Times New Roman"/>
          <w:lang w:val="fr-FR"/>
        </w:rPr>
        <w:tab/>
      </w:r>
      <w:r w:rsidR="00B03D00" w:rsidRPr="00BF7C35">
        <w:rPr>
          <w:rFonts w:eastAsia="Times New Roman"/>
          <w:lang w:val="fr-FR"/>
        </w:rPr>
        <w:t>b)</w:t>
      </w:r>
      <w:r w:rsidR="00B03D00" w:rsidRPr="00BF7C35">
        <w:rPr>
          <w:rFonts w:eastAsia="Times New Roman"/>
          <w:lang w:val="fr-FR"/>
        </w:rPr>
        <w:tab/>
        <w:t>Une réunion visant à faciliter le franchissement des frontières, qui s</w:t>
      </w:r>
      <w:r w:rsidR="00B03D00">
        <w:rPr>
          <w:rFonts w:eastAsia="Times New Roman"/>
          <w:lang w:val="fr-FR"/>
        </w:rPr>
        <w:t>’</w:t>
      </w:r>
      <w:r>
        <w:rPr>
          <w:rFonts w:eastAsia="Times New Roman"/>
          <w:lang w:val="fr-FR"/>
        </w:rPr>
        <w:t>est tenue au Caire (Égypte, 12 </w:t>
      </w:r>
      <w:r w:rsidR="00B03D00" w:rsidRPr="00BF7C35">
        <w:rPr>
          <w:rFonts w:eastAsia="Times New Roman"/>
          <w:lang w:val="fr-FR"/>
        </w:rPr>
        <w:t>mai 2015), dans le cadre d</w:t>
      </w:r>
      <w:r w:rsidR="00B03D00">
        <w:rPr>
          <w:rFonts w:eastAsia="Times New Roman"/>
          <w:lang w:val="fr-FR"/>
        </w:rPr>
        <w:t>’</w:t>
      </w:r>
      <w:r w:rsidR="00B03D00" w:rsidRPr="00BF7C35">
        <w:rPr>
          <w:rFonts w:eastAsia="Times New Roman"/>
          <w:lang w:val="fr-FR"/>
        </w:rPr>
        <w:t>EUROMED, réunion au cours de laquelle la Convention TIR a été présentée et mise en avant;</w:t>
      </w:r>
    </w:p>
    <w:p w:rsidR="00B03D00" w:rsidRPr="00BF7C35" w:rsidRDefault="00DC26D8" w:rsidP="00DC26D8">
      <w:pPr>
        <w:pStyle w:val="SingleTxt"/>
        <w:rPr>
          <w:rFonts w:eastAsia="Times New Roman"/>
          <w:lang w:val="fr-FR"/>
        </w:rPr>
      </w:pPr>
      <w:r>
        <w:rPr>
          <w:rFonts w:eastAsia="Times New Roman"/>
          <w:lang w:val="fr-FR"/>
        </w:rPr>
        <w:tab/>
      </w:r>
      <w:r w:rsidR="00B03D00" w:rsidRPr="00BF7C35">
        <w:rPr>
          <w:rFonts w:eastAsia="Times New Roman"/>
          <w:lang w:val="fr-FR"/>
        </w:rPr>
        <w:t>c)</w:t>
      </w:r>
      <w:r w:rsidR="00B03D00" w:rsidRPr="00BF7C35">
        <w:rPr>
          <w:rFonts w:eastAsia="Times New Roman"/>
          <w:lang w:val="fr-FR"/>
        </w:rPr>
        <w:tab/>
        <w:t>Un atelier sur l</w:t>
      </w:r>
      <w:r w:rsidR="00B03D00">
        <w:rPr>
          <w:rFonts w:eastAsia="Times New Roman"/>
          <w:lang w:val="fr-FR"/>
        </w:rPr>
        <w:t>’</w:t>
      </w:r>
      <w:r w:rsidR="00B03D00" w:rsidRPr="00BF7C35">
        <w:rPr>
          <w:rFonts w:eastAsia="Times New Roman"/>
          <w:lang w:val="fr-FR"/>
        </w:rPr>
        <w:t>échange d</w:t>
      </w:r>
      <w:r w:rsidR="00B03D00">
        <w:rPr>
          <w:rFonts w:eastAsia="Times New Roman"/>
          <w:lang w:val="fr-FR"/>
        </w:rPr>
        <w:t>’</w:t>
      </w:r>
      <w:r w:rsidR="00B03D00" w:rsidRPr="00BF7C35">
        <w:rPr>
          <w:rFonts w:eastAsia="Times New Roman"/>
          <w:lang w:val="fr-FR"/>
        </w:rPr>
        <w:t>informations entre administrations douanières (C2C) organisé par la Commission économique et sociale pour l</w:t>
      </w:r>
      <w:r w:rsidR="00B03D00">
        <w:rPr>
          <w:rFonts w:eastAsia="Times New Roman"/>
          <w:lang w:val="fr-FR"/>
        </w:rPr>
        <w:t>’</w:t>
      </w:r>
      <w:r w:rsidR="00B03D00" w:rsidRPr="00BF7C35">
        <w:rPr>
          <w:rFonts w:eastAsia="Times New Roman"/>
          <w:lang w:val="fr-FR"/>
        </w:rPr>
        <w:t>Asie et le Pacifique (CESAP) à Issyk-Koul (Kirghizistan), l</w:t>
      </w:r>
      <w:r>
        <w:rPr>
          <w:rFonts w:eastAsia="Times New Roman"/>
          <w:lang w:val="fr-FR"/>
        </w:rPr>
        <w:t>es 7 et 8 </w:t>
      </w:r>
      <w:r w:rsidR="00B03D00" w:rsidRPr="00BF7C35">
        <w:rPr>
          <w:rFonts w:eastAsia="Times New Roman"/>
          <w:lang w:val="fr-FR"/>
        </w:rPr>
        <w:t xml:space="preserve">septembre 2015, durant lequel elle avait présenté la Convention TIR et le projet eTIR </w:t>
      </w:r>
      <w:r>
        <w:rPr>
          <w:rFonts w:eastAsia="Times New Roman"/>
          <w:lang w:val="fr-FR"/>
        </w:rPr>
        <w:t>et animé un débat à leur sujet;</w:t>
      </w:r>
    </w:p>
    <w:p w:rsidR="00B03D00" w:rsidRPr="00BF7C35" w:rsidRDefault="00DC26D8" w:rsidP="00DC26D8">
      <w:pPr>
        <w:pStyle w:val="SingleTxt"/>
        <w:rPr>
          <w:rFonts w:eastAsia="Times New Roman"/>
          <w:lang w:val="fr-FR"/>
        </w:rPr>
      </w:pPr>
      <w:r>
        <w:rPr>
          <w:rFonts w:eastAsia="Times New Roman"/>
          <w:lang w:val="fr-FR"/>
        </w:rPr>
        <w:tab/>
      </w:r>
      <w:r w:rsidR="00B03D00" w:rsidRPr="00BF7C35">
        <w:rPr>
          <w:rFonts w:eastAsia="Times New Roman"/>
          <w:lang w:val="fr-FR"/>
        </w:rPr>
        <w:t>d)</w:t>
      </w:r>
      <w:r w:rsidR="00B03D00" w:rsidRPr="00BF7C35">
        <w:rPr>
          <w:rFonts w:eastAsia="Times New Roman"/>
          <w:lang w:val="fr-FR"/>
        </w:rPr>
        <w:tab/>
        <w:t>Une réunion des chefs des administrations douanières organisée par le Secrétariat d</w:t>
      </w:r>
      <w:r w:rsidR="00B03D00">
        <w:rPr>
          <w:rFonts w:eastAsia="Times New Roman"/>
          <w:lang w:val="fr-FR"/>
        </w:rPr>
        <w:t>’</w:t>
      </w:r>
      <w:r w:rsidR="00B03D00" w:rsidRPr="00BF7C35">
        <w:rPr>
          <w:rFonts w:eastAsia="Times New Roman"/>
          <w:lang w:val="fr-FR"/>
        </w:rPr>
        <w:t>intégration économique de l</w:t>
      </w:r>
      <w:r w:rsidR="00B03D00">
        <w:rPr>
          <w:rFonts w:eastAsia="Times New Roman"/>
          <w:lang w:val="fr-FR"/>
        </w:rPr>
        <w:t>’</w:t>
      </w:r>
      <w:r w:rsidR="00B03D00" w:rsidRPr="00BF7C35">
        <w:rPr>
          <w:rFonts w:eastAsia="Times New Roman"/>
          <w:lang w:val="fr-FR"/>
        </w:rPr>
        <w:t>Amérique centrale (SIECA) à El Salvador, le 28 août 2015, durant laquelle elle avait présenté la Con</w:t>
      </w:r>
      <w:r>
        <w:rPr>
          <w:rFonts w:eastAsia="Times New Roman"/>
          <w:lang w:val="fr-FR"/>
        </w:rPr>
        <w:t>vention TIR par vidéoconférence;</w:t>
      </w:r>
    </w:p>
    <w:p w:rsidR="00B03D00" w:rsidRPr="00BF7C35" w:rsidRDefault="00DC26D8" w:rsidP="00DC26D8">
      <w:pPr>
        <w:pStyle w:val="SingleTxt"/>
        <w:rPr>
          <w:rFonts w:eastAsia="Times New Roman"/>
          <w:lang w:val="fr-FR"/>
        </w:rPr>
      </w:pPr>
      <w:r>
        <w:rPr>
          <w:rFonts w:eastAsia="Times New Roman"/>
          <w:lang w:val="fr-FR"/>
        </w:rPr>
        <w:tab/>
      </w:r>
      <w:r w:rsidR="00B03D00" w:rsidRPr="00BF7C35">
        <w:rPr>
          <w:rFonts w:eastAsia="Times New Roman"/>
          <w:lang w:val="fr-FR"/>
        </w:rPr>
        <w:t>e)</w:t>
      </w:r>
      <w:r w:rsidR="00B03D00" w:rsidRPr="00BF7C35">
        <w:rPr>
          <w:rFonts w:eastAsia="Times New Roman"/>
          <w:lang w:val="fr-FR"/>
        </w:rPr>
        <w:tab/>
        <w:t>La session du Groupe de travail de l</w:t>
      </w:r>
      <w:r w:rsidR="00B03D00">
        <w:rPr>
          <w:rFonts w:eastAsia="Times New Roman"/>
          <w:lang w:val="fr-FR"/>
        </w:rPr>
        <w:t>’</w:t>
      </w:r>
      <w:r w:rsidR="00B03D00" w:rsidRPr="00BF7C35">
        <w:rPr>
          <w:rFonts w:eastAsia="Times New Roman"/>
          <w:lang w:val="fr-FR"/>
        </w:rPr>
        <w:t>Organisation mondiale des douanes (OMD) sur l</w:t>
      </w:r>
      <w:r w:rsidR="00B03D00">
        <w:rPr>
          <w:rFonts w:eastAsia="Times New Roman"/>
          <w:lang w:val="fr-FR"/>
        </w:rPr>
        <w:t>’</w:t>
      </w:r>
      <w:r w:rsidR="00B03D00" w:rsidRPr="00BF7C35">
        <w:rPr>
          <w:rFonts w:eastAsia="Times New Roman"/>
          <w:lang w:val="fr-FR"/>
        </w:rPr>
        <w:t>Accord de l</w:t>
      </w:r>
      <w:r w:rsidR="00B03D00">
        <w:rPr>
          <w:rFonts w:eastAsia="Times New Roman"/>
          <w:lang w:val="fr-FR"/>
        </w:rPr>
        <w:t>’</w:t>
      </w:r>
      <w:r w:rsidR="00B03D00" w:rsidRPr="00BF7C35">
        <w:rPr>
          <w:rFonts w:eastAsia="Times New Roman"/>
          <w:lang w:val="fr-FR"/>
        </w:rPr>
        <w:t>Organisation mondiale du commerce sur la facilitation du commerce (Bruxelles, 12 et 13 octobre 2015) ainsi que la réunion conjointe CEE-IRU, tenue à la fin de ladite session, en vue d</w:t>
      </w:r>
      <w:r w:rsidR="00B03D00">
        <w:rPr>
          <w:rFonts w:eastAsia="Times New Roman"/>
          <w:lang w:val="fr-FR"/>
        </w:rPr>
        <w:t>’</w:t>
      </w:r>
      <w:r w:rsidR="00B03D00" w:rsidRPr="00BF7C35">
        <w:rPr>
          <w:rFonts w:eastAsia="Times New Roman"/>
          <w:lang w:val="fr-FR"/>
        </w:rPr>
        <w:t>encourager les pays d</w:t>
      </w:r>
      <w:r w:rsidR="00B03D00">
        <w:rPr>
          <w:rFonts w:eastAsia="Times New Roman"/>
          <w:lang w:val="fr-FR"/>
        </w:rPr>
        <w:t>’</w:t>
      </w:r>
      <w:r w:rsidR="00B03D00" w:rsidRPr="00BF7C35">
        <w:rPr>
          <w:rFonts w:eastAsia="Times New Roman"/>
          <w:lang w:val="fr-FR"/>
        </w:rPr>
        <w:t>Afriqu</w:t>
      </w:r>
      <w:r>
        <w:rPr>
          <w:rFonts w:eastAsia="Times New Roman"/>
          <w:lang w:val="fr-FR"/>
        </w:rPr>
        <w:t>e à adhérer à la Convention TIR;</w:t>
      </w:r>
    </w:p>
    <w:p w:rsidR="00B03D00" w:rsidRPr="00BF7C35" w:rsidRDefault="00DC26D8" w:rsidP="00DC26D8">
      <w:pPr>
        <w:pStyle w:val="SingleTxt"/>
        <w:rPr>
          <w:rFonts w:eastAsia="Times New Roman"/>
          <w:lang w:val="fr-FR"/>
        </w:rPr>
      </w:pPr>
      <w:r>
        <w:rPr>
          <w:rFonts w:eastAsia="Times New Roman"/>
          <w:lang w:val="fr-FR"/>
        </w:rPr>
        <w:tab/>
      </w:r>
      <w:r w:rsidR="00B03D00" w:rsidRPr="00BF7C35">
        <w:rPr>
          <w:rFonts w:eastAsia="Times New Roman"/>
          <w:lang w:val="fr-FR"/>
        </w:rPr>
        <w:t>f)</w:t>
      </w:r>
      <w:r w:rsidR="00B03D00" w:rsidRPr="00BF7C35">
        <w:rPr>
          <w:rFonts w:eastAsia="Times New Roman"/>
          <w:lang w:val="fr-FR"/>
        </w:rPr>
        <w:tab/>
        <w:t>Le cinquième Forum de l</w:t>
      </w:r>
      <w:r w:rsidR="00B03D00">
        <w:rPr>
          <w:rFonts w:eastAsia="Times New Roman"/>
          <w:lang w:val="fr-FR"/>
        </w:rPr>
        <w:t>’</w:t>
      </w:r>
      <w:r w:rsidR="00B03D00" w:rsidRPr="00BF7C35">
        <w:rPr>
          <w:rFonts w:eastAsia="Times New Roman"/>
          <w:lang w:val="fr-FR"/>
        </w:rPr>
        <w:t>OMD sur les technologies et l</w:t>
      </w:r>
      <w:r w:rsidR="00B03D00">
        <w:rPr>
          <w:rFonts w:eastAsia="Times New Roman"/>
          <w:lang w:val="fr-FR"/>
        </w:rPr>
        <w:t>’</w:t>
      </w:r>
      <w:r w:rsidR="00B03D00" w:rsidRPr="00BF7C35">
        <w:rPr>
          <w:rFonts w:eastAsia="Times New Roman"/>
          <w:lang w:val="fr-FR"/>
        </w:rPr>
        <w:t xml:space="preserve">innovation (Rotterdam (Pays-Bas), 26-29 octobre 2015), durant lequel elle avait </w:t>
      </w:r>
      <w:r>
        <w:rPr>
          <w:rFonts w:eastAsia="Times New Roman"/>
          <w:lang w:val="fr-FR"/>
        </w:rPr>
        <w:t>présenté le projet eTIR CEE-IRU;</w:t>
      </w:r>
    </w:p>
    <w:p w:rsidR="00B03D00" w:rsidRPr="00BF7C35" w:rsidRDefault="00DC26D8" w:rsidP="00DC26D8">
      <w:pPr>
        <w:pStyle w:val="SingleTxt"/>
        <w:rPr>
          <w:rFonts w:eastAsia="Times New Roman"/>
          <w:lang w:val="fr-FR"/>
        </w:rPr>
      </w:pPr>
      <w:r>
        <w:rPr>
          <w:rFonts w:eastAsia="Times New Roman"/>
          <w:lang w:val="fr-FR"/>
        </w:rPr>
        <w:tab/>
      </w:r>
      <w:r w:rsidR="00B03D00" w:rsidRPr="00BF7C35">
        <w:rPr>
          <w:rFonts w:eastAsia="Times New Roman"/>
          <w:lang w:val="fr-FR"/>
        </w:rPr>
        <w:t>g)</w:t>
      </w:r>
      <w:r w:rsidR="00B03D00" w:rsidRPr="00BF7C35">
        <w:rPr>
          <w:rFonts w:eastAsia="Times New Roman"/>
          <w:lang w:val="fr-FR"/>
        </w:rPr>
        <w:tab/>
        <w:t>Le Forum Asie-Pacifique sur la facilitation du commerc</w:t>
      </w:r>
      <w:r w:rsidR="00983734">
        <w:rPr>
          <w:rFonts w:eastAsia="Times New Roman"/>
          <w:lang w:val="fr-FR"/>
        </w:rPr>
        <w:t>e à Wuhan (Chine), les 20 et 21 </w:t>
      </w:r>
      <w:r w:rsidR="00B03D00" w:rsidRPr="00BF7C35">
        <w:rPr>
          <w:rFonts w:eastAsia="Times New Roman"/>
          <w:lang w:val="fr-FR"/>
        </w:rPr>
        <w:t xml:space="preserve">octobre 2015, et la réunion-débat sur le thème </w:t>
      </w:r>
      <w:r w:rsidR="00983734">
        <w:rPr>
          <w:rFonts w:eastAsia="Times New Roman"/>
          <w:lang w:val="fr-FR"/>
        </w:rPr>
        <w:t>« </w:t>
      </w:r>
      <w:r w:rsidR="00B03D00" w:rsidRPr="00BF7C35">
        <w:rPr>
          <w:rFonts w:eastAsia="Times New Roman"/>
          <w:lang w:val="fr-FR"/>
        </w:rPr>
        <w:t>Renforcer la connectivité régionale en favorisant les couloirs commerciaux et de transport</w:t>
      </w:r>
      <w:r w:rsidR="00983734">
        <w:rPr>
          <w:rFonts w:eastAsia="Times New Roman"/>
          <w:lang w:val="fr-FR"/>
        </w:rPr>
        <w:t> »</w:t>
      </w:r>
      <w:r w:rsidR="00B03D00" w:rsidRPr="00BF7C35">
        <w:rPr>
          <w:rFonts w:eastAsia="Times New Roman"/>
          <w:lang w:val="fr-FR"/>
        </w:rPr>
        <w:t xml:space="preserve"> à laquelle elle avait contribué en mettant en avant les avantages potentiels du régime TIR dans la région de l</w:t>
      </w:r>
      <w:r w:rsidR="00B03D00">
        <w:rPr>
          <w:rFonts w:eastAsia="Times New Roman"/>
          <w:lang w:val="fr-FR"/>
        </w:rPr>
        <w:t>’</w:t>
      </w:r>
      <w:r w:rsidR="00B03D00" w:rsidRPr="00BF7C35">
        <w:rPr>
          <w:rFonts w:eastAsia="Times New Roman"/>
          <w:lang w:val="fr-FR"/>
        </w:rPr>
        <w:t>Asie et du Pacifique.</w:t>
      </w:r>
    </w:p>
    <w:p w:rsidR="00B03D00" w:rsidRPr="00BF7C35" w:rsidRDefault="00B03D00" w:rsidP="00F1522D">
      <w:pPr>
        <w:pStyle w:val="SingleTxt"/>
        <w:numPr>
          <w:ilvl w:val="0"/>
          <w:numId w:val="9"/>
        </w:numPr>
        <w:tabs>
          <w:tab w:val="clear" w:pos="475"/>
          <w:tab w:val="num" w:pos="1742"/>
        </w:tabs>
        <w:ind w:left="1267"/>
        <w:rPr>
          <w:rFonts w:eastAsia="Times New Roman"/>
          <w:lang w:val="fr-FR"/>
        </w:rPr>
      </w:pPr>
      <w:r w:rsidRPr="00BF7C35">
        <w:rPr>
          <w:rFonts w:eastAsia="Times New Roman"/>
          <w:lang w:val="fr-FR"/>
        </w:rPr>
        <w:t>Enfin, le Comité voudra bien noter que le Secrétaire exécutif de la CEE-ONU avait participé en tant qu</w:t>
      </w:r>
      <w:r>
        <w:rPr>
          <w:rFonts w:eastAsia="Times New Roman"/>
          <w:lang w:val="fr-FR"/>
        </w:rPr>
        <w:t>’</w:t>
      </w:r>
      <w:r w:rsidRPr="00BF7C35">
        <w:rPr>
          <w:rFonts w:eastAsia="Times New Roman"/>
          <w:lang w:val="fr-FR"/>
        </w:rPr>
        <w:t>orateur principal au Forum sur la connectivité et le développement au profit de tous, organisé à l</w:t>
      </w:r>
      <w:r>
        <w:rPr>
          <w:rFonts w:eastAsia="Times New Roman"/>
          <w:lang w:val="fr-FR"/>
        </w:rPr>
        <w:t>’</w:t>
      </w:r>
      <w:r w:rsidRPr="00BF7C35">
        <w:rPr>
          <w:rFonts w:eastAsia="Times New Roman"/>
          <w:lang w:val="fr-FR"/>
        </w:rPr>
        <w:t>intention des chefs des administrations douanières, qui s</w:t>
      </w:r>
      <w:r>
        <w:rPr>
          <w:rFonts w:eastAsia="Times New Roman"/>
          <w:lang w:val="fr-FR"/>
        </w:rPr>
        <w:t>’</w:t>
      </w:r>
      <w:r w:rsidRPr="00BF7C35">
        <w:rPr>
          <w:rFonts w:eastAsia="Times New Roman"/>
          <w:lang w:val="fr-FR"/>
        </w:rPr>
        <w:t>est tenu à Xi</w:t>
      </w:r>
      <w:r>
        <w:rPr>
          <w:rFonts w:eastAsia="Times New Roman"/>
          <w:lang w:val="fr-FR"/>
        </w:rPr>
        <w:t>’</w:t>
      </w:r>
      <w:r w:rsidRPr="00BF7C35">
        <w:rPr>
          <w:rFonts w:eastAsia="Times New Roman"/>
          <w:lang w:val="fr-FR"/>
        </w:rPr>
        <w:t>an (Chine), les 27 et 28</w:t>
      </w:r>
      <w:r w:rsidR="00983734">
        <w:rPr>
          <w:rFonts w:eastAsia="Times New Roman"/>
          <w:lang w:val="fr-FR"/>
        </w:rPr>
        <w:t> </w:t>
      </w:r>
      <w:r w:rsidRPr="00BF7C35">
        <w:rPr>
          <w:rFonts w:eastAsia="Times New Roman"/>
          <w:lang w:val="fr-FR"/>
        </w:rPr>
        <w:t xml:space="preserve">mai 2015, dans le cadre de la stratégie </w:t>
      </w:r>
      <w:r w:rsidR="00983734">
        <w:rPr>
          <w:rFonts w:eastAsia="Times New Roman"/>
          <w:lang w:val="fr-FR"/>
        </w:rPr>
        <w:t>« </w:t>
      </w:r>
      <w:r w:rsidRPr="00BF7C35">
        <w:rPr>
          <w:rFonts w:eastAsia="Times New Roman"/>
          <w:lang w:val="fr-FR"/>
        </w:rPr>
        <w:t>Une Ceinture, une Route</w:t>
      </w:r>
      <w:r w:rsidR="00983734">
        <w:rPr>
          <w:rFonts w:eastAsia="Times New Roman"/>
          <w:lang w:val="fr-FR"/>
        </w:rPr>
        <w:t> »</w:t>
      </w:r>
      <w:r w:rsidRPr="00BF7C35">
        <w:rPr>
          <w:rFonts w:eastAsia="Times New Roman"/>
          <w:lang w:val="fr-FR"/>
        </w:rPr>
        <w:t>.</w:t>
      </w:r>
    </w:p>
    <w:p w:rsidR="00B03D00" w:rsidRDefault="00B03D00" w:rsidP="00D810C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lastRenderedPageBreak/>
        <w:tab/>
        <w:t>VI.</w:t>
      </w:r>
      <w:r w:rsidRPr="00BF7C35">
        <w:rPr>
          <w:lang w:val="fr-FR"/>
        </w:rPr>
        <w:tab/>
        <w:t xml:space="preserve">Faits nouveaux dans la mise en œuvre </w:t>
      </w:r>
      <w:r w:rsidR="00D810CA">
        <w:rPr>
          <w:lang w:val="fr-FR"/>
        </w:rPr>
        <w:br/>
      </w:r>
      <w:r w:rsidRPr="00BF7C35">
        <w:rPr>
          <w:lang w:val="fr-FR"/>
        </w:rPr>
        <w:t>de la Convention TIR</w:t>
      </w:r>
    </w:p>
    <w:p w:rsidR="00D810CA" w:rsidRPr="00D810CA" w:rsidRDefault="00D810CA" w:rsidP="00D810CA">
      <w:pPr>
        <w:pStyle w:val="SingleTxt"/>
        <w:spacing w:after="0" w:line="120" w:lineRule="exact"/>
        <w:rPr>
          <w:sz w:val="10"/>
          <w:lang w:val="fr-FR"/>
        </w:rPr>
      </w:pPr>
    </w:p>
    <w:p w:rsidR="00D810CA" w:rsidRPr="00D810CA" w:rsidRDefault="00D810CA" w:rsidP="00D810CA">
      <w:pPr>
        <w:pStyle w:val="SingleTxt"/>
        <w:spacing w:after="0" w:line="120" w:lineRule="exact"/>
        <w:rPr>
          <w:sz w:val="10"/>
          <w:lang w:val="fr-FR"/>
        </w:rPr>
      </w:pPr>
    </w:p>
    <w:p w:rsidR="00B03D00" w:rsidRPr="00BF7C35" w:rsidRDefault="00B03D00" w:rsidP="00F1522D">
      <w:pPr>
        <w:pStyle w:val="SingleTxt"/>
        <w:numPr>
          <w:ilvl w:val="0"/>
          <w:numId w:val="9"/>
        </w:numPr>
        <w:tabs>
          <w:tab w:val="clear" w:pos="475"/>
          <w:tab w:val="num" w:pos="1742"/>
        </w:tabs>
        <w:ind w:left="1267"/>
        <w:rPr>
          <w:rFonts w:eastAsia="Times New Roman"/>
          <w:lang w:val="fr-FR"/>
        </w:rPr>
      </w:pPr>
      <w:r w:rsidRPr="00BF7C35">
        <w:rPr>
          <w:rFonts w:eastAsia="Times New Roman"/>
          <w:lang w:val="fr-FR"/>
        </w:rPr>
        <w:t>L</w:t>
      </w:r>
      <w:r>
        <w:rPr>
          <w:rFonts w:eastAsia="Times New Roman"/>
          <w:lang w:val="fr-FR"/>
        </w:rPr>
        <w:t>’</w:t>
      </w:r>
      <w:r w:rsidRPr="00BF7C35">
        <w:rPr>
          <w:rFonts w:eastAsia="Times New Roman"/>
          <w:lang w:val="fr-FR"/>
        </w:rPr>
        <w:t>année 2015 a continué d</w:t>
      </w:r>
      <w:r>
        <w:rPr>
          <w:rFonts w:eastAsia="Times New Roman"/>
          <w:lang w:val="fr-FR"/>
        </w:rPr>
        <w:t>’</w:t>
      </w:r>
      <w:r w:rsidRPr="00BF7C35">
        <w:rPr>
          <w:rFonts w:eastAsia="Times New Roman"/>
          <w:lang w:val="fr-FR"/>
        </w:rPr>
        <w:t>être dominée par ce qu</w:t>
      </w:r>
      <w:r>
        <w:rPr>
          <w:rFonts w:eastAsia="Times New Roman"/>
          <w:lang w:val="fr-FR"/>
        </w:rPr>
        <w:t>’</w:t>
      </w:r>
      <w:r w:rsidRPr="00BF7C35">
        <w:rPr>
          <w:rFonts w:eastAsia="Times New Roman"/>
          <w:lang w:val="fr-FR"/>
        </w:rPr>
        <w:t xml:space="preserve">on appelle la </w:t>
      </w:r>
      <w:r w:rsidR="00D810CA">
        <w:rPr>
          <w:rFonts w:eastAsia="Times New Roman"/>
          <w:lang w:val="fr-FR"/>
        </w:rPr>
        <w:t>« </w:t>
      </w:r>
      <w:r w:rsidRPr="00BF7C35">
        <w:rPr>
          <w:rFonts w:eastAsia="Times New Roman"/>
          <w:lang w:val="fr-FR"/>
        </w:rPr>
        <w:t>crise du régime TIR</w:t>
      </w:r>
      <w:r w:rsidR="00D810CA">
        <w:rPr>
          <w:rFonts w:eastAsia="Times New Roman"/>
          <w:lang w:val="fr-FR"/>
        </w:rPr>
        <w:t> »</w:t>
      </w:r>
      <w:r w:rsidRPr="00BF7C35">
        <w:rPr>
          <w:rFonts w:eastAsia="Times New Roman"/>
          <w:lang w:val="fr-FR"/>
        </w:rPr>
        <w:t>, qui a débuté en 2013 lorsque le Service fédéral des douanes de la Fédération de Russie (SFD) a décidé qu</w:t>
      </w:r>
      <w:r>
        <w:rPr>
          <w:rFonts w:eastAsia="Times New Roman"/>
          <w:lang w:val="fr-FR"/>
        </w:rPr>
        <w:t>’</w:t>
      </w:r>
      <w:r w:rsidRPr="00BF7C35">
        <w:rPr>
          <w:rFonts w:eastAsia="Times New Roman"/>
          <w:lang w:val="fr-FR"/>
        </w:rPr>
        <w:t>un nombre croissant de bureaux de douanes n</w:t>
      </w:r>
      <w:r>
        <w:rPr>
          <w:rFonts w:eastAsia="Times New Roman"/>
          <w:lang w:val="fr-FR"/>
        </w:rPr>
        <w:t>’</w:t>
      </w:r>
      <w:r w:rsidRPr="00BF7C35">
        <w:rPr>
          <w:rFonts w:eastAsia="Times New Roman"/>
          <w:lang w:val="fr-FR"/>
        </w:rPr>
        <w:t>accepteraient plus les Carnets TIR délivrés par des associations étrangères, et qu</w:t>
      </w:r>
      <w:r>
        <w:rPr>
          <w:rFonts w:eastAsia="Times New Roman"/>
          <w:lang w:val="fr-FR"/>
        </w:rPr>
        <w:t>’</w:t>
      </w:r>
      <w:r w:rsidRPr="00BF7C35">
        <w:rPr>
          <w:rFonts w:eastAsia="Times New Roman"/>
          <w:lang w:val="fr-FR"/>
        </w:rPr>
        <w:t>elle exigerait des transporteurs qu</w:t>
      </w:r>
      <w:r>
        <w:rPr>
          <w:rFonts w:eastAsia="Times New Roman"/>
          <w:lang w:val="fr-FR"/>
        </w:rPr>
        <w:t>’</w:t>
      </w:r>
      <w:r w:rsidRPr="00BF7C35">
        <w:rPr>
          <w:rFonts w:eastAsia="Times New Roman"/>
          <w:lang w:val="fr-FR"/>
        </w:rPr>
        <w:t>ils obtiennent, en lieu et place, une garantie nationale. En dépit des efforts réalisés par les organes directeurs du régime TIR, ainsi qu</w:t>
      </w:r>
      <w:r>
        <w:rPr>
          <w:rFonts w:eastAsia="Times New Roman"/>
          <w:lang w:val="fr-FR"/>
        </w:rPr>
        <w:t>’</w:t>
      </w:r>
      <w:r w:rsidRPr="00BF7C35">
        <w:rPr>
          <w:rFonts w:eastAsia="Times New Roman"/>
          <w:lang w:val="fr-FR"/>
        </w:rPr>
        <w:t>au niveau national, le SFD a continué de ne pas accepter les Carnets TIR.</w:t>
      </w:r>
    </w:p>
    <w:p w:rsidR="00B03D00" w:rsidRPr="00D810CA" w:rsidRDefault="00D810CA" w:rsidP="00F1522D">
      <w:pPr>
        <w:pStyle w:val="SingleTxt"/>
        <w:numPr>
          <w:ilvl w:val="0"/>
          <w:numId w:val="9"/>
        </w:numPr>
        <w:tabs>
          <w:tab w:val="clear" w:pos="475"/>
          <w:tab w:val="num" w:pos="1742"/>
        </w:tabs>
        <w:ind w:left="1267"/>
        <w:rPr>
          <w:rFonts w:eastAsia="Times New Roman"/>
          <w:lang w:val="fr-FR"/>
        </w:rPr>
      </w:pPr>
      <w:r>
        <w:rPr>
          <w:rFonts w:eastAsia="Times New Roman"/>
          <w:lang w:val="fr-FR"/>
        </w:rPr>
        <w:t>Le 25 </w:t>
      </w:r>
      <w:r w:rsidR="00B03D00" w:rsidRPr="00BF7C35">
        <w:rPr>
          <w:rFonts w:eastAsia="Times New Roman"/>
          <w:lang w:val="fr-FR"/>
        </w:rPr>
        <w:t>février 2015, le SFD a informé le secrétariat que l</w:t>
      </w:r>
      <w:r w:rsidR="00B03D00">
        <w:rPr>
          <w:rFonts w:eastAsia="Times New Roman"/>
          <w:lang w:val="fr-FR"/>
        </w:rPr>
        <w:t>’</w:t>
      </w:r>
      <w:r w:rsidR="00B03D00" w:rsidRPr="00BF7C35">
        <w:rPr>
          <w:rFonts w:eastAsia="Times New Roman"/>
          <w:lang w:val="fr-FR"/>
        </w:rPr>
        <w:t>accord existant avec l</w:t>
      </w:r>
      <w:r w:rsidR="00B03D00">
        <w:rPr>
          <w:rFonts w:eastAsia="Times New Roman"/>
          <w:lang w:val="fr-FR"/>
        </w:rPr>
        <w:t>’</w:t>
      </w:r>
      <w:r w:rsidR="00B03D00" w:rsidRPr="00BF7C35">
        <w:rPr>
          <w:rFonts w:eastAsia="Times New Roman"/>
          <w:lang w:val="fr-FR"/>
        </w:rPr>
        <w:t>Association des transporteurs routiers internationaux (ASMAP) avait été prolongé jusqu</w:t>
      </w:r>
      <w:r w:rsidR="00B03D00">
        <w:rPr>
          <w:rFonts w:eastAsia="Times New Roman"/>
          <w:lang w:val="fr-FR"/>
        </w:rPr>
        <w:t>’</w:t>
      </w:r>
      <w:r w:rsidR="00B03D00" w:rsidRPr="00BF7C35">
        <w:rPr>
          <w:rFonts w:eastAsia="Times New Roman"/>
          <w:lang w:val="fr-FR"/>
        </w:rPr>
        <w:t>au 30</w:t>
      </w:r>
      <w:r>
        <w:rPr>
          <w:rFonts w:eastAsia="Times New Roman"/>
          <w:lang w:val="fr-FR"/>
        </w:rPr>
        <w:t> </w:t>
      </w:r>
      <w:r w:rsidR="00B03D00" w:rsidRPr="00BF7C35">
        <w:rPr>
          <w:rFonts w:eastAsia="Times New Roman"/>
          <w:lang w:val="fr-FR"/>
        </w:rPr>
        <w:t>juin 2015. Le même jour, le Président de la Fédération de Russie, M.</w:t>
      </w:r>
      <w:r>
        <w:rPr>
          <w:rFonts w:eastAsia="Times New Roman"/>
          <w:lang w:val="fr-FR"/>
        </w:rPr>
        <w:t> </w:t>
      </w:r>
      <w:r w:rsidR="00B03D00" w:rsidRPr="00BF7C35">
        <w:rPr>
          <w:rFonts w:eastAsia="Times New Roman"/>
          <w:lang w:val="fr-FR"/>
        </w:rPr>
        <w:t>Vladimir Poutine, a pris un décret demandant au Gouvernement de la Fédération de Russie de prendre diverses mesures visant à assurer la continuité du fonctionnement de la Convention TIR sur le territoire de la Fédération de Russie.</w:t>
      </w:r>
    </w:p>
    <w:p w:rsidR="00B03D00" w:rsidRPr="00BF7C35" w:rsidRDefault="00B03D00" w:rsidP="00F1522D">
      <w:pPr>
        <w:pStyle w:val="SingleTxt"/>
        <w:numPr>
          <w:ilvl w:val="0"/>
          <w:numId w:val="9"/>
        </w:numPr>
        <w:tabs>
          <w:tab w:val="clear" w:pos="475"/>
          <w:tab w:val="num" w:pos="1742"/>
        </w:tabs>
        <w:ind w:left="1267"/>
        <w:rPr>
          <w:rFonts w:eastAsia="Times New Roman"/>
          <w:lang w:val="fr-FR"/>
        </w:rPr>
      </w:pPr>
      <w:r w:rsidRPr="00BF7C35">
        <w:rPr>
          <w:rFonts w:eastAsia="Times New Roman"/>
          <w:lang w:val="fr-FR"/>
        </w:rPr>
        <w:t>Le 29 mai 2015, les membres du Conseil intergouvernemental eurasien avaient signé l</w:t>
      </w:r>
      <w:r>
        <w:rPr>
          <w:rFonts w:eastAsia="Times New Roman"/>
          <w:lang w:val="fr-FR"/>
        </w:rPr>
        <w:t>’</w:t>
      </w:r>
      <w:r w:rsidR="00D810CA">
        <w:rPr>
          <w:rFonts w:eastAsia="Times New Roman"/>
          <w:lang w:val="fr-FR"/>
        </w:rPr>
        <w:t>ordonnance n</w:t>
      </w:r>
      <w:r w:rsidR="00D810CA" w:rsidRPr="00D810CA">
        <w:rPr>
          <w:rFonts w:eastAsia="Times New Roman"/>
          <w:vertAlign w:val="superscript"/>
          <w:lang w:val="fr-FR"/>
        </w:rPr>
        <w:t>o</w:t>
      </w:r>
      <w:r w:rsidR="00D810CA">
        <w:rPr>
          <w:rFonts w:eastAsia="Times New Roman"/>
          <w:lang w:val="fr-FR"/>
        </w:rPr>
        <w:t> </w:t>
      </w:r>
      <w:r w:rsidRPr="00BF7C35">
        <w:rPr>
          <w:rFonts w:eastAsia="Times New Roman"/>
          <w:lang w:val="fr-FR"/>
        </w:rPr>
        <w:t>12, qui disposait notamment que les États membres de l</w:t>
      </w:r>
      <w:r>
        <w:rPr>
          <w:rFonts w:eastAsia="Times New Roman"/>
          <w:lang w:val="fr-FR"/>
        </w:rPr>
        <w:t>’</w:t>
      </w:r>
      <w:r w:rsidRPr="00BF7C35">
        <w:rPr>
          <w:rFonts w:eastAsia="Times New Roman"/>
          <w:lang w:val="fr-FR"/>
        </w:rPr>
        <w:t>Union économique eurasienne devaient assurer l</w:t>
      </w:r>
      <w:r>
        <w:rPr>
          <w:rFonts w:eastAsia="Times New Roman"/>
          <w:lang w:val="fr-FR"/>
        </w:rPr>
        <w:t>’</w:t>
      </w:r>
      <w:r w:rsidRPr="00BF7C35">
        <w:rPr>
          <w:rFonts w:eastAsia="Times New Roman"/>
          <w:lang w:val="fr-FR"/>
        </w:rPr>
        <w:t>application ininterrompue de la Convention TIR sur le territoire de l</w:t>
      </w:r>
      <w:r>
        <w:rPr>
          <w:rFonts w:eastAsia="Times New Roman"/>
          <w:lang w:val="fr-FR"/>
        </w:rPr>
        <w:t>’</w:t>
      </w:r>
      <w:r w:rsidRPr="00BF7C35">
        <w:rPr>
          <w:rFonts w:eastAsia="Times New Roman"/>
          <w:lang w:val="fr-FR"/>
        </w:rPr>
        <w:t>Union, et que cette ordonnance entrerait en vigueur dix jours après sa date officielle de publication.</w:t>
      </w:r>
    </w:p>
    <w:p w:rsidR="00B03D00" w:rsidRDefault="00B03D00" w:rsidP="00F1522D">
      <w:pPr>
        <w:pStyle w:val="SingleTxt"/>
        <w:numPr>
          <w:ilvl w:val="0"/>
          <w:numId w:val="9"/>
        </w:numPr>
        <w:tabs>
          <w:tab w:val="clear" w:pos="475"/>
          <w:tab w:val="num" w:pos="1742"/>
        </w:tabs>
        <w:ind w:left="1267"/>
        <w:rPr>
          <w:rFonts w:eastAsia="Times New Roman"/>
          <w:lang w:val="fr-FR"/>
        </w:rPr>
      </w:pPr>
      <w:r w:rsidRPr="00BF7C35">
        <w:rPr>
          <w:rFonts w:eastAsia="Times New Roman"/>
          <w:lang w:val="fr-FR"/>
        </w:rPr>
        <w:t>En juin 2015, le SFD a annoncé qu</w:t>
      </w:r>
      <w:r>
        <w:rPr>
          <w:rFonts w:eastAsia="Times New Roman"/>
          <w:lang w:val="fr-FR"/>
        </w:rPr>
        <w:t>’</w:t>
      </w:r>
      <w:r w:rsidRPr="00BF7C35">
        <w:rPr>
          <w:rFonts w:eastAsia="Times New Roman"/>
          <w:lang w:val="fr-FR"/>
        </w:rPr>
        <w:t>il avait rétabli sa coopération avec l</w:t>
      </w:r>
      <w:r>
        <w:rPr>
          <w:rFonts w:eastAsia="Times New Roman"/>
          <w:lang w:val="fr-FR"/>
        </w:rPr>
        <w:t>’</w:t>
      </w:r>
      <w:r w:rsidRPr="00BF7C35">
        <w:rPr>
          <w:rFonts w:eastAsia="Times New Roman"/>
          <w:lang w:val="fr-FR"/>
        </w:rPr>
        <w:t>association garante nationale, l</w:t>
      </w:r>
      <w:r>
        <w:rPr>
          <w:rFonts w:eastAsia="Times New Roman"/>
          <w:lang w:val="fr-FR"/>
        </w:rPr>
        <w:t>’</w:t>
      </w:r>
      <w:r w:rsidRPr="00BF7C35">
        <w:rPr>
          <w:rFonts w:eastAsia="Times New Roman"/>
          <w:lang w:val="fr-FR"/>
        </w:rPr>
        <w:t>ASMAP, conformément à l</w:t>
      </w:r>
      <w:r>
        <w:rPr>
          <w:rFonts w:eastAsia="Times New Roman"/>
          <w:lang w:val="fr-FR"/>
        </w:rPr>
        <w:t>’</w:t>
      </w:r>
      <w:r w:rsidRPr="00BF7C35">
        <w:rPr>
          <w:rFonts w:eastAsia="Times New Roman"/>
          <w:lang w:val="fr-FR"/>
        </w:rPr>
        <w:t>accord de garantie TIR de 2004. En outre, une liste des points de passage frontaliers ouverts au régime TIR avait été définie et était jointe à un projet de décret qui devait entrer en vigueur après la conclusion des consultations légalement requises. Suite à la diffusion de cette liste de 34 bureaux de douane aux divers postes frontaliers, certains de ces bureaux de douane ont déjà commencé à laisser passer les transports TIR. Toutefois, au moment de la soumission du présent document, aucune information sur l</w:t>
      </w:r>
      <w:r>
        <w:rPr>
          <w:rFonts w:eastAsia="Times New Roman"/>
          <w:lang w:val="fr-FR"/>
        </w:rPr>
        <w:t>’</w:t>
      </w:r>
      <w:r w:rsidRPr="00BF7C35">
        <w:rPr>
          <w:rFonts w:eastAsia="Times New Roman"/>
          <w:lang w:val="fr-FR"/>
        </w:rPr>
        <w:t>aboutissement des consultations ou sur la date d</w:t>
      </w:r>
      <w:r>
        <w:rPr>
          <w:rFonts w:eastAsia="Times New Roman"/>
          <w:lang w:val="fr-FR"/>
        </w:rPr>
        <w:t>’</w:t>
      </w:r>
      <w:r w:rsidRPr="00BF7C35">
        <w:rPr>
          <w:rFonts w:eastAsia="Times New Roman"/>
          <w:lang w:val="fr-FR"/>
        </w:rPr>
        <w:t>entrée en vigueur éventuelle du projet de décret n</w:t>
      </w:r>
      <w:r>
        <w:rPr>
          <w:rFonts w:eastAsia="Times New Roman"/>
          <w:lang w:val="fr-FR"/>
        </w:rPr>
        <w:t>’</w:t>
      </w:r>
      <w:r w:rsidRPr="00BF7C35">
        <w:rPr>
          <w:rFonts w:eastAsia="Times New Roman"/>
          <w:lang w:val="fr-FR"/>
        </w:rPr>
        <w:t>avait été communiquée au secrétariat.</w:t>
      </w:r>
    </w:p>
    <w:p w:rsidR="00D810CA" w:rsidRPr="00D810CA" w:rsidRDefault="00D810CA" w:rsidP="00D810CA">
      <w:pPr>
        <w:pStyle w:val="SingleTxt"/>
        <w:spacing w:after="0" w:line="120" w:lineRule="exact"/>
        <w:rPr>
          <w:sz w:val="10"/>
          <w:lang w:val="fr-FR"/>
        </w:rPr>
      </w:pPr>
    </w:p>
    <w:p w:rsidR="00D810CA" w:rsidRPr="00D810CA" w:rsidRDefault="00D810CA" w:rsidP="00D810CA">
      <w:pPr>
        <w:pStyle w:val="SingleTxt"/>
        <w:spacing w:after="0" w:line="120" w:lineRule="exact"/>
        <w:rPr>
          <w:sz w:val="10"/>
          <w:lang w:val="fr-FR"/>
        </w:rPr>
      </w:pPr>
    </w:p>
    <w:p w:rsidR="00B03D00" w:rsidRDefault="00B03D00" w:rsidP="00D810C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tab/>
        <w:t>VII.</w:t>
      </w:r>
      <w:r w:rsidRPr="00BF7C35">
        <w:rPr>
          <w:lang w:val="fr-FR"/>
        </w:rPr>
        <w:tab/>
        <w:t>Projet eTIR</w:t>
      </w:r>
    </w:p>
    <w:p w:rsidR="00D810CA" w:rsidRPr="00D810CA" w:rsidRDefault="00D810CA" w:rsidP="00D810CA">
      <w:pPr>
        <w:pStyle w:val="SingleTxt"/>
        <w:spacing w:after="0" w:line="120" w:lineRule="exact"/>
        <w:rPr>
          <w:sz w:val="10"/>
          <w:lang w:val="fr-FR"/>
        </w:rPr>
      </w:pPr>
    </w:p>
    <w:p w:rsidR="00D810CA" w:rsidRPr="00D810CA" w:rsidRDefault="00D810CA" w:rsidP="00D810CA">
      <w:pPr>
        <w:pStyle w:val="SingleTxt"/>
        <w:spacing w:after="0" w:line="120" w:lineRule="exact"/>
        <w:rPr>
          <w:sz w:val="10"/>
          <w:lang w:val="fr-FR"/>
        </w:rPr>
      </w:pPr>
    </w:p>
    <w:p w:rsidR="00B03D00" w:rsidRPr="00BF7C35" w:rsidRDefault="00B03D00" w:rsidP="00F1522D">
      <w:pPr>
        <w:pStyle w:val="SingleTxt"/>
        <w:numPr>
          <w:ilvl w:val="0"/>
          <w:numId w:val="9"/>
        </w:numPr>
        <w:tabs>
          <w:tab w:val="clear" w:pos="475"/>
          <w:tab w:val="num" w:pos="1742"/>
        </w:tabs>
        <w:ind w:left="1267"/>
        <w:rPr>
          <w:rFonts w:eastAsia="Times New Roman"/>
          <w:lang w:val="fr-FR"/>
        </w:rPr>
      </w:pPr>
      <w:r w:rsidRPr="00BF7C35">
        <w:rPr>
          <w:rFonts w:eastAsia="Times New Roman"/>
          <w:lang w:val="fr-FR"/>
        </w:rPr>
        <w:t xml:space="preserve">Le Comité souhaitera peut-être rappeler que les Parties contractantes à la Convention TIR ont lancé en 2003 le </w:t>
      </w:r>
      <w:r w:rsidR="00D810CA">
        <w:rPr>
          <w:rFonts w:eastAsia="Times New Roman"/>
          <w:lang w:val="fr-FR"/>
        </w:rPr>
        <w:t>« </w:t>
      </w:r>
      <w:r w:rsidRPr="00BF7C35">
        <w:rPr>
          <w:rFonts w:eastAsia="Times New Roman"/>
          <w:lang w:val="fr-FR"/>
        </w:rPr>
        <w:t>projet eTIR</w:t>
      </w:r>
      <w:r w:rsidR="00D810CA">
        <w:rPr>
          <w:rFonts w:eastAsia="Times New Roman"/>
          <w:lang w:val="fr-FR"/>
        </w:rPr>
        <w:t> »</w:t>
      </w:r>
      <w:r w:rsidRPr="00BF7C35">
        <w:rPr>
          <w:rFonts w:eastAsia="Times New Roman"/>
          <w:lang w:val="fr-FR"/>
        </w:rPr>
        <w:t>, dans le but de remplacer l</w:t>
      </w:r>
      <w:r>
        <w:rPr>
          <w:rFonts w:eastAsia="Times New Roman"/>
          <w:lang w:val="fr-FR"/>
        </w:rPr>
        <w:t>’</w:t>
      </w:r>
      <w:r w:rsidRPr="00BF7C35">
        <w:rPr>
          <w:rFonts w:eastAsia="Times New Roman"/>
          <w:lang w:val="fr-FR"/>
        </w:rPr>
        <w:t>utilisation du carnet TIR sur support papier par un échange de messages électroniques entre les intervenants en jeu dans l</w:t>
      </w:r>
      <w:r>
        <w:rPr>
          <w:rFonts w:eastAsia="Times New Roman"/>
          <w:lang w:val="fr-FR"/>
        </w:rPr>
        <w:t>’</w:t>
      </w:r>
      <w:r w:rsidRPr="00BF7C35">
        <w:rPr>
          <w:rFonts w:eastAsia="Times New Roman"/>
          <w:lang w:val="fr-FR"/>
        </w:rPr>
        <w:t>opération TIR. Un régime TIR informatisé offrira de nouvelles possibilités importantes en matière de sécurité et de gestion des risques, réduisant ainsi le risque de fraude. De plus, une coopération internationale renforcée permettra à tous les intervenants de réduire sensiblement leur charge administrative et d</w:t>
      </w:r>
      <w:r>
        <w:rPr>
          <w:rFonts w:eastAsia="Times New Roman"/>
          <w:lang w:val="fr-FR"/>
        </w:rPr>
        <w:t>’</w:t>
      </w:r>
      <w:r w:rsidRPr="00BF7C35">
        <w:rPr>
          <w:rFonts w:eastAsia="Times New Roman"/>
          <w:lang w:val="fr-FR"/>
        </w:rPr>
        <w:t>optimiser les avantages que présente la gestion intégrée d</w:t>
      </w:r>
      <w:r>
        <w:rPr>
          <w:rFonts w:eastAsia="Times New Roman"/>
          <w:lang w:val="fr-FR"/>
        </w:rPr>
        <w:t>’</w:t>
      </w:r>
      <w:r w:rsidRPr="00BF7C35">
        <w:rPr>
          <w:rFonts w:eastAsia="Times New Roman"/>
          <w:lang w:val="fr-FR"/>
        </w:rPr>
        <w:t>une chaîne d</w:t>
      </w:r>
      <w:r>
        <w:rPr>
          <w:rFonts w:eastAsia="Times New Roman"/>
          <w:lang w:val="fr-FR"/>
        </w:rPr>
        <w:t>’</w:t>
      </w:r>
      <w:r w:rsidRPr="00BF7C35">
        <w:rPr>
          <w:rFonts w:eastAsia="Times New Roman"/>
          <w:lang w:val="fr-FR"/>
        </w:rPr>
        <w:t>approvisionnement. Enfin, la communication anticipée des renseignements concernant le chargement ainsi que l</w:t>
      </w:r>
      <w:r>
        <w:rPr>
          <w:rFonts w:eastAsia="Times New Roman"/>
          <w:lang w:val="fr-FR"/>
        </w:rPr>
        <w:t>’</w:t>
      </w:r>
      <w:r w:rsidRPr="00BF7C35">
        <w:rPr>
          <w:rFonts w:eastAsia="Times New Roman"/>
          <w:lang w:val="fr-FR"/>
        </w:rPr>
        <w:t>échange de renseignements en temps réel accéléreront la procédure TIR.</w:t>
      </w:r>
    </w:p>
    <w:p w:rsidR="00B03D00" w:rsidRPr="00BF7C35" w:rsidRDefault="00B03D00" w:rsidP="00F1522D">
      <w:pPr>
        <w:pStyle w:val="SingleTxt"/>
        <w:numPr>
          <w:ilvl w:val="0"/>
          <w:numId w:val="9"/>
        </w:numPr>
        <w:tabs>
          <w:tab w:val="clear" w:pos="475"/>
          <w:tab w:val="num" w:pos="1742"/>
        </w:tabs>
        <w:ind w:left="1267"/>
        <w:rPr>
          <w:rFonts w:eastAsia="Times New Roman"/>
          <w:lang w:val="fr-FR"/>
        </w:rPr>
      </w:pPr>
      <w:r w:rsidRPr="00BF7C35">
        <w:rPr>
          <w:rFonts w:eastAsia="Times New Roman"/>
          <w:lang w:val="fr-FR"/>
        </w:rPr>
        <w:t>Depuis le début du projet eTIR, plusieurs initiatives ont été prises par les administrations des douanes et le secteur privé en vue d</w:t>
      </w:r>
      <w:r>
        <w:rPr>
          <w:rFonts w:eastAsia="Times New Roman"/>
          <w:lang w:val="fr-FR"/>
        </w:rPr>
        <w:t>’</w:t>
      </w:r>
      <w:r w:rsidRPr="00BF7C35">
        <w:rPr>
          <w:rFonts w:eastAsia="Times New Roman"/>
          <w:lang w:val="fr-FR"/>
        </w:rPr>
        <w:t xml:space="preserve">éliminer certaines des contraintes liées au régime TIR fondé sur le support papier. Dans la plupart des pays partie contractantes à la Convention TIR, la gestion des opérations TIR est actuellement assurée par des systèmes douaniers informatiques qui, dans certains pays, permettent aux transporteurs de communiquer au préalable les données relatives aux </w:t>
      </w:r>
      <w:r w:rsidRPr="00BF7C35">
        <w:rPr>
          <w:rFonts w:eastAsia="Times New Roman"/>
          <w:lang w:val="fr-FR"/>
        </w:rPr>
        <w:lastRenderedPageBreak/>
        <w:t>transports TIR sous forme électronique, voire les y obligent. Le secteur privé, et en particulier l</w:t>
      </w:r>
      <w:r>
        <w:rPr>
          <w:rFonts w:eastAsia="Times New Roman"/>
          <w:lang w:val="fr-FR"/>
        </w:rPr>
        <w:t>’</w:t>
      </w:r>
      <w:r w:rsidRPr="00BF7C35">
        <w:rPr>
          <w:rFonts w:eastAsia="Times New Roman"/>
          <w:lang w:val="fr-FR"/>
        </w:rPr>
        <w:t>IRU, soucieux de mieux gérer les risques liés à la fourniture de garanties couvrant le transit international, a également informatisé la gestion de la plupart des activités liées au régime TIR.</w:t>
      </w:r>
    </w:p>
    <w:p w:rsidR="00B03D00" w:rsidRDefault="00B03D00" w:rsidP="00F1522D">
      <w:pPr>
        <w:pStyle w:val="SingleTxt"/>
        <w:numPr>
          <w:ilvl w:val="0"/>
          <w:numId w:val="9"/>
        </w:numPr>
        <w:tabs>
          <w:tab w:val="clear" w:pos="475"/>
          <w:tab w:val="num" w:pos="1742"/>
        </w:tabs>
        <w:ind w:left="1267"/>
        <w:rPr>
          <w:rFonts w:eastAsia="Times New Roman"/>
          <w:lang w:val="fr-FR"/>
        </w:rPr>
      </w:pPr>
      <w:r w:rsidRPr="00BF7C35">
        <w:rPr>
          <w:rFonts w:eastAsia="Times New Roman"/>
          <w:lang w:val="fr-FR"/>
        </w:rPr>
        <w:t>Le projet eTIR bénéficie certainement de ces initiatives, mais il convient de souligner qu</w:t>
      </w:r>
      <w:r>
        <w:rPr>
          <w:rFonts w:eastAsia="Times New Roman"/>
          <w:lang w:val="fr-FR"/>
        </w:rPr>
        <w:t>’</w:t>
      </w:r>
      <w:r w:rsidRPr="00BF7C35">
        <w:rPr>
          <w:rFonts w:eastAsia="Times New Roman"/>
          <w:lang w:val="fr-FR"/>
        </w:rPr>
        <w:t>il est le seul à permettre à toutes les Parties contractantes à la Convention TIR de disposer d</w:t>
      </w:r>
      <w:r>
        <w:rPr>
          <w:rFonts w:eastAsia="Times New Roman"/>
          <w:lang w:val="fr-FR"/>
        </w:rPr>
        <w:t>’</w:t>
      </w:r>
      <w:r w:rsidRPr="00BF7C35">
        <w:rPr>
          <w:rFonts w:eastAsia="Times New Roman"/>
          <w:lang w:val="fr-FR"/>
        </w:rPr>
        <w:t>une plate-forme unique pour l</w:t>
      </w:r>
      <w:r>
        <w:rPr>
          <w:rFonts w:eastAsia="Times New Roman"/>
          <w:lang w:val="fr-FR"/>
        </w:rPr>
        <w:t>’</w:t>
      </w:r>
      <w:r w:rsidRPr="00BF7C35">
        <w:rPr>
          <w:rFonts w:eastAsia="Times New Roman"/>
          <w:lang w:val="fr-FR"/>
        </w:rPr>
        <w:t>échange d</w:t>
      </w:r>
      <w:r>
        <w:rPr>
          <w:rFonts w:eastAsia="Times New Roman"/>
          <w:lang w:val="fr-FR"/>
        </w:rPr>
        <w:t>’</w:t>
      </w:r>
      <w:r w:rsidRPr="00BF7C35">
        <w:rPr>
          <w:rFonts w:eastAsia="Times New Roman"/>
          <w:lang w:val="fr-FR"/>
        </w:rPr>
        <w:t>informations entre administrations douanières (C2C), et à donner aux autorités douanières la possibilité de gérer les données relatives aux garanties fournies par les garants aux détenteurs de carnets TIR autorisés. Divers projets pilotes (voir par.</w:t>
      </w:r>
      <w:r w:rsidR="00D810CA">
        <w:rPr>
          <w:rFonts w:eastAsia="Times New Roman"/>
          <w:lang w:val="fr-FR"/>
        </w:rPr>
        <w:t> </w:t>
      </w:r>
      <w:r w:rsidRPr="00BF7C35">
        <w:rPr>
          <w:rFonts w:eastAsia="Times New Roman"/>
          <w:lang w:val="fr-FR"/>
        </w:rPr>
        <w:t>38 à 45 ci-après) sont menés actuellement afin de montrer que la Convention TIR peut être totalement appliquée de manière électronique et de valider les concepts énoncés dans le modèle de référence eTIR (dernière version</w:t>
      </w:r>
      <w:r w:rsidR="00125417">
        <w:rPr>
          <w:rFonts w:eastAsia="Times New Roman"/>
          <w:lang w:val="fr-FR"/>
        </w:rPr>
        <w:t> </w:t>
      </w:r>
      <w:r w:rsidRPr="00BF7C35">
        <w:rPr>
          <w:rFonts w:eastAsia="Times New Roman"/>
          <w:lang w:val="fr-FR"/>
        </w:rPr>
        <w:t>: ECE/TRANS/ WP.30/2011/4/Rev.1).</w:t>
      </w:r>
    </w:p>
    <w:p w:rsidR="00D810CA" w:rsidRPr="00D810CA" w:rsidRDefault="00D810CA" w:rsidP="00D810CA">
      <w:pPr>
        <w:pStyle w:val="SingleTxt"/>
        <w:spacing w:after="0" w:line="120" w:lineRule="exact"/>
        <w:rPr>
          <w:sz w:val="10"/>
          <w:lang w:val="fr-FR"/>
        </w:rPr>
      </w:pPr>
    </w:p>
    <w:p w:rsidR="00D810CA" w:rsidRPr="00D810CA" w:rsidRDefault="00D810CA" w:rsidP="00D810CA">
      <w:pPr>
        <w:pStyle w:val="SingleTxt"/>
        <w:spacing w:after="0" w:line="120" w:lineRule="exact"/>
        <w:rPr>
          <w:sz w:val="10"/>
          <w:lang w:val="fr-FR"/>
        </w:rPr>
      </w:pPr>
    </w:p>
    <w:p w:rsidR="00B03D00" w:rsidRDefault="00B03D00" w:rsidP="00D810C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tab/>
        <w:t>A.</w:t>
      </w:r>
      <w:r w:rsidRPr="00BF7C35">
        <w:rPr>
          <w:lang w:val="fr-FR"/>
        </w:rPr>
        <w:tab/>
        <w:t>Faits nouveaux concernant le Groupe spécial informel d</w:t>
      </w:r>
      <w:r>
        <w:rPr>
          <w:lang w:val="fr-FR"/>
        </w:rPr>
        <w:t>’</w:t>
      </w:r>
      <w:r w:rsidRPr="00BF7C35">
        <w:rPr>
          <w:lang w:val="fr-FR"/>
        </w:rPr>
        <w:t>experts</w:t>
      </w:r>
      <w:r w:rsidR="00D810CA">
        <w:rPr>
          <w:lang w:val="fr-FR"/>
        </w:rPr>
        <w:t xml:space="preserve"> </w:t>
      </w:r>
      <w:r w:rsidRPr="00BF7C35">
        <w:rPr>
          <w:lang w:val="fr-FR"/>
        </w:rPr>
        <w:br/>
        <w:t>des aspects théoriques et techniques de l</w:t>
      </w:r>
      <w:r>
        <w:rPr>
          <w:lang w:val="fr-FR"/>
        </w:rPr>
        <w:t>’</w:t>
      </w:r>
      <w:r w:rsidRPr="00BF7C35">
        <w:rPr>
          <w:lang w:val="fr-FR"/>
        </w:rPr>
        <w:t>informatisation</w:t>
      </w:r>
      <w:r w:rsidR="00D810CA">
        <w:rPr>
          <w:lang w:val="fr-FR"/>
        </w:rPr>
        <w:t xml:space="preserve"> </w:t>
      </w:r>
      <w:r w:rsidRPr="00BF7C35">
        <w:rPr>
          <w:lang w:val="fr-FR"/>
        </w:rPr>
        <w:br/>
        <w:t>du régime TIR (GE.1)</w:t>
      </w:r>
    </w:p>
    <w:p w:rsidR="00D810CA" w:rsidRPr="00D810CA" w:rsidRDefault="00D810CA" w:rsidP="00D810CA">
      <w:pPr>
        <w:pStyle w:val="SingleTxt"/>
        <w:spacing w:after="0" w:line="120" w:lineRule="exact"/>
        <w:rPr>
          <w:sz w:val="10"/>
          <w:lang w:val="fr-FR"/>
        </w:rPr>
      </w:pPr>
    </w:p>
    <w:p w:rsidR="00D810CA" w:rsidRPr="00D810CA" w:rsidRDefault="00D810CA" w:rsidP="00D810CA">
      <w:pPr>
        <w:pStyle w:val="SingleTxt"/>
        <w:spacing w:after="0" w:line="120" w:lineRule="exact"/>
        <w:rPr>
          <w:sz w:val="10"/>
          <w:lang w:val="fr-FR"/>
        </w:rPr>
      </w:pPr>
    </w:p>
    <w:p w:rsidR="00B03D00" w:rsidRPr="00F92DC6" w:rsidRDefault="00B03D00" w:rsidP="00F1522D">
      <w:pPr>
        <w:pStyle w:val="SingleTxt"/>
        <w:numPr>
          <w:ilvl w:val="0"/>
          <w:numId w:val="9"/>
        </w:numPr>
        <w:tabs>
          <w:tab w:val="clear" w:pos="475"/>
          <w:tab w:val="num" w:pos="1742"/>
        </w:tabs>
        <w:ind w:left="1267"/>
        <w:rPr>
          <w:rFonts w:eastAsia="Times New Roman"/>
          <w:spacing w:val="-2"/>
          <w:lang w:val="fr-FR"/>
        </w:rPr>
      </w:pPr>
      <w:r w:rsidRPr="00F92DC6">
        <w:rPr>
          <w:rFonts w:eastAsia="Times New Roman"/>
          <w:spacing w:val="-2"/>
          <w:lang w:val="fr-FR"/>
        </w:rPr>
        <w:t>Bien que le Groupe spécial informel d’experts des aspects théoriques et techniques de l’informatisation du régime TIR (GE.1) ne se soit pas réuni en 2015, ses activités ont été examinées de manière approfondie à la 140</w:t>
      </w:r>
      <w:r w:rsidRPr="00F92DC6">
        <w:rPr>
          <w:rFonts w:eastAsia="Times New Roman"/>
          <w:spacing w:val="-2"/>
          <w:vertAlign w:val="superscript"/>
          <w:lang w:val="fr-FR"/>
        </w:rPr>
        <w:t>e</w:t>
      </w:r>
      <w:r w:rsidR="00F92DC6">
        <w:rPr>
          <w:rFonts w:eastAsia="Times New Roman"/>
          <w:spacing w:val="-2"/>
          <w:lang w:val="fr-FR"/>
        </w:rPr>
        <w:t> </w:t>
      </w:r>
      <w:r w:rsidRPr="00F92DC6">
        <w:rPr>
          <w:rFonts w:eastAsia="Times New Roman"/>
          <w:spacing w:val="-2"/>
          <w:lang w:val="fr-FR"/>
        </w:rPr>
        <w:t>session du WP.30 (juin 2015), lorsque le GE.1 a présenté la version 4.1 du modèle de référence eTIR (ECE/TRANS/WP.30/2011/4/Rev.1) ainsi qu’un résumé de ses activités (ECE/TRANS/WP.30/2015/4) pour examen par le Groupe de travail. Les principales recommandations formulées par le GE.1 au WP.30 étaient les suivantes</w:t>
      </w:r>
      <w:r w:rsidR="00F92DC6">
        <w:rPr>
          <w:rFonts w:eastAsia="Times New Roman"/>
          <w:spacing w:val="-2"/>
          <w:lang w:val="fr-FR"/>
        </w:rPr>
        <w:t> </w:t>
      </w:r>
      <w:r w:rsidRPr="00F92DC6">
        <w:rPr>
          <w:rFonts w:eastAsia="Times New Roman"/>
          <w:spacing w:val="-2"/>
          <w:lang w:val="fr-FR"/>
        </w:rPr>
        <w:t>:</w:t>
      </w:r>
    </w:p>
    <w:p w:rsidR="00B03D00" w:rsidRPr="00BF7C35" w:rsidRDefault="00B03D00" w:rsidP="00F92DC6">
      <w:pPr>
        <w:pStyle w:val="Bullet1"/>
        <w:ind w:left="1743" w:hanging="130"/>
        <w:rPr>
          <w:lang w:val="fr-FR"/>
        </w:rPr>
      </w:pPr>
      <w:r w:rsidRPr="00BF7C35">
        <w:rPr>
          <w:lang w:val="fr-FR"/>
        </w:rPr>
        <w:t>Approuver le modèle de référence eTIR (version 4.1a), y compris les chapitres techniques 3 (Analyse) et 4 (Conception), ainsi que toutes les annexes, figurant dans le document ECE/TRANS/WP.30/2011/4/Rev.1;</w:t>
      </w:r>
    </w:p>
    <w:p w:rsidR="00B03D00" w:rsidRPr="00BF7C35" w:rsidRDefault="00B03D00" w:rsidP="00F92DC6">
      <w:pPr>
        <w:pStyle w:val="Bullet1"/>
        <w:ind w:left="1743" w:hanging="130"/>
        <w:rPr>
          <w:rFonts w:eastAsia="Times New Roman"/>
          <w:lang w:val="fr-FR"/>
        </w:rPr>
      </w:pPr>
      <w:r w:rsidRPr="00BF7C35">
        <w:rPr>
          <w:rFonts w:eastAsia="Times New Roman"/>
          <w:lang w:val="fr-FR"/>
        </w:rPr>
        <w:t>Examiner les moyens d</w:t>
      </w:r>
      <w:r>
        <w:rPr>
          <w:rFonts w:eastAsia="Times New Roman"/>
          <w:lang w:val="fr-FR"/>
        </w:rPr>
        <w:t>’</w:t>
      </w:r>
      <w:r w:rsidRPr="00BF7C35">
        <w:rPr>
          <w:rFonts w:eastAsia="Times New Roman"/>
          <w:lang w:val="fr-FR"/>
        </w:rPr>
        <w:t>attribuer un statut juridique au modèle de référence eTIR (ou dans quelle mesure cela pourrait être fait);</w:t>
      </w:r>
    </w:p>
    <w:p w:rsidR="00B03D00" w:rsidRPr="00BF7C35" w:rsidRDefault="00B03D00" w:rsidP="00F92DC6">
      <w:pPr>
        <w:pStyle w:val="Bullet1"/>
        <w:ind w:left="1743" w:hanging="130"/>
        <w:rPr>
          <w:rFonts w:eastAsia="Times New Roman"/>
          <w:lang w:val="fr-FR"/>
        </w:rPr>
      </w:pPr>
      <w:r w:rsidRPr="00BF7C35">
        <w:rPr>
          <w:rFonts w:eastAsia="Times New Roman"/>
          <w:lang w:val="fr-FR"/>
        </w:rPr>
        <w:t>Approuver les recommandations découlant de l</w:t>
      </w:r>
      <w:r>
        <w:rPr>
          <w:rFonts w:eastAsia="Times New Roman"/>
          <w:lang w:val="fr-FR"/>
        </w:rPr>
        <w:t>’</w:t>
      </w:r>
      <w:r w:rsidRPr="00BF7C35">
        <w:rPr>
          <w:rFonts w:eastAsia="Times New Roman"/>
          <w:lang w:val="fr-FR"/>
        </w:rPr>
        <w:t>analyse coûts-avantages effectuée par le GE.1, notamment, mais non exclusivement, le financement du système eTIR au moyen d</w:t>
      </w:r>
      <w:r>
        <w:rPr>
          <w:rFonts w:eastAsia="Times New Roman"/>
          <w:lang w:val="fr-FR"/>
        </w:rPr>
        <w:t>’</w:t>
      </w:r>
      <w:r w:rsidRPr="00BF7C35">
        <w:rPr>
          <w:rFonts w:eastAsia="Times New Roman"/>
          <w:lang w:val="fr-FR"/>
        </w:rPr>
        <w:t>un système contributif et son hébergement sous les auspices de l</w:t>
      </w:r>
      <w:r>
        <w:rPr>
          <w:rFonts w:eastAsia="Times New Roman"/>
          <w:lang w:val="fr-FR"/>
        </w:rPr>
        <w:t>’</w:t>
      </w:r>
      <w:r w:rsidRPr="00BF7C35">
        <w:rPr>
          <w:rFonts w:eastAsia="Times New Roman"/>
          <w:lang w:val="fr-FR"/>
        </w:rPr>
        <w:t>Office des Nations Unies à Genève;</w:t>
      </w:r>
    </w:p>
    <w:p w:rsidR="00B03D00" w:rsidRPr="00BF7C35" w:rsidRDefault="00B03D00" w:rsidP="00F92DC6">
      <w:pPr>
        <w:pStyle w:val="Bullet1"/>
        <w:ind w:left="1743" w:hanging="130"/>
        <w:rPr>
          <w:rFonts w:eastAsia="Times New Roman"/>
          <w:lang w:val="fr-FR"/>
        </w:rPr>
      </w:pPr>
      <w:r w:rsidRPr="00BF7C35">
        <w:rPr>
          <w:rFonts w:eastAsia="Times New Roman"/>
          <w:lang w:val="fr-FR"/>
        </w:rPr>
        <w:t>Envisager la mise en place d</w:t>
      </w:r>
      <w:r>
        <w:rPr>
          <w:rFonts w:eastAsia="Times New Roman"/>
          <w:lang w:val="fr-FR"/>
        </w:rPr>
        <w:t>’</w:t>
      </w:r>
      <w:r w:rsidRPr="00BF7C35">
        <w:rPr>
          <w:rFonts w:eastAsia="Times New Roman"/>
          <w:lang w:val="fr-FR"/>
        </w:rPr>
        <w:t>un groupe officiel d</w:t>
      </w:r>
      <w:r>
        <w:rPr>
          <w:rFonts w:eastAsia="Times New Roman"/>
          <w:lang w:val="fr-FR"/>
        </w:rPr>
        <w:t>’</w:t>
      </w:r>
      <w:r w:rsidRPr="00BF7C35">
        <w:rPr>
          <w:rFonts w:eastAsia="Times New Roman"/>
          <w:lang w:val="fr-FR"/>
        </w:rPr>
        <w:t>experts techniques chargé de donner des avis contraignants concernant les modifications techniques;</w:t>
      </w:r>
    </w:p>
    <w:p w:rsidR="00B03D00" w:rsidRPr="00BF7C35" w:rsidRDefault="00B03D00" w:rsidP="00F92DC6">
      <w:pPr>
        <w:pStyle w:val="Bullet1"/>
        <w:ind w:left="1743" w:hanging="130"/>
        <w:rPr>
          <w:rFonts w:eastAsia="Times New Roman"/>
          <w:lang w:val="fr-FR"/>
        </w:rPr>
      </w:pPr>
      <w:r w:rsidRPr="00BF7C35">
        <w:rPr>
          <w:rFonts w:eastAsia="Times New Roman"/>
          <w:lang w:val="fr-FR"/>
        </w:rPr>
        <w:t xml:space="preserve">Apporter </w:t>
      </w:r>
      <w:r w:rsidRPr="00F92DC6">
        <w:rPr>
          <w:lang w:val="fr-FR"/>
        </w:rPr>
        <w:t>un</w:t>
      </w:r>
      <w:r w:rsidRPr="00BF7C35">
        <w:rPr>
          <w:rFonts w:eastAsia="Times New Roman"/>
          <w:lang w:val="fr-FR"/>
        </w:rPr>
        <w:t xml:space="preserve"> appui à tous les projets pilotes dans le cadre desquels sont mis à l</w:t>
      </w:r>
      <w:r>
        <w:rPr>
          <w:rFonts w:eastAsia="Times New Roman"/>
          <w:lang w:val="fr-FR"/>
        </w:rPr>
        <w:t>’</w:t>
      </w:r>
      <w:r w:rsidRPr="00BF7C35">
        <w:rPr>
          <w:rFonts w:eastAsia="Times New Roman"/>
          <w:lang w:val="fr-FR"/>
        </w:rPr>
        <w:t>essai les principes contenus dans le modèle de référence eTIR.</w:t>
      </w:r>
    </w:p>
    <w:p w:rsidR="00B03D00" w:rsidRPr="00BF7C35" w:rsidRDefault="00B03D00" w:rsidP="00F1522D">
      <w:pPr>
        <w:pStyle w:val="SingleTxt"/>
        <w:numPr>
          <w:ilvl w:val="0"/>
          <w:numId w:val="9"/>
        </w:numPr>
        <w:tabs>
          <w:tab w:val="clear" w:pos="475"/>
          <w:tab w:val="num" w:pos="1742"/>
        </w:tabs>
        <w:ind w:left="1267"/>
        <w:rPr>
          <w:rFonts w:eastAsia="Times New Roman"/>
          <w:lang w:val="fr-FR"/>
        </w:rPr>
      </w:pPr>
      <w:r w:rsidRPr="00BF7C35">
        <w:rPr>
          <w:rFonts w:eastAsia="Times New Roman"/>
          <w:lang w:val="fr-FR"/>
        </w:rPr>
        <w:t xml:space="preserve">Le WP.30 a approuvé le modèle de référence eTIR, les activités du GE.1, y compris ses recommandations, et a demandé au </w:t>
      </w:r>
      <w:r w:rsidRPr="00F92DC6">
        <w:rPr>
          <w:rFonts w:eastAsia="Times New Roman"/>
          <w:spacing w:val="-2"/>
          <w:lang w:val="fr-FR"/>
        </w:rPr>
        <w:t>secrétariat</w:t>
      </w:r>
      <w:r w:rsidRPr="00BF7C35">
        <w:rPr>
          <w:rFonts w:eastAsia="Times New Roman"/>
          <w:lang w:val="fr-FR"/>
        </w:rPr>
        <w:t xml:space="preserve"> de tenir compte des recommandations appropriées dans le plan de travail et le programme de travail du Groupe ou de les inclure dans les activités du Groupe d</w:t>
      </w:r>
      <w:r>
        <w:rPr>
          <w:rFonts w:eastAsia="Times New Roman"/>
          <w:lang w:val="fr-FR"/>
        </w:rPr>
        <w:t>’</w:t>
      </w:r>
      <w:r w:rsidRPr="00BF7C35">
        <w:rPr>
          <w:rFonts w:eastAsia="Times New Roman"/>
          <w:lang w:val="fr-FR"/>
        </w:rPr>
        <w:t>experts chargé des aspects juridiques de l</w:t>
      </w:r>
      <w:r>
        <w:rPr>
          <w:rFonts w:eastAsia="Times New Roman"/>
          <w:lang w:val="fr-FR"/>
        </w:rPr>
        <w:t>’</w:t>
      </w:r>
      <w:r w:rsidRPr="00BF7C35">
        <w:rPr>
          <w:rFonts w:eastAsia="Times New Roman"/>
          <w:lang w:val="fr-FR"/>
        </w:rPr>
        <w:t>informatisation du régime TIR (GE.2). Le Groupe de travail a en outre prié le secrétariat de réunir de nouveau le GE.1 chaque fois que des questions relatives à la mise à jour ou à la modification du modèle de référence eTIR l</w:t>
      </w:r>
      <w:r>
        <w:rPr>
          <w:rFonts w:eastAsia="Times New Roman"/>
          <w:lang w:val="fr-FR"/>
        </w:rPr>
        <w:t>’</w:t>
      </w:r>
      <w:r w:rsidRPr="00BF7C35">
        <w:rPr>
          <w:rFonts w:eastAsia="Times New Roman"/>
          <w:lang w:val="fr-FR"/>
        </w:rPr>
        <w:t xml:space="preserve">imposeraient </w:t>
      </w:r>
      <w:r w:rsidR="00F92DC6">
        <w:rPr>
          <w:rFonts w:eastAsia="Times New Roman"/>
          <w:lang w:val="fr-FR"/>
        </w:rPr>
        <w:t>(voir ECE/TRANS/WP.30/280, par. </w:t>
      </w:r>
      <w:r w:rsidRPr="00BF7C35">
        <w:rPr>
          <w:rFonts w:eastAsia="Times New Roman"/>
          <w:lang w:val="fr-FR"/>
        </w:rPr>
        <w:t>9 et 10). Comme suite à cette demande, le Comité est invité à prolonger le mandat du GE.1 pour l</w:t>
      </w:r>
      <w:r>
        <w:rPr>
          <w:rFonts w:eastAsia="Times New Roman"/>
          <w:lang w:val="fr-FR"/>
        </w:rPr>
        <w:t>’</w:t>
      </w:r>
      <w:r w:rsidRPr="00BF7C35">
        <w:rPr>
          <w:rFonts w:eastAsia="Times New Roman"/>
          <w:lang w:val="fr-FR"/>
        </w:rPr>
        <w:t>année 2016.</w:t>
      </w:r>
    </w:p>
    <w:p w:rsidR="00B03D00" w:rsidRDefault="00B03D00" w:rsidP="00F92DC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lastRenderedPageBreak/>
        <w:tab/>
        <w:t>B.</w:t>
      </w:r>
      <w:r w:rsidRPr="00BF7C35">
        <w:rPr>
          <w:lang w:val="fr-FR"/>
        </w:rPr>
        <w:tab/>
        <w:t>Faits nouveaux concernant le Groupe d</w:t>
      </w:r>
      <w:r>
        <w:rPr>
          <w:lang w:val="fr-FR"/>
        </w:rPr>
        <w:t>’</w:t>
      </w:r>
      <w:r w:rsidRPr="00BF7C35">
        <w:rPr>
          <w:lang w:val="fr-FR"/>
        </w:rPr>
        <w:t>experts des aspects juridiques de l</w:t>
      </w:r>
      <w:r>
        <w:rPr>
          <w:lang w:val="fr-FR"/>
        </w:rPr>
        <w:t>’</w:t>
      </w:r>
      <w:r w:rsidR="00F92DC6">
        <w:rPr>
          <w:lang w:val="fr-FR"/>
        </w:rPr>
        <w:t>informatisation du régime TIR</w:t>
      </w:r>
    </w:p>
    <w:p w:rsidR="00F92DC6" w:rsidRPr="00F92DC6" w:rsidRDefault="00F92DC6" w:rsidP="00F92DC6">
      <w:pPr>
        <w:pStyle w:val="SingleTxt"/>
        <w:keepNext/>
        <w:spacing w:after="0" w:line="120" w:lineRule="exact"/>
        <w:rPr>
          <w:sz w:val="10"/>
          <w:lang w:val="fr-FR"/>
        </w:rPr>
      </w:pPr>
    </w:p>
    <w:p w:rsidR="00F92DC6" w:rsidRPr="00F92DC6" w:rsidRDefault="00F92DC6" w:rsidP="00F92DC6">
      <w:pPr>
        <w:pStyle w:val="SingleTxt"/>
        <w:keepNext/>
        <w:spacing w:after="0" w:line="120" w:lineRule="exact"/>
        <w:rPr>
          <w:sz w:val="10"/>
          <w:lang w:val="fr-FR"/>
        </w:rPr>
      </w:pPr>
    </w:p>
    <w:p w:rsidR="00B03D00" w:rsidRPr="00F92DC6" w:rsidRDefault="00B03D00" w:rsidP="00F1522D">
      <w:pPr>
        <w:pStyle w:val="SingleTxt"/>
        <w:numPr>
          <w:ilvl w:val="0"/>
          <w:numId w:val="9"/>
        </w:numPr>
        <w:tabs>
          <w:tab w:val="clear" w:pos="475"/>
          <w:tab w:val="num" w:pos="1742"/>
        </w:tabs>
        <w:ind w:left="1267"/>
        <w:rPr>
          <w:rFonts w:eastAsia="Times New Roman"/>
          <w:b/>
          <w:lang w:val="fr-FR"/>
        </w:rPr>
      </w:pPr>
      <w:r w:rsidRPr="00BF7C35">
        <w:rPr>
          <w:rFonts w:eastAsia="Times New Roman"/>
          <w:lang w:val="fr-FR"/>
        </w:rPr>
        <w:t>Le Comité se souviendra sans doute qu</w:t>
      </w:r>
      <w:r>
        <w:rPr>
          <w:rFonts w:eastAsia="Times New Roman"/>
          <w:lang w:val="fr-FR"/>
        </w:rPr>
        <w:t>’</w:t>
      </w:r>
      <w:r w:rsidRPr="00BF7C35">
        <w:rPr>
          <w:rFonts w:eastAsia="Times New Roman"/>
          <w:lang w:val="fr-FR"/>
        </w:rPr>
        <w:t>en 2015, il avait approuvé la création du GE.2. Le secrétariat a ensuite pris les dispositions administratives nécessaires à la mise en place de ce groupe, qui a tenu sa première session les 16 et 17 novembre 2015. À sa première session, le groupe a adopté son plan de travail et défini les domaines prioritaires de ses délibérations, parmi lesquels notamment</w:t>
      </w:r>
      <w:r w:rsidR="00125417">
        <w:rPr>
          <w:rFonts w:eastAsia="Times New Roman"/>
          <w:lang w:val="fr-FR"/>
        </w:rPr>
        <w:t> </w:t>
      </w:r>
      <w:r w:rsidRPr="00BF7C35">
        <w:rPr>
          <w:rFonts w:eastAsia="Times New Roman"/>
          <w:lang w:val="fr-FR"/>
        </w:rPr>
        <w:t>: la compatibilité du régime eTIR avec les prescriptions légales nationales; l</w:t>
      </w:r>
      <w:r>
        <w:rPr>
          <w:rFonts w:eastAsia="Times New Roman"/>
          <w:lang w:val="fr-FR"/>
        </w:rPr>
        <w:t>’</w:t>
      </w:r>
      <w:r w:rsidRPr="00BF7C35">
        <w:rPr>
          <w:rFonts w:eastAsia="Times New Roman"/>
          <w:lang w:val="fr-FR"/>
        </w:rPr>
        <w:t>administration et le financement du système international eTIR; des considérations relatives à la confidentialité des données; l</w:t>
      </w:r>
      <w:r>
        <w:rPr>
          <w:rFonts w:eastAsia="Times New Roman"/>
          <w:lang w:val="fr-FR"/>
        </w:rPr>
        <w:t>’</w:t>
      </w:r>
      <w:r w:rsidRPr="00BF7C35">
        <w:rPr>
          <w:rFonts w:eastAsia="Times New Roman"/>
          <w:lang w:val="fr-FR"/>
        </w:rPr>
        <w:t>identification du titulaire et la vérification de l</w:t>
      </w:r>
      <w:r>
        <w:rPr>
          <w:rFonts w:eastAsia="Times New Roman"/>
          <w:lang w:val="fr-FR"/>
        </w:rPr>
        <w:t>’</w:t>
      </w:r>
      <w:r w:rsidRPr="00BF7C35">
        <w:rPr>
          <w:rFonts w:eastAsia="Times New Roman"/>
          <w:lang w:val="fr-FR"/>
        </w:rPr>
        <w:t>intégrité des messages électroniques d</w:t>
      </w:r>
      <w:r>
        <w:rPr>
          <w:rFonts w:eastAsia="Times New Roman"/>
          <w:lang w:val="fr-FR"/>
        </w:rPr>
        <w:t>’</w:t>
      </w:r>
      <w:r w:rsidRPr="00BF7C35">
        <w:rPr>
          <w:rFonts w:eastAsia="Times New Roman"/>
          <w:lang w:val="fr-FR"/>
        </w:rPr>
        <w:t>échange de données; et le statut juridique du Modèle de référence eTIR et la procédure d</w:t>
      </w:r>
      <w:r>
        <w:rPr>
          <w:rFonts w:eastAsia="Times New Roman"/>
          <w:lang w:val="fr-FR"/>
        </w:rPr>
        <w:t>’</w:t>
      </w:r>
      <w:r w:rsidRPr="00BF7C35">
        <w:rPr>
          <w:rFonts w:eastAsia="Times New Roman"/>
          <w:lang w:val="fr-FR"/>
        </w:rPr>
        <w:t>amendement s</w:t>
      </w:r>
      <w:r>
        <w:rPr>
          <w:rFonts w:eastAsia="Times New Roman"/>
          <w:lang w:val="fr-FR"/>
        </w:rPr>
        <w:t>’</w:t>
      </w:r>
      <w:r w:rsidRPr="00BF7C35">
        <w:rPr>
          <w:rFonts w:eastAsia="Times New Roman"/>
          <w:lang w:val="fr-FR"/>
        </w:rPr>
        <w:t>y rapportant. Le Groupe d</w:t>
      </w:r>
      <w:r>
        <w:rPr>
          <w:rFonts w:eastAsia="Times New Roman"/>
          <w:lang w:val="fr-FR"/>
        </w:rPr>
        <w:t>’</w:t>
      </w:r>
      <w:r w:rsidRPr="00BF7C35">
        <w:rPr>
          <w:rFonts w:eastAsia="Times New Roman"/>
          <w:lang w:val="fr-FR"/>
        </w:rPr>
        <w:t>experts devrait mener à bien ses travaux relatifs à l</w:t>
      </w:r>
      <w:r>
        <w:rPr>
          <w:rFonts w:eastAsia="Times New Roman"/>
          <w:lang w:val="fr-FR"/>
        </w:rPr>
        <w:t>’</w:t>
      </w:r>
      <w:r w:rsidRPr="00BF7C35">
        <w:rPr>
          <w:rFonts w:eastAsia="Times New Roman"/>
          <w:lang w:val="fr-FR"/>
        </w:rPr>
        <w:t>élaboration du cadre juridique du système eTIR approprié en 2017. Le Comité sera tenu informé de l</w:t>
      </w:r>
      <w:r>
        <w:rPr>
          <w:rFonts w:eastAsia="Times New Roman"/>
          <w:lang w:val="fr-FR"/>
        </w:rPr>
        <w:t>’</w:t>
      </w:r>
      <w:r w:rsidRPr="00BF7C35">
        <w:rPr>
          <w:rFonts w:eastAsia="Times New Roman"/>
          <w:lang w:val="fr-FR"/>
        </w:rPr>
        <w:t>état d</w:t>
      </w:r>
      <w:r>
        <w:rPr>
          <w:rFonts w:eastAsia="Times New Roman"/>
          <w:lang w:val="fr-FR"/>
        </w:rPr>
        <w:t>’</w:t>
      </w:r>
      <w:r w:rsidRPr="00BF7C35">
        <w:rPr>
          <w:rFonts w:eastAsia="Times New Roman"/>
          <w:lang w:val="fr-FR"/>
        </w:rPr>
        <w:t>avancement des travaux de ce groupe à ses sessions annuelles.</w:t>
      </w:r>
    </w:p>
    <w:p w:rsidR="00F92DC6" w:rsidRPr="00F92DC6" w:rsidRDefault="00F92DC6" w:rsidP="00F92DC6">
      <w:pPr>
        <w:pStyle w:val="SingleTxt"/>
        <w:spacing w:after="0" w:line="120" w:lineRule="exact"/>
        <w:rPr>
          <w:sz w:val="10"/>
          <w:lang w:val="fr-FR"/>
        </w:rPr>
      </w:pPr>
    </w:p>
    <w:p w:rsidR="00F92DC6" w:rsidRPr="00F92DC6" w:rsidRDefault="00F92DC6" w:rsidP="00F92DC6">
      <w:pPr>
        <w:pStyle w:val="SingleTxt"/>
        <w:spacing w:after="0" w:line="120" w:lineRule="exact"/>
        <w:rPr>
          <w:sz w:val="10"/>
          <w:lang w:val="fr-FR"/>
        </w:rPr>
      </w:pPr>
    </w:p>
    <w:p w:rsidR="00B03D00" w:rsidRDefault="00B03D00" w:rsidP="00F92DC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tab/>
        <w:t>C.</w:t>
      </w:r>
      <w:r w:rsidRPr="00BF7C35">
        <w:rPr>
          <w:lang w:val="fr-FR"/>
        </w:rPr>
        <w:tab/>
        <w:t>Projet pilote eTIR CEE/IRU</w:t>
      </w:r>
    </w:p>
    <w:p w:rsidR="00F92DC6" w:rsidRPr="00F92DC6" w:rsidRDefault="00F92DC6" w:rsidP="00F92DC6">
      <w:pPr>
        <w:pStyle w:val="SingleTxt"/>
        <w:spacing w:after="0" w:line="120" w:lineRule="exact"/>
        <w:rPr>
          <w:sz w:val="10"/>
          <w:lang w:val="fr-FR"/>
        </w:rPr>
      </w:pPr>
    </w:p>
    <w:p w:rsidR="00F92DC6" w:rsidRPr="00F92DC6" w:rsidRDefault="00F92DC6" w:rsidP="00F92DC6">
      <w:pPr>
        <w:pStyle w:val="SingleTxt"/>
        <w:spacing w:after="0" w:line="120" w:lineRule="exact"/>
        <w:rPr>
          <w:sz w:val="10"/>
          <w:lang w:val="fr-FR"/>
        </w:rPr>
      </w:pPr>
    </w:p>
    <w:p w:rsidR="00B03D00" w:rsidRPr="00BF7C35" w:rsidRDefault="00B03D00" w:rsidP="00F1522D">
      <w:pPr>
        <w:pStyle w:val="SingleTxt"/>
        <w:numPr>
          <w:ilvl w:val="0"/>
          <w:numId w:val="9"/>
        </w:numPr>
        <w:tabs>
          <w:tab w:val="clear" w:pos="475"/>
          <w:tab w:val="num" w:pos="1742"/>
        </w:tabs>
        <w:ind w:left="1267"/>
        <w:rPr>
          <w:rFonts w:eastAsia="Times New Roman"/>
          <w:lang w:val="fr-FR"/>
        </w:rPr>
      </w:pPr>
      <w:r w:rsidRPr="00BF7C35">
        <w:rPr>
          <w:rFonts w:eastAsia="Times New Roman"/>
          <w:lang w:val="fr-FR"/>
        </w:rPr>
        <w:t>Le Comité voudra bien se rappeler que, à sa soixante-seizième session, il a instamment appelé les Parties contractantes à intensifier leurs efforts pour finir d</w:t>
      </w:r>
      <w:r>
        <w:rPr>
          <w:rFonts w:eastAsia="Times New Roman"/>
          <w:lang w:val="fr-FR"/>
        </w:rPr>
        <w:t>’</w:t>
      </w:r>
      <w:r w:rsidRPr="00BF7C35">
        <w:rPr>
          <w:rFonts w:eastAsia="Times New Roman"/>
          <w:lang w:val="fr-FR"/>
        </w:rPr>
        <w:t>élaborer et lancer le projet eTIR</w:t>
      </w:r>
      <w:r w:rsidR="00F92DC6">
        <w:rPr>
          <w:rFonts w:eastAsia="Times New Roman"/>
          <w:lang w:val="fr-FR"/>
        </w:rPr>
        <w:t xml:space="preserve"> (ECE/TRANS/240, par. </w:t>
      </w:r>
      <w:r w:rsidRPr="00BF7C35">
        <w:rPr>
          <w:rFonts w:eastAsia="Times New Roman"/>
          <w:lang w:val="fr-FR"/>
        </w:rPr>
        <w:t>69). Gardant cela à l</w:t>
      </w:r>
      <w:r>
        <w:rPr>
          <w:rFonts w:eastAsia="Times New Roman"/>
          <w:lang w:val="fr-FR"/>
        </w:rPr>
        <w:t>’</w:t>
      </w:r>
      <w:r w:rsidRPr="00BF7C35">
        <w:rPr>
          <w:rFonts w:eastAsia="Times New Roman"/>
          <w:lang w:val="fr-FR"/>
        </w:rPr>
        <w:t>esprit, et compte tenu du fait que des investissements avaient déjà été effectués à la fois par les administrations douanières et par le secteur privé dans le cadre de l</w:t>
      </w:r>
      <w:r>
        <w:rPr>
          <w:rFonts w:eastAsia="Times New Roman"/>
          <w:lang w:val="fr-FR"/>
        </w:rPr>
        <w:t>’</w:t>
      </w:r>
      <w:r w:rsidRPr="00BF7C35">
        <w:rPr>
          <w:rFonts w:eastAsia="Times New Roman"/>
          <w:lang w:val="fr-FR"/>
        </w:rPr>
        <w:t>informatisation du régime TIR, le secrétariat de la CEE et l</w:t>
      </w:r>
      <w:r>
        <w:rPr>
          <w:rFonts w:eastAsia="Times New Roman"/>
          <w:lang w:val="fr-FR"/>
        </w:rPr>
        <w:t>’</w:t>
      </w:r>
      <w:r w:rsidRPr="00BF7C35">
        <w:rPr>
          <w:rFonts w:eastAsia="Times New Roman"/>
          <w:lang w:val="fr-FR"/>
        </w:rPr>
        <w:t xml:space="preserve">IRU, avec le soutien des Parties contractantes, ont lancé en 2014 le projet pilote eTIR CEE/IRU. On trouvera des informations plus détaillées à ce sujet dans le document ECE/TRANS/WP.30/2014/9 et le document informel GE.1 </w:t>
      </w:r>
      <w:r w:rsidRPr="00BF7C35">
        <w:rPr>
          <w:rFonts w:eastAsia="MS Mincho"/>
          <w:lang w:val="fr-FR"/>
        </w:rPr>
        <w:t>N</w:t>
      </w:r>
      <w:r w:rsidRPr="00BF7C35">
        <w:rPr>
          <w:rFonts w:eastAsia="MS Mincho"/>
          <w:vertAlign w:val="superscript"/>
          <w:lang w:val="fr-FR"/>
        </w:rPr>
        <w:t>o</w:t>
      </w:r>
      <w:r>
        <w:rPr>
          <w:rFonts w:eastAsia="MS Mincho"/>
          <w:vertAlign w:val="superscript"/>
          <w:lang w:val="fr-FR"/>
        </w:rPr>
        <w:t> </w:t>
      </w:r>
      <w:r w:rsidRPr="00BF7C35">
        <w:rPr>
          <w:rFonts w:eastAsia="Times New Roman"/>
          <w:lang w:val="fr-FR"/>
        </w:rPr>
        <w:t>6 (2014).</w:t>
      </w:r>
    </w:p>
    <w:p w:rsidR="00B03D00" w:rsidRPr="00BF7C35" w:rsidRDefault="00B03D00" w:rsidP="00F1522D">
      <w:pPr>
        <w:pStyle w:val="SingleTxt"/>
        <w:numPr>
          <w:ilvl w:val="0"/>
          <w:numId w:val="9"/>
        </w:numPr>
        <w:tabs>
          <w:tab w:val="clear" w:pos="475"/>
          <w:tab w:val="num" w:pos="1742"/>
        </w:tabs>
        <w:ind w:left="1267"/>
        <w:rPr>
          <w:lang w:val="fr-FR"/>
        </w:rPr>
      </w:pPr>
      <w:r w:rsidRPr="00BF7C35">
        <w:rPr>
          <w:lang w:val="fr-FR"/>
        </w:rPr>
        <w:t>L</w:t>
      </w:r>
      <w:r>
        <w:rPr>
          <w:lang w:val="fr-FR"/>
        </w:rPr>
        <w:t>’</w:t>
      </w:r>
      <w:r w:rsidRPr="00BF7C35">
        <w:rPr>
          <w:lang w:val="fr-FR"/>
        </w:rPr>
        <w:t>objectif du projet pilote est de permettre le lancement rapide et à des coûts aussi faibles que possible d</w:t>
      </w:r>
      <w:r>
        <w:rPr>
          <w:lang w:val="fr-FR"/>
        </w:rPr>
        <w:t>’</w:t>
      </w:r>
      <w:r w:rsidRPr="00BF7C35">
        <w:rPr>
          <w:lang w:val="fr-FR"/>
        </w:rPr>
        <w:t>un régime TIR sans papier entre deux pays pilotes, en s</w:t>
      </w:r>
      <w:r>
        <w:rPr>
          <w:lang w:val="fr-FR"/>
        </w:rPr>
        <w:t>’</w:t>
      </w:r>
      <w:r w:rsidRPr="00BF7C35">
        <w:rPr>
          <w:lang w:val="fr-FR"/>
        </w:rPr>
        <w:t xml:space="preserve">appuyant sur les investissements et les outils électroniques </w:t>
      </w:r>
      <w:r w:rsidRPr="00F1522D">
        <w:rPr>
          <w:rFonts w:eastAsia="Times New Roman"/>
          <w:lang w:val="fr-FR"/>
        </w:rPr>
        <w:t>existants</w:t>
      </w:r>
      <w:r w:rsidRPr="00BF7C35">
        <w:rPr>
          <w:lang w:val="fr-FR"/>
        </w:rPr>
        <w:t>. Ce projet, comme d</w:t>
      </w:r>
      <w:r>
        <w:rPr>
          <w:lang w:val="fr-FR"/>
        </w:rPr>
        <w:t>’</w:t>
      </w:r>
      <w:r w:rsidRPr="00BF7C35">
        <w:rPr>
          <w:lang w:val="fr-FR"/>
        </w:rPr>
        <w:t>autres projets pilotes, constitue un premier pas vers l</w:t>
      </w:r>
      <w:r>
        <w:rPr>
          <w:lang w:val="fr-FR"/>
        </w:rPr>
        <w:t>’</w:t>
      </w:r>
      <w:r w:rsidRPr="00BF7C35">
        <w:rPr>
          <w:lang w:val="fr-FR"/>
        </w:rPr>
        <w:t>application d</w:t>
      </w:r>
      <w:r>
        <w:rPr>
          <w:lang w:val="fr-FR"/>
        </w:rPr>
        <w:t>’</w:t>
      </w:r>
      <w:r w:rsidRPr="00BF7C35">
        <w:rPr>
          <w:lang w:val="fr-FR"/>
        </w:rPr>
        <w:t>un régime eTIR à part entière tel qu</w:t>
      </w:r>
      <w:r>
        <w:rPr>
          <w:lang w:val="fr-FR"/>
        </w:rPr>
        <w:t>’</w:t>
      </w:r>
      <w:r w:rsidRPr="00BF7C35">
        <w:rPr>
          <w:lang w:val="fr-FR"/>
        </w:rPr>
        <w:t>il a été conçu par les Parties contractantes et présenté dans le modèle de référence eTIR. Pour accélérer son application dans une aire géographique et un laps de temps limités, le projet pilote n</w:t>
      </w:r>
      <w:r>
        <w:rPr>
          <w:lang w:val="fr-FR"/>
        </w:rPr>
        <w:t>’</w:t>
      </w:r>
      <w:r w:rsidRPr="00BF7C35">
        <w:rPr>
          <w:lang w:val="fr-FR"/>
        </w:rPr>
        <w:t>englobe pas tous les concepts eTIR.</w:t>
      </w:r>
    </w:p>
    <w:p w:rsidR="00B03D00" w:rsidRPr="00BF7C35" w:rsidRDefault="00B03D00" w:rsidP="00F1522D">
      <w:pPr>
        <w:pStyle w:val="SingleTxt"/>
        <w:numPr>
          <w:ilvl w:val="0"/>
          <w:numId w:val="9"/>
        </w:numPr>
        <w:tabs>
          <w:tab w:val="clear" w:pos="475"/>
          <w:tab w:val="num" w:pos="1742"/>
        </w:tabs>
        <w:ind w:left="1267"/>
        <w:rPr>
          <w:lang w:val="fr-FR"/>
        </w:rPr>
      </w:pPr>
      <w:r w:rsidRPr="00BF7C35">
        <w:rPr>
          <w:lang w:val="fr-FR"/>
        </w:rPr>
        <w:t>Le projet pilote est mis en œuvre entre l</w:t>
      </w:r>
      <w:r>
        <w:rPr>
          <w:lang w:val="fr-FR"/>
        </w:rPr>
        <w:t>’</w:t>
      </w:r>
      <w:r w:rsidRPr="00BF7C35">
        <w:rPr>
          <w:lang w:val="fr-FR"/>
        </w:rPr>
        <w:t>Iran (République islamique d</w:t>
      </w:r>
      <w:r>
        <w:rPr>
          <w:lang w:val="fr-FR"/>
        </w:rPr>
        <w:t>’</w:t>
      </w:r>
      <w:r w:rsidRPr="00BF7C35">
        <w:rPr>
          <w:lang w:val="fr-FR"/>
        </w:rPr>
        <w:t xml:space="preserve">) et la Turquie, ces deux pays étant des </w:t>
      </w:r>
      <w:r w:rsidRPr="00F1522D">
        <w:rPr>
          <w:rFonts w:eastAsia="Times New Roman"/>
          <w:lang w:val="fr-FR"/>
        </w:rPr>
        <w:t>Parties</w:t>
      </w:r>
      <w:r w:rsidRPr="00BF7C35">
        <w:rPr>
          <w:lang w:val="fr-FR"/>
        </w:rPr>
        <w:t xml:space="preserve"> contractantes à la Convention TIR qui ont déjà informatisé la gestion des opérations TIR au niveau national et qui sont déjà reliées aux régimes SafeTIR en temps réel (RTS) et TIR-EPD (prédéclaration électronique) de l</w:t>
      </w:r>
      <w:r>
        <w:rPr>
          <w:lang w:val="fr-FR"/>
        </w:rPr>
        <w:t>’</w:t>
      </w:r>
      <w:r w:rsidRPr="00BF7C35">
        <w:rPr>
          <w:lang w:val="fr-FR"/>
        </w:rPr>
        <w:t>IRU.</w:t>
      </w:r>
    </w:p>
    <w:p w:rsidR="00B03D00" w:rsidRPr="00BF7C35" w:rsidRDefault="00B03D00" w:rsidP="00F1522D">
      <w:pPr>
        <w:pStyle w:val="SingleTxt"/>
        <w:numPr>
          <w:ilvl w:val="0"/>
          <w:numId w:val="9"/>
        </w:numPr>
        <w:tabs>
          <w:tab w:val="clear" w:pos="475"/>
          <w:tab w:val="num" w:pos="1742"/>
        </w:tabs>
        <w:ind w:left="1267"/>
        <w:rPr>
          <w:rFonts w:eastAsia="Times New Roman"/>
          <w:lang w:val="fr-FR"/>
        </w:rPr>
      </w:pPr>
      <w:r w:rsidRPr="00BF7C35">
        <w:rPr>
          <w:rFonts w:eastAsia="Times New Roman"/>
          <w:lang w:val="fr-FR"/>
        </w:rPr>
        <w:t xml:space="preserve">Les principaux avantages du projet pilote </w:t>
      </w:r>
      <w:r w:rsidRPr="00F1522D">
        <w:rPr>
          <w:lang w:val="fr-FR"/>
        </w:rPr>
        <w:t>sont</w:t>
      </w:r>
      <w:r w:rsidRPr="00BF7C35">
        <w:rPr>
          <w:rFonts w:eastAsia="Times New Roman"/>
          <w:lang w:val="fr-FR"/>
        </w:rPr>
        <w:t xml:space="preserve"> d</w:t>
      </w:r>
      <w:r>
        <w:rPr>
          <w:rFonts w:eastAsia="Times New Roman"/>
          <w:lang w:val="fr-FR"/>
        </w:rPr>
        <w:t>’</w:t>
      </w:r>
      <w:r w:rsidRPr="00BF7C35">
        <w:rPr>
          <w:rFonts w:eastAsia="Times New Roman"/>
          <w:lang w:val="fr-FR"/>
        </w:rPr>
        <w:t>offrir les possibilités suivantes</w:t>
      </w:r>
      <w:r w:rsidR="00F1522D">
        <w:rPr>
          <w:rFonts w:eastAsia="Times New Roman"/>
          <w:lang w:val="fr-FR"/>
        </w:rPr>
        <w:t> </w:t>
      </w:r>
      <w:r w:rsidRPr="00BF7C35">
        <w:rPr>
          <w:rFonts w:eastAsia="Times New Roman"/>
          <w:lang w:val="fr-FR"/>
        </w:rPr>
        <w:t>:</w:t>
      </w:r>
    </w:p>
    <w:p w:rsidR="00B03D00" w:rsidRPr="00BF7C35" w:rsidRDefault="00B03D00" w:rsidP="00F1522D">
      <w:pPr>
        <w:pStyle w:val="Bullet1"/>
        <w:ind w:left="1743" w:hanging="130"/>
        <w:rPr>
          <w:rFonts w:eastAsia="Times New Roman"/>
          <w:lang w:val="fr-FR"/>
        </w:rPr>
      </w:pPr>
      <w:r w:rsidRPr="00BF7C35">
        <w:rPr>
          <w:rFonts w:eastAsia="Times New Roman"/>
          <w:lang w:val="fr-FR"/>
        </w:rPr>
        <w:t>Démontrer que le régime TIR peut fonctionner dans de brefs délais sans le carnet TIR sur papier;</w:t>
      </w:r>
    </w:p>
    <w:p w:rsidR="00B03D00" w:rsidRPr="00BF7C35" w:rsidRDefault="00B03D00" w:rsidP="00F1522D">
      <w:pPr>
        <w:pStyle w:val="Bullet1"/>
        <w:ind w:left="1743" w:hanging="130"/>
        <w:rPr>
          <w:rFonts w:eastAsia="Times New Roman"/>
          <w:lang w:val="fr-FR"/>
        </w:rPr>
      </w:pPr>
      <w:r w:rsidRPr="00BF7C35">
        <w:rPr>
          <w:rFonts w:eastAsia="Times New Roman"/>
          <w:lang w:val="fr-FR"/>
        </w:rPr>
        <w:t>Utiliser les infrastructures et connexions de l</w:t>
      </w:r>
      <w:r>
        <w:rPr>
          <w:rFonts w:eastAsia="Times New Roman"/>
          <w:lang w:val="fr-FR"/>
        </w:rPr>
        <w:t>’</w:t>
      </w:r>
      <w:r w:rsidRPr="00BF7C35">
        <w:rPr>
          <w:rFonts w:eastAsia="Times New Roman"/>
          <w:lang w:val="fr-FR"/>
        </w:rPr>
        <w:t>IRU et des autorités douanières déjà mises au point (TIR-EPD et application SafeTIR en temps réel);</w:t>
      </w:r>
    </w:p>
    <w:p w:rsidR="00B03D00" w:rsidRPr="00BF7C35" w:rsidRDefault="00B03D00" w:rsidP="00F1522D">
      <w:pPr>
        <w:pStyle w:val="Bullet1"/>
        <w:ind w:left="1743" w:hanging="130"/>
        <w:rPr>
          <w:rFonts w:eastAsia="Times New Roman"/>
          <w:lang w:val="fr-FR"/>
        </w:rPr>
      </w:pPr>
      <w:r w:rsidRPr="00BF7C35">
        <w:rPr>
          <w:rFonts w:eastAsia="Times New Roman"/>
          <w:lang w:val="fr-FR"/>
        </w:rPr>
        <w:t>Avoir des prédéclarations tenant compte de prescriptions spécifiques nationales, dont des prescriptions relatives à la sécurité et à la sûreté;</w:t>
      </w:r>
    </w:p>
    <w:p w:rsidR="00B03D00" w:rsidRPr="00BF7C35" w:rsidRDefault="00B03D00" w:rsidP="00F1522D">
      <w:pPr>
        <w:pStyle w:val="Bullet1"/>
        <w:ind w:left="1743" w:hanging="130"/>
        <w:rPr>
          <w:rFonts w:eastAsia="Times New Roman"/>
          <w:lang w:val="fr-FR"/>
        </w:rPr>
      </w:pPr>
      <w:r w:rsidRPr="00BF7C35">
        <w:rPr>
          <w:rFonts w:eastAsia="Times New Roman"/>
          <w:lang w:val="fr-FR"/>
        </w:rPr>
        <w:t>Appliquer et tester certains messages et procédures eTIR normalisés;</w:t>
      </w:r>
    </w:p>
    <w:p w:rsidR="00B03D00" w:rsidRPr="00BF7C35" w:rsidRDefault="00B03D00" w:rsidP="00F1522D">
      <w:pPr>
        <w:pStyle w:val="Bullet1"/>
        <w:ind w:left="1743" w:hanging="130"/>
        <w:rPr>
          <w:rFonts w:eastAsia="Times New Roman"/>
          <w:lang w:val="fr-FR"/>
        </w:rPr>
      </w:pPr>
      <w:r w:rsidRPr="00BF7C35">
        <w:rPr>
          <w:rFonts w:eastAsia="Times New Roman"/>
          <w:lang w:val="fr-FR"/>
        </w:rPr>
        <w:lastRenderedPageBreak/>
        <w:t>Obtenir des informations en retour sur les problèmes qui peuvent se poser pour y remédier avant de lancer le système international eTIR dans son intégralité.</w:t>
      </w:r>
    </w:p>
    <w:p w:rsidR="00B03D00" w:rsidRPr="00BF7C35" w:rsidRDefault="00F1522D" w:rsidP="00F1522D">
      <w:pPr>
        <w:pStyle w:val="SingleTxt"/>
        <w:numPr>
          <w:ilvl w:val="0"/>
          <w:numId w:val="9"/>
        </w:numPr>
        <w:tabs>
          <w:tab w:val="clear" w:pos="475"/>
          <w:tab w:val="num" w:pos="1742"/>
        </w:tabs>
        <w:ind w:left="1267"/>
        <w:rPr>
          <w:lang w:val="fr-FR"/>
        </w:rPr>
      </w:pPr>
      <w:r>
        <w:rPr>
          <w:lang w:val="fr-FR"/>
        </w:rPr>
        <w:t>Le 24 </w:t>
      </w:r>
      <w:r w:rsidR="00B03D00" w:rsidRPr="00BF7C35">
        <w:rPr>
          <w:lang w:val="fr-FR"/>
        </w:rPr>
        <w:t>mars 2015, la CEE et l</w:t>
      </w:r>
      <w:r w:rsidR="00B03D00">
        <w:rPr>
          <w:lang w:val="fr-FR"/>
        </w:rPr>
        <w:t>’</w:t>
      </w:r>
      <w:r w:rsidR="00B03D00" w:rsidRPr="00BF7C35">
        <w:rPr>
          <w:lang w:val="fr-FR"/>
        </w:rPr>
        <w:t>IRU ont signé un mémorandum d</w:t>
      </w:r>
      <w:r w:rsidR="00B03D00">
        <w:rPr>
          <w:lang w:val="fr-FR"/>
        </w:rPr>
        <w:t>’</w:t>
      </w:r>
      <w:r w:rsidR="00B03D00" w:rsidRPr="00BF7C35">
        <w:rPr>
          <w:lang w:val="fr-FR"/>
        </w:rPr>
        <w:t>accord prévoyant l</w:t>
      </w:r>
      <w:r w:rsidR="00B03D00">
        <w:rPr>
          <w:lang w:val="fr-FR"/>
        </w:rPr>
        <w:t>’</w:t>
      </w:r>
      <w:r w:rsidR="00B03D00" w:rsidRPr="00BF7C35">
        <w:rPr>
          <w:lang w:val="fr-FR"/>
        </w:rPr>
        <w:t>octroi d</w:t>
      </w:r>
      <w:r w:rsidR="00B03D00">
        <w:rPr>
          <w:lang w:val="fr-FR"/>
        </w:rPr>
        <w:t>’</w:t>
      </w:r>
      <w:r w:rsidR="00B03D00" w:rsidRPr="00BF7C35">
        <w:rPr>
          <w:lang w:val="fr-FR"/>
        </w:rPr>
        <w:t>un soutien financier supplémentaire à la CEE pour couvrir les autres coûts associés au projet pilote, notamment les services d</w:t>
      </w:r>
      <w:r w:rsidR="00B03D00">
        <w:rPr>
          <w:lang w:val="fr-FR"/>
        </w:rPr>
        <w:t>’</w:t>
      </w:r>
      <w:r w:rsidR="00B03D00" w:rsidRPr="00BF7C35">
        <w:rPr>
          <w:lang w:val="fr-FR"/>
        </w:rPr>
        <w:t>un spécialiste supplémentaire des technologies de l</w:t>
      </w:r>
      <w:r w:rsidR="00B03D00">
        <w:rPr>
          <w:lang w:val="fr-FR"/>
        </w:rPr>
        <w:t>’</w:t>
      </w:r>
      <w:r>
        <w:rPr>
          <w:lang w:val="fr-FR"/>
        </w:rPr>
        <w:t>information. Le 26 </w:t>
      </w:r>
      <w:r w:rsidR="00B03D00" w:rsidRPr="00BF7C35">
        <w:rPr>
          <w:lang w:val="fr-FR"/>
        </w:rPr>
        <w:t>octobre 2015, la République islamique d</w:t>
      </w:r>
      <w:r w:rsidR="00B03D00">
        <w:rPr>
          <w:lang w:val="fr-FR"/>
        </w:rPr>
        <w:t>’</w:t>
      </w:r>
      <w:r w:rsidR="00B03D00" w:rsidRPr="00BF7C35">
        <w:rPr>
          <w:lang w:val="fr-FR"/>
        </w:rPr>
        <w:t>Iran et la Turquie (douanes et associations garantes) ainsi que la CEE et l</w:t>
      </w:r>
      <w:r w:rsidR="00B03D00">
        <w:rPr>
          <w:lang w:val="fr-FR"/>
        </w:rPr>
        <w:t>’</w:t>
      </w:r>
      <w:r w:rsidR="00B03D00" w:rsidRPr="00BF7C35">
        <w:rPr>
          <w:lang w:val="fr-FR"/>
        </w:rPr>
        <w:t>IRU ont procédé à la signature du mandat du projet, annonçant ainsi le début officiel du projet pilote.</w:t>
      </w:r>
    </w:p>
    <w:p w:rsidR="00B03D00" w:rsidRPr="00BF7C35" w:rsidRDefault="00B03D00" w:rsidP="00F1522D">
      <w:pPr>
        <w:pStyle w:val="SingleTxt"/>
        <w:numPr>
          <w:ilvl w:val="0"/>
          <w:numId w:val="9"/>
        </w:numPr>
        <w:tabs>
          <w:tab w:val="clear" w:pos="475"/>
          <w:tab w:val="num" w:pos="1742"/>
        </w:tabs>
        <w:ind w:left="1267"/>
        <w:rPr>
          <w:lang w:val="fr-FR"/>
        </w:rPr>
      </w:pPr>
      <w:r w:rsidRPr="00BF7C35">
        <w:rPr>
          <w:lang w:val="fr-FR"/>
        </w:rPr>
        <w:t>Grâce aux travaux techniques préparatoires entrepris par toutes les parties prenantes en 2015, et suite à la signature du mandat, les deux premiers essais de transports TIR ont commencé le 5 novembre 2015, à partir d</w:t>
      </w:r>
      <w:r>
        <w:rPr>
          <w:lang w:val="fr-FR"/>
        </w:rPr>
        <w:t>’</w:t>
      </w:r>
      <w:r w:rsidRPr="00BF7C35">
        <w:rPr>
          <w:lang w:val="fr-FR"/>
        </w:rPr>
        <w:t>Izmir et de Téhéran. Ces essais visaient à s</w:t>
      </w:r>
      <w:r>
        <w:rPr>
          <w:lang w:val="fr-FR"/>
        </w:rPr>
        <w:t>’</w:t>
      </w:r>
      <w:r w:rsidRPr="00BF7C35">
        <w:rPr>
          <w:lang w:val="fr-FR"/>
        </w:rPr>
        <w:t xml:space="preserve">assurer que, parallèlement au traitement ordinaire des Carnets TIR, toutes les parties prenantes puissent échanger efficacement et en toute sécurité par voie électronique toutes les informations contenues dans un </w:t>
      </w:r>
      <w:r w:rsidRPr="00F1522D">
        <w:rPr>
          <w:rFonts w:eastAsia="Times New Roman"/>
          <w:lang w:val="fr-FR"/>
        </w:rPr>
        <w:t>Carnet</w:t>
      </w:r>
      <w:r w:rsidR="008569C7">
        <w:rPr>
          <w:lang w:val="fr-FR"/>
        </w:rPr>
        <w:t xml:space="preserve"> TIR. Le 12 </w:t>
      </w:r>
      <w:r w:rsidRPr="00BF7C35">
        <w:rPr>
          <w:lang w:val="fr-FR"/>
        </w:rPr>
        <w:t>novembre 2016, ces deux transports TIR avaient atteint leur destination et toutes les parties prenantes avaient communiqué et reçu les informations comme prévu.</w:t>
      </w:r>
    </w:p>
    <w:p w:rsidR="00B03D00" w:rsidRDefault="00B03D00" w:rsidP="00F1522D">
      <w:pPr>
        <w:pStyle w:val="SingleTxt"/>
        <w:numPr>
          <w:ilvl w:val="0"/>
          <w:numId w:val="9"/>
        </w:numPr>
        <w:tabs>
          <w:tab w:val="clear" w:pos="475"/>
          <w:tab w:val="num" w:pos="1742"/>
        </w:tabs>
        <w:ind w:left="1267"/>
        <w:rPr>
          <w:lang w:val="fr-FR"/>
        </w:rPr>
      </w:pPr>
      <w:r w:rsidRPr="00BF7C35">
        <w:rPr>
          <w:lang w:val="fr-FR"/>
        </w:rPr>
        <w:t xml:space="preserve">Suite à la réussite de ces essais, </w:t>
      </w:r>
      <w:r w:rsidRPr="00F1522D">
        <w:rPr>
          <w:rFonts w:eastAsia="Times New Roman"/>
          <w:lang w:val="fr-FR"/>
        </w:rPr>
        <w:t>les</w:t>
      </w:r>
      <w:r w:rsidRPr="00BF7C35">
        <w:rPr>
          <w:lang w:val="fr-FR"/>
        </w:rPr>
        <w:t xml:space="preserve"> premiers projets pilotes de transports eTIR, c</w:t>
      </w:r>
      <w:r>
        <w:rPr>
          <w:lang w:val="fr-FR"/>
        </w:rPr>
        <w:t>’</w:t>
      </w:r>
      <w:r w:rsidRPr="00BF7C35">
        <w:rPr>
          <w:lang w:val="fr-FR"/>
        </w:rPr>
        <w:t>est-à-dire réalisés avec des garanties électroniques remplaçant les Carnets TIR sur papier, ont été réalisés avant la fin de 2015.</w:t>
      </w:r>
    </w:p>
    <w:p w:rsidR="00B62AD3" w:rsidRPr="00B62AD3" w:rsidRDefault="00B62AD3" w:rsidP="00B62AD3">
      <w:pPr>
        <w:pStyle w:val="SingleTxt"/>
        <w:spacing w:after="0" w:line="120" w:lineRule="exact"/>
        <w:rPr>
          <w:sz w:val="10"/>
          <w:lang w:val="fr-FR"/>
        </w:rPr>
      </w:pPr>
    </w:p>
    <w:p w:rsidR="00B62AD3" w:rsidRPr="00B62AD3" w:rsidRDefault="00B62AD3" w:rsidP="00B62AD3">
      <w:pPr>
        <w:pStyle w:val="SingleTxt"/>
        <w:spacing w:after="0" w:line="120" w:lineRule="exact"/>
        <w:rPr>
          <w:sz w:val="10"/>
          <w:lang w:val="fr-FR"/>
        </w:rPr>
      </w:pPr>
    </w:p>
    <w:p w:rsidR="00B03D00" w:rsidRDefault="00B03D00" w:rsidP="00B62AD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tab/>
        <w:t>D.</w:t>
      </w:r>
      <w:r w:rsidRPr="00BF7C35">
        <w:rPr>
          <w:lang w:val="fr-FR"/>
        </w:rPr>
        <w:tab/>
        <w:t>Projet financé par le Compte de l</w:t>
      </w:r>
      <w:r>
        <w:rPr>
          <w:lang w:val="fr-FR"/>
        </w:rPr>
        <w:t>’</w:t>
      </w:r>
      <w:r w:rsidRPr="00BF7C35">
        <w:rPr>
          <w:lang w:val="fr-FR"/>
        </w:rPr>
        <w:t>ONU pour le développement</w:t>
      </w:r>
      <w:r w:rsidR="00B62AD3">
        <w:rPr>
          <w:lang w:val="fr-FR"/>
        </w:rPr>
        <w:t> </w:t>
      </w:r>
      <w:r w:rsidRPr="00BF7C35">
        <w:rPr>
          <w:lang w:val="fr-FR"/>
        </w:rPr>
        <w:t xml:space="preserve">: </w:t>
      </w:r>
      <w:r w:rsidR="00B62AD3">
        <w:rPr>
          <w:lang w:val="fr-FR"/>
        </w:rPr>
        <w:t>« </w:t>
      </w:r>
      <w:r w:rsidRPr="00BF7C35">
        <w:rPr>
          <w:lang w:val="fr-FR"/>
        </w:rPr>
        <w:t>Renforcement des capacités des pays en développement</w:t>
      </w:r>
      <w:r w:rsidR="00B62AD3">
        <w:rPr>
          <w:lang w:val="fr-FR"/>
        </w:rPr>
        <w:t xml:space="preserve"> </w:t>
      </w:r>
      <w:r w:rsidRPr="00BF7C35">
        <w:rPr>
          <w:lang w:val="fr-FR"/>
        </w:rPr>
        <w:br/>
        <w:t>et des pays en transition à faciliter le franchissement légal</w:t>
      </w:r>
      <w:r w:rsidR="00B62AD3">
        <w:rPr>
          <w:lang w:val="fr-FR"/>
        </w:rPr>
        <w:t xml:space="preserve"> </w:t>
      </w:r>
      <w:r w:rsidRPr="00BF7C35">
        <w:rPr>
          <w:lang w:val="fr-FR"/>
        </w:rPr>
        <w:br/>
        <w:t>des frontières, la coopération régionale et l</w:t>
      </w:r>
      <w:r>
        <w:rPr>
          <w:lang w:val="fr-FR"/>
        </w:rPr>
        <w:t>’</w:t>
      </w:r>
      <w:r w:rsidRPr="00BF7C35">
        <w:rPr>
          <w:lang w:val="fr-FR"/>
        </w:rPr>
        <w:t>intégration</w:t>
      </w:r>
      <w:r w:rsidR="00B62AD3">
        <w:rPr>
          <w:lang w:val="fr-FR"/>
        </w:rPr>
        <w:t> »</w:t>
      </w:r>
    </w:p>
    <w:p w:rsidR="00B62AD3" w:rsidRPr="00B62AD3" w:rsidRDefault="00B62AD3" w:rsidP="00B62AD3">
      <w:pPr>
        <w:pStyle w:val="SingleTxt"/>
        <w:spacing w:after="0" w:line="120" w:lineRule="exact"/>
        <w:rPr>
          <w:sz w:val="10"/>
          <w:lang w:val="fr-FR"/>
        </w:rPr>
      </w:pPr>
    </w:p>
    <w:p w:rsidR="00B62AD3" w:rsidRPr="00B62AD3" w:rsidRDefault="00B62AD3" w:rsidP="00B62AD3">
      <w:pPr>
        <w:pStyle w:val="SingleTxt"/>
        <w:spacing w:after="0" w:line="120" w:lineRule="exact"/>
        <w:rPr>
          <w:sz w:val="10"/>
          <w:lang w:val="fr-FR"/>
        </w:rPr>
      </w:pPr>
    </w:p>
    <w:p w:rsidR="00B03D00" w:rsidRPr="00BF7C35" w:rsidRDefault="00B03D00" w:rsidP="00B62AD3">
      <w:pPr>
        <w:pStyle w:val="SingleTxt"/>
        <w:numPr>
          <w:ilvl w:val="0"/>
          <w:numId w:val="9"/>
        </w:numPr>
        <w:tabs>
          <w:tab w:val="clear" w:pos="475"/>
          <w:tab w:val="num" w:pos="1742"/>
        </w:tabs>
        <w:ind w:left="1267"/>
        <w:rPr>
          <w:rFonts w:eastAsia="Times New Roman"/>
          <w:lang w:val="fr-FR"/>
        </w:rPr>
      </w:pPr>
      <w:r w:rsidRPr="00BF7C35">
        <w:rPr>
          <w:rFonts w:eastAsia="Times New Roman"/>
          <w:lang w:val="fr-FR"/>
        </w:rPr>
        <w:t>Le Comité voudra bien se rappeler qu</w:t>
      </w:r>
      <w:r>
        <w:rPr>
          <w:rFonts w:eastAsia="Times New Roman"/>
          <w:lang w:val="fr-FR"/>
        </w:rPr>
        <w:t>’</w:t>
      </w:r>
      <w:r w:rsidRPr="00BF7C35">
        <w:rPr>
          <w:rFonts w:eastAsia="Times New Roman"/>
          <w:lang w:val="fr-FR"/>
        </w:rPr>
        <w:t>au titre de la huitième tranche du cycle de programmation du Compte de l</w:t>
      </w:r>
      <w:r>
        <w:rPr>
          <w:rFonts w:eastAsia="Times New Roman"/>
          <w:lang w:val="fr-FR"/>
        </w:rPr>
        <w:t>’</w:t>
      </w:r>
      <w:r w:rsidRPr="00BF7C35">
        <w:rPr>
          <w:rFonts w:eastAsia="Times New Roman"/>
          <w:lang w:val="fr-FR"/>
        </w:rPr>
        <w:t>ONU pour le développement, un projet mondial étroitement lié au système eTIR a été mis en œuvre. L</w:t>
      </w:r>
      <w:r>
        <w:rPr>
          <w:rFonts w:eastAsia="Times New Roman"/>
          <w:lang w:val="fr-FR"/>
        </w:rPr>
        <w:t>’</w:t>
      </w:r>
      <w:r w:rsidRPr="00BF7C35">
        <w:rPr>
          <w:rFonts w:eastAsia="Times New Roman"/>
          <w:lang w:val="fr-FR"/>
        </w:rPr>
        <w:t>objectif de ce projet est de renforcer les capacités des pays en développement et en transition à faciliter le franchissement légal des frontières grâce à l</w:t>
      </w:r>
      <w:r>
        <w:rPr>
          <w:rFonts w:eastAsia="Times New Roman"/>
          <w:lang w:val="fr-FR"/>
        </w:rPr>
        <w:t>’</w:t>
      </w:r>
      <w:r w:rsidRPr="00BF7C35">
        <w:rPr>
          <w:rFonts w:eastAsia="Times New Roman"/>
          <w:lang w:val="fr-FR"/>
        </w:rPr>
        <w:t>augmentation du volume des données électroniques sécurisées relatives au transit échangées par les administrations douanières et au recours plus fréquent à des messages électroniques internationaux normalisés. Toutes les Commissions régionales participent à ce projet et toutes les informations s</w:t>
      </w:r>
      <w:r>
        <w:rPr>
          <w:rFonts w:eastAsia="Times New Roman"/>
          <w:lang w:val="fr-FR"/>
        </w:rPr>
        <w:t>’</w:t>
      </w:r>
      <w:r w:rsidRPr="00BF7C35">
        <w:rPr>
          <w:rFonts w:eastAsia="Times New Roman"/>
          <w:lang w:val="fr-FR"/>
        </w:rPr>
        <w:t>y rapportant sont disponibles sur le site Web du projet (</w:t>
      </w:r>
      <w:hyperlink r:id="rId20" w:history="1">
        <w:r w:rsidRPr="00BF7C35">
          <w:rPr>
            <w:rStyle w:val="Hyperlink"/>
            <w:rFonts w:eastAsia="Times New Roman"/>
            <w:lang w:val="fr-FR"/>
          </w:rPr>
          <w:t>www.unece.org/trans/themes/unda_customs-to-customs.html</w:t>
        </w:r>
      </w:hyperlink>
      <w:r w:rsidRPr="00BF7C35">
        <w:rPr>
          <w:rFonts w:eastAsia="Times New Roman"/>
          <w:lang w:val="fr-FR"/>
        </w:rPr>
        <w:t>).</w:t>
      </w:r>
    </w:p>
    <w:p w:rsidR="00B03D00" w:rsidRPr="00BF7C35" w:rsidRDefault="00B03D00" w:rsidP="00B62AD3">
      <w:pPr>
        <w:pStyle w:val="SingleTxt"/>
        <w:keepNext/>
        <w:numPr>
          <w:ilvl w:val="0"/>
          <w:numId w:val="9"/>
        </w:numPr>
        <w:tabs>
          <w:tab w:val="clear" w:pos="475"/>
          <w:tab w:val="num" w:pos="1742"/>
        </w:tabs>
        <w:ind w:left="1267"/>
        <w:rPr>
          <w:rFonts w:eastAsia="Times New Roman"/>
          <w:lang w:val="fr-FR"/>
        </w:rPr>
      </w:pPr>
      <w:r w:rsidRPr="00BF7C35">
        <w:rPr>
          <w:rFonts w:eastAsia="Times New Roman"/>
          <w:lang w:val="fr-FR"/>
        </w:rPr>
        <w:t>Le Comité voudra bien noter qu</w:t>
      </w:r>
      <w:r>
        <w:rPr>
          <w:rFonts w:eastAsia="Times New Roman"/>
          <w:lang w:val="fr-FR"/>
        </w:rPr>
        <w:t>’</w:t>
      </w:r>
      <w:r w:rsidRPr="00BF7C35">
        <w:rPr>
          <w:rFonts w:eastAsia="Times New Roman"/>
          <w:lang w:val="fr-FR"/>
        </w:rPr>
        <w:t>à ce jour les activités suivantes ont été menées avec succès</w:t>
      </w:r>
      <w:r w:rsidR="00B62AD3">
        <w:rPr>
          <w:rFonts w:eastAsia="Times New Roman"/>
          <w:lang w:val="fr-FR"/>
        </w:rPr>
        <w:t> </w:t>
      </w:r>
      <w:r w:rsidRPr="00BF7C35">
        <w:rPr>
          <w:rFonts w:eastAsia="Times New Roman"/>
          <w:lang w:val="fr-FR"/>
        </w:rPr>
        <w:t>:</w:t>
      </w:r>
    </w:p>
    <w:p w:rsidR="00B03D00" w:rsidRPr="00BF7C35" w:rsidRDefault="00B03D00" w:rsidP="00B62AD3">
      <w:pPr>
        <w:pStyle w:val="Bullet1"/>
        <w:ind w:left="1743" w:hanging="130"/>
        <w:rPr>
          <w:rFonts w:eastAsia="Times New Roman"/>
          <w:lang w:val="fr-FR"/>
        </w:rPr>
      </w:pPr>
      <w:r w:rsidRPr="00BF7C35">
        <w:rPr>
          <w:rFonts w:eastAsia="Times New Roman"/>
          <w:lang w:val="fr-FR"/>
        </w:rPr>
        <w:t>La première réunion du groupe d</w:t>
      </w:r>
      <w:r>
        <w:rPr>
          <w:rFonts w:eastAsia="Times New Roman"/>
          <w:lang w:val="fr-FR"/>
        </w:rPr>
        <w:t>’</w:t>
      </w:r>
      <w:r w:rsidRPr="00BF7C35">
        <w:rPr>
          <w:rFonts w:eastAsia="Times New Roman"/>
          <w:lang w:val="fr-FR"/>
        </w:rPr>
        <w:t xml:space="preserve">experts interrégional a eu lieu à </w:t>
      </w:r>
      <w:r w:rsidR="00B62AD3">
        <w:rPr>
          <w:rFonts w:eastAsia="Times New Roman"/>
          <w:lang w:val="fr-FR"/>
        </w:rPr>
        <w:t>Genève le 8 </w:t>
      </w:r>
      <w:r w:rsidRPr="00BF7C35">
        <w:rPr>
          <w:rFonts w:eastAsia="Times New Roman"/>
          <w:lang w:val="fr-FR"/>
        </w:rPr>
        <w:t>décembre 2014. Des experts de chaque Commission régionale ont choisi les pays pilotes, sur la base des résultats des analyses des lacunes, et décidé s</w:t>
      </w:r>
      <w:r>
        <w:rPr>
          <w:rFonts w:eastAsia="Times New Roman"/>
          <w:lang w:val="fr-FR"/>
        </w:rPr>
        <w:t>’</w:t>
      </w:r>
      <w:r w:rsidRPr="00BF7C35">
        <w:rPr>
          <w:rFonts w:eastAsia="Times New Roman"/>
          <w:lang w:val="fr-FR"/>
        </w:rPr>
        <w:t>il était possible de réaliser, dans le cadre du projet, un réel échange électronique d</w:t>
      </w:r>
      <w:r>
        <w:rPr>
          <w:rFonts w:eastAsia="Times New Roman"/>
          <w:lang w:val="fr-FR"/>
        </w:rPr>
        <w:t>’</w:t>
      </w:r>
      <w:r w:rsidRPr="00BF7C35">
        <w:rPr>
          <w:rFonts w:eastAsia="Times New Roman"/>
          <w:lang w:val="fr-FR"/>
        </w:rPr>
        <w:t>informations relatives au transit entre administrations douanières ou s</w:t>
      </w:r>
      <w:r>
        <w:rPr>
          <w:rFonts w:eastAsia="Times New Roman"/>
          <w:lang w:val="fr-FR"/>
        </w:rPr>
        <w:t>’</w:t>
      </w:r>
      <w:r w:rsidRPr="00BF7C35">
        <w:rPr>
          <w:rFonts w:eastAsia="Times New Roman"/>
          <w:lang w:val="fr-FR"/>
        </w:rPr>
        <w:t>il serait préférable d</w:t>
      </w:r>
      <w:r>
        <w:rPr>
          <w:rFonts w:eastAsia="Times New Roman"/>
          <w:lang w:val="fr-FR"/>
        </w:rPr>
        <w:t>’</w:t>
      </w:r>
      <w:r w:rsidRPr="00BF7C35">
        <w:rPr>
          <w:rFonts w:eastAsia="Times New Roman"/>
          <w:lang w:val="fr-FR"/>
        </w:rPr>
        <w:t>élaborer un plan d</w:t>
      </w:r>
      <w:r>
        <w:rPr>
          <w:rFonts w:eastAsia="Times New Roman"/>
          <w:lang w:val="fr-FR"/>
        </w:rPr>
        <w:t>’</w:t>
      </w:r>
      <w:r w:rsidRPr="00BF7C35">
        <w:rPr>
          <w:rFonts w:eastAsia="Times New Roman"/>
          <w:lang w:val="fr-FR"/>
        </w:rPr>
        <w:t>action contenant les mesures nécessaires à la mise en place d</w:t>
      </w:r>
      <w:r>
        <w:rPr>
          <w:rFonts w:eastAsia="Times New Roman"/>
          <w:lang w:val="fr-FR"/>
        </w:rPr>
        <w:t>’</w:t>
      </w:r>
      <w:r w:rsidR="00B62AD3">
        <w:rPr>
          <w:rFonts w:eastAsia="Times New Roman"/>
          <w:lang w:val="fr-FR"/>
        </w:rPr>
        <w:t>un tel système;</w:t>
      </w:r>
    </w:p>
    <w:p w:rsidR="00B03D00" w:rsidRPr="00BF7C35" w:rsidRDefault="00B03D00" w:rsidP="00B62AD3">
      <w:pPr>
        <w:pStyle w:val="Bullet1"/>
        <w:ind w:left="1743" w:hanging="130"/>
        <w:rPr>
          <w:rFonts w:eastAsia="Times New Roman"/>
          <w:lang w:val="fr-FR"/>
        </w:rPr>
      </w:pPr>
      <w:r w:rsidRPr="00BF7C35">
        <w:rPr>
          <w:rFonts w:eastAsia="Times New Roman"/>
          <w:lang w:val="fr-FR"/>
        </w:rPr>
        <w:t>Les 16 et 17</w:t>
      </w:r>
      <w:r w:rsidR="00B62AD3">
        <w:rPr>
          <w:rFonts w:eastAsia="Times New Roman"/>
          <w:lang w:val="fr-FR"/>
        </w:rPr>
        <w:t> </w:t>
      </w:r>
      <w:r w:rsidRPr="00BF7C35">
        <w:rPr>
          <w:rFonts w:eastAsia="Times New Roman"/>
          <w:lang w:val="fr-FR"/>
        </w:rPr>
        <w:t>juin 2015, un atelier sur la veille économique appliquée aux risques et à l</w:t>
      </w:r>
      <w:r>
        <w:rPr>
          <w:rFonts w:eastAsia="Times New Roman"/>
          <w:lang w:val="fr-FR"/>
        </w:rPr>
        <w:t>’</w:t>
      </w:r>
      <w:r w:rsidRPr="00BF7C35">
        <w:rPr>
          <w:rFonts w:eastAsia="Times New Roman"/>
          <w:lang w:val="fr-FR"/>
        </w:rPr>
        <w:t>évaluation en douane et sur le modèle de données de l</w:t>
      </w:r>
      <w:r>
        <w:rPr>
          <w:rFonts w:eastAsia="Times New Roman"/>
          <w:lang w:val="fr-FR"/>
        </w:rPr>
        <w:t>’</w:t>
      </w:r>
      <w:r w:rsidRPr="00BF7C35">
        <w:rPr>
          <w:rFonts w:eastAsia="Times New Roman"/>
          <w:lang w:val="fr-FR"/>
        </w:rPr>
        <w:t>OMD a été organisé par la Commission économique pour l</w:t>
      </w:r>
      <w:r>
        <w:rPr>
          <w:rFonts w:eastAsia="Times New Roman"/>
          <w:lang w:val="fr-FR"/>
        </w:rPr>
        <w:t>’</w:t>
      </w:r>
      <w:r w:rsidRPr="00BF7C35">
        <w:rPr>
          <w:rFonts w:eastAsia="Times New Roman"/>
          <w:lang w:val="fr-FR"/>
        </w:rPr>
        <w:t>Amérique latine et les Caraïbes (CEPALC)</w:t>
      </w:r>
      <w:r w:rsidRPr="00BF7C35">
        <w:rPr>
          <w:rFonts w:eastAsia="Times New Roman"/>
          <w:b/>
          <w:lang w:val="fr-FR"/>
        </w:rPr>
        <w:t xml:space="preserve"> </w:t>
      </w:r>
      <w:r w:rsidRPr="00BF7C35">
        <w:rPr>
          <w:rFonts w:eastAsia="Times New Roman"/>
          <w:lang w:val="fr-FR"/>
        </w:rPr>
        <w:t>à San José (Costa Rica) à l</w:t>
      </w:r>
      <w:r>
        <w:rPr>
          <w:rFonts w:eastAsia="Times New Roman"/>
          <w:lang w:val="fr-FR"/>
        </w:rPr>
        <w:t>’</w:t>
      </w:r>
      <w:r w:rsidRPr="00BF7C35">
        <w:rPr>
          <w:rFonts w:eastAsia="Times New Roman"/>
          <w:lang w:val="fr-FR"/>
        </w:rPr>
        <w:t>intention des fonctionnaires des douanes des six pays d</w:t>
      </w:r>
      <w:r>
        <w:rPr>
          <w:rFonts w:eastAsia="Times New Roman"/>
          <w:lang w:val="fr-FR"/>
        </w:rPr>
        <w:t>’</w:t>
      </w:r>
      <w:r w:rsidRPr="00BF7C35">
        <w:rPr>
          <w:rFonts w:eastAsia="Times New Roman"/>
          <w:lang w:val="fr-FR"/>
        </w:rPr>
        <w:t>Amé</w:t>
      </w:r>
      <w:r w:rsidR="00B62AD3">
        <w:rPr>
          <w:rFonts w:eastAsia="Times New Roman"/>
          <w:lang w:val="fr-FR"/>
        </w:rPr>
        <w:t>rique centrale;</w:t>
      </w:r>
    </w:p>
    <w:p w:rsidR="00B03D00" w:rsidRPr="00BF7C35" w:rsidRDefault="00B03D00" w:rsidP="00B62AD3">
      <w:pPr>
        <w:pStyle w:val="Bullet1"/>
        <w:ind w:left="1743" w:hanging="130"/>
        <w:rPr>
          <w:rFonts w:eastAsia="Times New Roman"/>
          <w:lang w:val="fr-FR"/>
        </w:rPr>
      </w:pPr>
      <w:r w:rsidRPr="00BF7C35">
        <w:rPr>
          <w:rFonts w:eastAsia="Times New Roman"/>
          <w:lang w:val="fr-FR"/>
        </w:rPr>
        <w:lastRenderedPageBreak/>
        <w:t>Les 22 et 23</w:t>
      </w:r>
      <w:r w:rsidR="00B62AD3">
        <w:rPr>
          <w:rFonts w:eastAsia="Times New Roman"/>
          <w:lang w:val="fr-FR"/>
        </w:rPr>
        <w:t> </w:t>
      </w:r>
      <w:r w:rsidRPr="00BF7C35">
        <w:rPr>
          <w:rFonts w:eastAsia="Times New Roman"/>
          <w:lang w:val="fr-FR"/>
        </w:rPr>
        <w:t>juin 2015, la CEE a organisé un atelier sur l</w:t>
      </w:r>
      <w:r>
        <w:rPr>
          <w:rFonts w:eastAsia="Times New Roman"/>
          <w:lang w:val="fr-FR"/>
        </w:rPr>
        <w:t>’</w:t>
      </w:r>
      <w:r w:rsidRPr="00BF7C35">
        <w:rPr>
          <w:rFonts w:eastAsia="Times New Roman"/>
          <w:lang w:val="fr-FR"/>
        </w:rPr>
        <w:t>échange de d</w:t>
      </w:r>
      <w:r w:rsidR="00B62AD3">
        <w:rPr>
          <w:rFonts w:eastAsia="Times New Roman"/>
          <w:lang w:val="fr-FR"/>
        </w:rPr>
        <w:t>onnées C2C à Tbilissi (Géorgie);</w:t>
      </w:r>
    </w:p>
    <w:p w:rsidR="00B03D00" w:rsidRPr="00BF7C35" w:rsidRDefault="00B62AD3" w:rsidP="00B62AD3">
      <w:pPr>
        <w:pStyle w:val="Bullet1"/>
        <w:ind w:left="1743" w:hanging="130"/>
        <w:rPr>
          <w:rFonts w:eastAsia="Times New Roman"/>
          <w:lang w:val="fr-FR"/>
        </w:rPr>
      </w:pPr>
      <w:r>
        <w:rPr>
          <w:rFonts w:eastAsia="Times New Roman"/>
          <w:lang w:val="fr-FR"/>
        </w:rPr>
        <w:t>Les 7 et 8 </w:t>
      </w:r>
      <w:r w:rsidR="00B03D00" w:rsidRPr="00BF7C35">
        <w:rPr>
          <w:rFonts w:eastAsia="Times New Roman"/>
          <w:lang w:val="fr-FR"/>
        </w:rPr>
        <w:t>septembre 2015, la CESAP a organisé un atelier sur l</w:t>
      </w:r>
      <w:r w:rsidR="00B03D00">
        <w:rPr>
          <w:rFonts w:eastAsia="Times New Roman"/>
          <w:lang w:val="fr-FR"/>
        </w:rPr>
        <w:t>’</w:t>
      </w:r>
      <w:r w:rsidR="00B03D00" w:rsidRPr="00BF7C35">
        <w:rPr>
          <w:rFonts w:eastAsia="Times New Roman"/>
          <w:lang w:val="fr-FR"/>
        </w:rPr>
        <w:t>échange de données C</w:t>
      </w:r>
      <w:r>
        <w:rPr>
          <w:rFonts w:eastAsia="Times New Roman"/>
          <w:lang w:val="fr-FR"/>
        </w:rPr>
        <w:t>2C à Issyk-Koul (Kirghizistan);</w:t>
      </w:r>
    </w:p>
    <w:p w:rsidR="00B03D00" w:rsidRPr="00BF7C35" w:rsidRDefault="00B03D00" w:rsidP="00B62AD3">
      <w:pPr>
        <w:pStyle w:val="Bullet1"/>
        <w:ind w:left="1743" w:hanging="130"/>
        <w:rPr>
          <w:rFonts w:eastAsia="Times New Roman"/>
          <w:lang w:val="fr-FR"/>
        </w:rPr>
      </w:pPr>
      <w:r w:rsidRPr="00BF7C35">
        <w:rPr>
          <w:rFonts w:eastAsia="Times New Roman"/>
          <w:lang w:val="fr-FR"/>
        </w:rPr>
        <w:t>Divers contrats d</w:t>
      </w:r>
      <w:r>
        <w:rPr>
          <w:rFonts w:eastAsia="Times New Roman"/>
          <w:lang w:val="fr-FR"/>
        </w:rPr>
        <w:t>’</w:t>
      </w:r>
      <w:r w:rsidRPr="00BF7C35">
        <w:rPr>
          <w:rFonts w:eastAsia="Times New Roman"/>
          <w:lang w:val="fr-FR"/>
        </w:rPr>
        <w:t>assistance technique ont déjà été offerts par la CEE et la CEPALC à des consultants chargés d</w:t>
      </w:r>
      <w:r>
        <w:rPr>
          <w:rFonts w:eastAsia="Times New Roman"/>
          <w:lang w:val="fr-FR"/>
        </w:rPr>
        <w:t>’</w:t>
      </w:r>
      <w:r w:rsidRPr="00BF7C35">
        <w:rPr>
          <w:rFonts w:eastAsia="Times New Roman"/>
          <w:lang w:val="fr-FR"/>
        </w:rPr>
        <w:t>aider les pays pilote</w:t>
      </w:r>
      <w:r w:rsidR="00B62AD3">
        <w:rPr>
          <w:rFonts w:eastAsia="Times New Roman"/>
          <w:lang w:val="fr-FR"/>
        </w:rPr>
        <w:t>s à promouvoir les échanges C2C;</w:t>
      </w:r>
    </w:p>
    <w:p w:rsidR="00B03D00" w:rsidRPr="00BF7C35" w:rsidRDefault="00B03D00" w:rsidP="00B62AD3">
      <w:pPr>
        <w:pStyle w:val="Bullet1"/>
        <w:ind w:left="1743" w:hanging="130"/>
        <w:rPr>
          <w:rFonts w:eastAsia="Times New Roman"/>
          <w:lang w:val="fr-FR"/>
        </w:rPr>
      </w:pPr>
      <w:r w:rsidRPr="00BF7C35">
        <w:rPr>
          <w:rFonts w:eastAsia="Times New Roman"/>
          <w:lang w:val="fr-FR"/>
        </w:rPr>
        <w:t>La CEE a engagé une société chargée d</w:t>
      </w:r>
      <w:r>
        <w:rPr>
          <w:rFonts w:eastAsia="Times New Roman"/>
          <w:lang w:val="fr-FR"/>
        </w:rPr>
        <w:t>’</w:t>
      </w:r>
      <w:r w:rsidRPr="00BF7C35">
        <w:rPr>
          <w:rFonts w:eastAsia="Times New Roman"/>
          <w:lang w:val="fr-FR"/>
        </w:rPr>
        <w:t>él</w:t>
      </w:r>
      <w:r w:rsidR="008569C7">
        <w:rPr>
          <w:rFonts w:eastAsia="Times New Roman"/>
          <w:lang w:val="fr-FR"/>
        </w:rPr>
        <w:t>aborer et de déployer une plate</w:t>
      </w:r>
      <w:r w:rsidRPr="00BF7C35">
        <w:rPr>
          <w:rFonts w:eastAsia="Times New Roman"/>
          <w:lang w:val="fr-FR"/>
        </w:rPr>
        <w:t>forme d</w:t>
      </w:r>
      <w:r>
        <w:rPr>
          <w:rFonts w:eastAsia="Times New Roman"/>
          <w:lang w:val="fr-FR"/>
        </w:rPr>
        <w:t>’</w:t>
      </w:r>
      <w:r w:rsidRPr="00BF7C35">
        <w:rPr>
          <w:rFonts w:eastAsia="Times New Roman"/>
          <w:lang w:val="fr-FR"/>
        </w:rPr>
        <w:t>échanges C2C.</w:t>
      </w:r>
    </w:p>
    <w:p w:rsidR="00B03D00" w:rsidRPr="00BF7C35" w:rsidRDefault="00B03D00" w:rsidP="00B62AD3">
      <w:pPr>
        <w:pStyle w:val="SingleTxt"/>
        <w:numPr>
          <w:ilvl w:val="0"/>
          <w:numId w:val="9"/>
        </w:numPr>
        <w:tabs>
          <w:tab w:val="clear" w:pos="475"/>
          <w:tab w:val="num" w:pos="1742"/>
        </w:tabs>
        <w:ind w:left="1267"/>
        <w:rPr>
          <w:rFonts w:eastAsia="Times New Roman"/>
          <w:lang w:val="fr-FR"/>
        </w:rPr>
      </w:pPr>
      <w:r w:rsidRPr="00BF7C35">
        <w:rPr>
          <w:rFonts w:eastAsia="Times New Roman"/>
          <w:lang w:val="fr-FR"/>
        </w:rPr>
        <w:t>Le Comité voudra bien noter qu</w:t>
      </w:r>
      <w:r>
        <w:rPr>
          <w:rFonts w:eastAsia="Times New Roman"/>
          <w:lang w:val="fr-FR"/>
        </w:rPr>
        <w:t>’</w:t>
      </w:r>
      <w:r w:rsidRPr="00BF7C35">
        <w:rPr>
          <w:rFonts w:eastAsia="Times New Roman"/>
          <w:lang w:val="fr-FR"/>
        </w:rPr>
        <w:t xml:space="preserve">en raison des retards causés par des circonstances imprévues (changements politiques dans les pays pilotes et retards administratifs dans les Commissions régionales dus à la mise en service du nouveau progiciel de gestion intégré, </w:t>
      </w:r>
      <w:r w:rsidR="00B62AD3">
        <w:rPr>
          <w:rFonts w:eastAsia="Times New Roman"/>
          <w:lang w:val="fr-FR"/>
        </w:rPr>
        <w:t>« </w:t>
      </w:r>
      <w:r w:rsidRPr="00BF7C35">
        <w:rPr>
          <w:rFonts w:eastAsia="Times New Roman"/>
          <w:lang w:val="fr-FR"/>
        </w:rPr>
        <w:t>Umoja</w:t>
      </w:r>
      <w:r w:rsidR="00B62AD3">
        <w:rPr>
          <w:rFonts w:eastAsia="Times New Roman"/>
          <w:lang w:val="fr-FR"/>
        </w:rPr>
        <w:t> »</w:t>
      </w:r>
      <w:r w:rsidRPr="00BF7C35">
        <w:rPr>
          <w:rFonts w:eastAsia="Times New Roman"/>
          <w:lang w:val="fr-FR"/>
        </w:rPr>
        <w:t>), le Département des affaires économiques et sociales a prolongé la période opérationnelle de ce projet pour une durée supplémentaire de six mois jusqu</w:t>
      </w:r>
      <w:r>
        <w:rPr>
          <w:rFonts w:eastAsia="Times New Roman"/>
          <w:lang w:val="fr-FR"/>
        </w:rPr>
        <w:t>’</w:t>
      </w:r>
      <w:r w:rsidRPr="00BF7C35">
        <w:rPr>
          <w:rFonts w:eastAsia="Times New Roman"/>
          <w:lang w:val="fr-FR"/>
        </w:rPr>
        <w:t>au 30 juin 2016.</w:t>
      </w:r>
    </w:p>
    <w:p w:rsidR="00B03D00" w:rsidRDefault="00B03D00" w:rsidP="00B62AD3">
      <w:pPr>
        <w:pStyle w:val="SingleTxt"/>
        <w:numPr>
          <w:ilvl w:val="0"/>
          <w:numId w:val="9"/>
        </w:numPr>
        <w:tabs>
          <w:tab w:val="clear" w:pos="475"/>
          <w:tab w:val="num" w:pos="1742"/>
        </w:tabs>
        <w:ind w:left="1267"/>
        <w:rPr>
          <w:rFonts w:eastAsia="Times New Roman"/>
          <w:lang w:val="fr-FR"/>
        </w:rPr>
      </w:pPr>
      <w:r w:rsidRPr="00BF7C35">
        <w:rPr>
          <w:rFonts w:eastAsia="Times New Roman"/>
          <w:lang w:val="fr-FR"/>
        </w:rPr>
        <w:t>Enfin, le Comité souhaitera peut-être noter que</w:t>
      </w:r>
      <w:r w:rsidR="00B62AD3">
        <w:rPr>
          <w:rFonts w:eastAsia="Times New Roman"/>
          <w:lang w:val="fr-FR"/>
        </w:rPr>
        <w:t> : a) </w:t>
      </w:r>
      <w:r w:rsidRPr="00BF7C35">
        <w:rPr>
          <w:rFonts w:eastAsia="Times New Roman"/>
          <w:lang w:val="fr-FR"/>
        </w:rPr>
        <w:t>un atelier sur l</w:t>
      </w:r>
      <w:r>
        <w:rPr>
          <w:rFonts w:eastAsia="Times New Roman"/>
          <w:lang w:val="fr-FR"/>
        </w:rPr>
        <w:t>’</w:t>
      </w:r>
      <w:r w:rsidRPr="00BF7C35">
        <w:rPr>
          <w:rFonts w:eastAsia="Times New Roman"/>
          <w:lang w:val="fr-FR"/>
        </w:rPr>
        <w:t>échange de données C2C, organisé conjointement par la CEA et la CESAO, a eu lieu du 2 au 4</w:t>
      </w:r>
      <w:r w:rsidR="00B62AD3">
        <w:rPr>
          <w:rFonts w:eastAsia="Times New Roman"/>
          <w:lang w:val="fr-FR"/>
        </w:rPr>
        <w:t> </w:t>
      </w:r>
      <w:r w:rsidRPr="00BF7C35">
        <w:rPr>
          <w:rFonts w:eastAsia="Times New Roman"/>
          <w:lang w:val="fr-FR"/>
        </w:rPr>
        <w:t>décembr</w:t>
      </w:r>
      <w:r w:rsidR="00B62AD3">
        <w:rPr>
          <w:rFonts w:eastAsia="Times New Roman"/>
          <w:lang w:val="fr-FR"/>
        </w:rPr>
        <w:t>e 2015 à Casablanca (Maroc); b) </w:t>
      </w:r>
      <w:r w:rsidRPr="00BF7C35">
        <w:rPr>
          <w:rFonts w:eastAsia="Times New Roman"/>
          <w:lang w:val="fr-FR"/>
        </w:rPr>
        <w:t>la deuxième réunion du groupe d</w:t>
      </w:r>
      <w:r>
        <w:rPr>
          <w:rFonts w:eastAsia="Times New Roman"/>
          <w:lang w:val="fr-FR"/>
        </w:rPr>
        <w:t>’</w:t>
      </w:r>
      <w:r w:rsidRPr="00BF7C35">
        <w:rPr>
          <w:rFonts w:eastAsia="Times New Roman"/>
          <w:lang w:val="fr-FR"/>
        </w:rPr>
        <w:t>experts interrégional et le séminaire visant à promouvoir l</w:t>
      </w:r>
      <w:r>
        <w:rPr>
          <w:rFonts w:eastAsia="Times New Roman"/>
          <w:lang w:val="fr-FR"/>
        </w:rPr>
        <w:t>’</w:t>
      </w:r>
      <w:r w:rsidRPr="00BF7C35">
        <w:rPr>
          <w:rFonts w:eastAsia="Times New Roman"/>
          <w:lang w:val="fr-FR"/>
        </w:rPr>
        <w:t>échange informatisé d</w:t>
      </w:r>
      <w:r>
        <w:rPr>
          <w:rFonts w:eastAsia="Times New Roman"/>
          <w:lang w:val="fr-FR"/>
        </w:rPr>
        <w:t>’</w:t>
      </w:r>
      <w:r w:rsidRPr="00BF7C35">
        <w:rPr>
          <w:rFonts w:eastAsia="Times New Roman"/>
          <w:lang w:val="fr-FR"/>
        </w:rPr>
        <w:t>informations douanières et l</w:t>
      </w:r>
      <w:r>
        <w:rPr>
          <w:rFonts w:eastAsia="Times New Roman"/>
          <w:lang w:val="fr-FR"/>
        </w:rPr>
        <w:t>’</w:t>
      </w:r>
      <w:r w:rsidRPr="00BF7C35">
        <w:rPr>
          <w:rFonts w:eastAsia="Times New Roman"/>
          <w:lang w:val="fr-FR"/>
        </w:rPr>
        <w:t xml:space="preserve">adoption de messages électroniques normalisés auront lieu à </w:t>
      </w:r>
      <w:r w:rsidR="00B62AD3">
        <w:rPr>
          <w:rFonts w:eastAsia="Times New Roman"/>
          <w:lang w:val="fr-FR"/>
        </w:rPr>
        <w:t>Genève (20-21 juin 2016); et c) </w:t>
      </w:r>
      <w:r w:rsidRPr="00BF7C35">
        <w:rPr>
          <w:rFonts w:eastAsia="Times New Roman"/>
          <w:lang w:val="fr-FR"/>
        </w:rPr>
        <w:t>l</w:t>
      </w:r>
      <w:r>
        <w:rPr>
          <w:rFonts w:eastAsia="Times New Roman"/>
          <w:lang w:val="fr-FR"/>
        </w:rPr>
        <w:t>’</w:t>
      </w:r>
      <w:r w:rsidRPr="00BF7C35">
        <w:rPr>
          <w:rFonts w:eastAsia="Times New Roman"/>
          <w:lang w:val="fr-FR"/>
        </w:rPr>
        <w:t>évaluation externe du projet sera effectuée de juillet à septembre 2016.</w:t>
      </w:r>
    </w:p>
    <w:p w:rsidR="00B62AD3" w:rsidRPr="00B62AD3" w:rsidRDefault="00B62AD3" w:rsidP="00B62AD3">
      <w:pPr>
        <w:pStyle w:val="SingleTxt"/>
        <w:spacing w:after="0" w:line="120" w:lineRule="exact"/>
        <w:rPr>
          <w:sz w:val="10"/>
          <w:lang w:val="fr-FR"/>
        </w:rPr>
      </w:pPr>
    </w:p>
    <w:p w:rsidR="00B62AD3" w:rsidRPr="00B62AD3" w:rsidRDefault="00B62AD3" w:rsidP="00B62AD3">
      <w:pPr>
        <w:pStyle w:val="SingleTxt"/>
        <w:spacing w:after="0" w:line="120" w:lineRule="exact"/>
        <w:rPr>
          <w:sz w:val="10"/>
          <w:lang w:val="fr-FR"/>
        </w:rPr>
      </w:pPr>
    </w:p>
    <w:p w:rsidR="00B03D00" w:rsidRDefault="00B03D00" w:rsidP="00B62AD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tab/>
        <w:t>VIII.</w:t>
      </w:r>
      <w:r w:rsidRPr="00BF7C35">
        <w:rPr>
          <w:lang w:val="fr-FR"/>
        </w:rPr>
        <w:tab/>
        <w:t xml:space="preserve">Adoption des nouveaux mandat </w:t>
      </w:r>
      <w:r w:rsidR="00B62AD3">
        <w:rPr>
          <w:lang w:val="fr-FR"/>
        </w:rPr>
        <w:br/>
      </w:r>
      <w:r w:rsidRPr="00BF7C35">
        <w:rPr>
          <w:lang w:val="fr-FR"/>
        </w:rPr>
        <w:t>et règlement intérieur du WP.30</w:t>
      </w:r>
    </w:p>
    <w:p w:rsidR="00B62AD3" w:rsidRPr="00B62AD3" w:rsidRDefault="00B62AD3" w:rsidP="00B62AD3">
      <w:pPr>
        <w:pStyle w:val="SingleTxt"/>
        <w:spacing w:after="0" w:line="120" w:lineRule="exact"/>
        <w:rPr>
          <w:sz w:val="10"/>
          <w:lang w:val="fr-FR"/>
        </w:rPr>
      </w:pPr>
    </w:p>
    <w:p w:rsidR="00B62AD3" w:rsidRPr="00B62AD3" w:rsidRDefault="00B62AD3" w:rsidP="00B62AD3">
      <w:pPr>
        <w:pStyle w:val="SingleTxt"/>
        <w:spacing w:after="0" w:line="120" w:lineRule="exact"/>
        <w:rPr>
          <w:sz w:val="10"/>
          <w:lang w:val="fr-FR"/>
        </w:rPr>
      </w:pPr>
    </w:p>
    <w:p w:rsidR="00B03D00" w:rsidRDefault="00B03D00" w:rsidP="00B62AD3">
      <w:pPr>
        <w:pStyle w:val="SingleTxt"/>
        <w:numPr>
          <w:ilvl w:val="0"/>
          <w:numId w:val="9"/>
        </w:numPr>
        <w:tabs>
          <w:tab w:val="clear" w:pos="475"/>
          <w:tab w:val="num" w:pos="1742"/>
        </w:tabs>
        <w:ind w:left="1267"/>
        <w:rPr>
          <w:rFonts w:eastAsia="Times New Roman"/>
          <w:lang w:val="fr-FR"/>
        </w:rPr>
      </w:pPr>
      <w:r w:rsidRPr="00BF7C35">
        <w:rPr>
          <w:rFonts w:eastAsia="Times New Roman"/>
          <w:lang w:val="fr-FR"/>
        </w:rPr>
        <w:t>En juin 2015, le WP.30 a été informé que, s</w:t>
      </w:r>
      <w:r>
        <w:rPr>
          <w:rFonts w:eastAsia="Times New Roman"/>
          <w:lang w:val="fr-FR"/>
        </w:rPr>
        <w:t>’</w:t>
      </w:r>
      <w:r w:rsidRPr="00BF7C35">
        <w:rPr>
          <w:rFonts w:eastAsia="Times New Roman"/>
          <w:lang w:val="fr-FR"/>
        </w:rPr>
        <w:t>étant penché sur la question des conditions dans lesquelles les pays non membres de la CEE qui sont Parties contractantes aux conventions et accords administrés par les organes subsidiaires du Comité des transports intérieurs pourraient participer aux travaux des différents groupes de travail, le Comité avait décidé que les groupes de travail devraient, dans le cadre des règles et procédures applicables, adopter des solutions sur mesure de nature à augmenter la capacité de tous les États Membres de l</w:t>
      </w:r>
      <w:r>
        <w:rPr>
          <w:rFonts w:eastAsia="Times New Roman"/>
          <w:lang w:val="fr-FR"/>
        </w:rPr>
        <w:t>’</w:t>
      </w:r>
      <w:r w:rsidRPr="00BF7C35">
        <w:rPr>
          <w:rFonts w:eastAsia="Times New Roman"/>
          <w:lang w:val="fr-FR"/>
        </w:rPr>
        <w:t>ONU d</w:t>
      </w:r>
      <w:r>
        <w:rPr>
          <w:rFonts w:eastAsia="Times New Roman"/>
          <w:lang w:val="fr-FR"/>
        </w:rPr>
        <w:t>’</w:t>
      </w:r>
      <w:r w:rsidRPr="00BF7C35">
        <w:rPr>
          <w:rFonts w:eastAsia="Times New Roman"/>
          <w:lang w:val="fr-FR"/>
        </w:rPr>
        <w:t>adhérer aux conventions relatives aux transports et de les appliquer. Le WP.30 a pris note de cette information et estimé que l</w:t>
      </w:r>
      <w:r>
        <w:rPr>
          <w:rFonts w:eastAsia="Times New Roman"/>
          <w:lang w:val="fr-FR"/>
        </w:rPr>
        <w:t>’</w:t>
      </w:r>
      <w:r w:rsidRPr="00BF7C35">
        <w:rPr>
          <w:rFonts w:eastAsia="Times New Roman"/>
          <w:lang w:val="fr-FR"/>
        </w:rPr>
        <w:t xml:space="preserve">approche dite </w:t>
      </w:r>
      <w:r w:rsidR="00B62AD3">
        <w:rPr>
          <w:rFonts w:eastAsia="Times New Roman"/>
          <w:lang w:val="fr-FR"/>
        </w:rPr>
        <w:t>« </w:t>
      </w:r>
      <w:r w:rsidRPr="00BF7C35">
        <w:rPr>
          <w:rFonts w:eastAsia="Times New Roman"/>
          <w:lang w:val="fr-FR"/>
        </w:rPr>
        <w:t>hybride</w:t>
      </w:r>
      <w:r w:rsidR="00B62AD3">
        <w:rPr>
          <w:rFonts w:eastAsia="Times New Roman"/>
          <w:lang w:val="fr-FR"/>
        </w:rPr>
        <w:t> »</w:t>
      </w:r>
      <w:r w:rsidRPr="00BF7C35">
        <w:rPr>
          <w:rFonts w:eastAsia="Times New Roman"/>
          <w:lang w:val="fr-FR"/>
        </w:rPr>
        <w:t xml:space="preserve"> correspondait parfaitement à la pratique actuelle tout en respectant les règles et procédures de la CEE. Rappelant ses précédents débats sur la question, le Groupe de travail a approuvé son mandat et son Règlement intérieur tels qu</w:t>
      </w:r>
      <w:r>
        <w:rPr>
          <w:rFonts w:eastAsia="Times New Roman"/>
          <w:lang w:val="fr-FR"/>
        </w:rPr>
        <w:t>’</w:t>
      </w:r>
      <w:r w:rsidRPr="00BF7C35">
        <w:rPr>
          <w:rFonts w:eastAsia="Times New Roman"/>
          <w:lang w:val="fr-FR"/>
        </w:rPr>
        <w:t>ils figurent dans le document ECE/TRANS/WP.30/2015/7 (joints en annexe au présent document pour référence).</w:t>
      </w:r>
    </w:p>
    <w:p w:rsidR="00B62AD3" w:rsidRPr="00B62AD3" w:rsidRDefault="00B62AD3" w:rsidP="00B62AD3">
      <w:pPr>
        <w:pStyle w:val="SingleTxt"/>
        <w:spacing w:after="0" w:line="120" w:lineRule="exact"/>
        <w:rPr>
          <w:sz w:val="10"/>
          <w:lang w:val="fr-FR"/>
        </w:rPr>
      </w:pPr>
    </w:p>
    <w:p w:rsidR="00B62AD3" w:rsidRPr="00B62AD3" w:rsidRDefault="00B62AD3" w:rsidP="00B62AD3">
      <w:pPr>
        <w:pStyle w:val="SingleTxt"/>
        <w:spacing w:after="0" w:line="120" w:lineRule="exact"/>
        <w:rPr>
          <w:sz w:val="10"/>
          <w:lang w:val="fr-FR"/>
        </w:rPr>
      </w:pPr>
    </w:p>
    <w:p w:rsidR="00B03D00" w:rsidRDefault="00B03D00" w:rsidP="00B62AD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tab/>
        <w:t>IX.</w:t>
      </w:r>
      <w:r w:rsidRPr="00BF7C35">
        <w:rPr>
          <w:lang w:val="fr-FR"/>
        </w:rPr>
        <w:tab/>
        <w:t xml:space="preserve">Considérations du </w:t>
      </w:r>
      <w:r w:rsidRPr="00B03D00">
        <w:rPr>
          <w:lang w:val="fr-FR"/>
        </w:rPr>
        <w:t>Comité</w:t>
      </w:r>
    </w:p>
    <w:p w:rsidR="00B62AD3" w:rsidRPr="00B62AD3" w:rsidRDefault="00B62AD3" w:rsidP="00B62AD3">
      <w:pPr>
        <w:pStyle w:val="SingleTxt"/>
        <w:spacing w:after="0" w:line="120" w:lineRule="exact"/>
        <w:rPr>
          <w:sz w:val="10"/>
          <w:lang w:val="fr-FR"/>
        </w:rPr>
      </w:pPr>
    </w:p>
    <w:p w:rsidR="00B62AD3" w:rsidRPr="00B62AD3" w:rsidRDefault="00B62AD3" w:rsidP="00B62AD3">
      <w:pPr>
        <w:pStyle w:val="SingleTxt"/>
        <w:spacing w:after="0" w:line="120" w:lineRule="exact"/>
        <w:rPr>
          <w:sz w:val="10"/>
          <w:lang w:val="fr-FR"/>
        </w:rPr>
      </w:pPr>
    </w:p>
    <w:p w:rsidR="00371D21" w:rsidRPr="001E5C8A" w:rsidRDefault="00B03D00" w:rsidP="00B62AD3">
      <w:pPr>
        <w:pStyle w:val="SingleTxt"/>
        <w:numPr>
          <w:ilvl w:val="0"/>
          <w:numId w:val="9"/>
        </w:numPr>
        <w:tabs>
          <w:tab w:val="clear" w:pos="475"/>
          <w:tab w:val="num" w:pos="1742"/>
        </w:tabs>
        <w:ind w:left="1267"/>
      </w:pPr>
      <w:r w:rsidRPr="00BF7C35">
        <w:rPr>
          <w:rFonts w:eastAsia="Times New Roman"/>
          <w:lang w:val="fr-FR"/>
        </w:rPr>
        <w:t>Le Comité souhaitera peut-être prendre note des activités des Parties contractantes, du WP.30 et du secrétariat mentionnées ci-dessus, et leur apporter son soutien. Il est aussi invité à soutenir la poursuite du projet eTIR et à prolonger le mandat du WP.30/GE.1 jusqu</w:t>
      </w:r>
      <w:r>
        <w:rPr>
          <w:rFonts w:eastAsia="Times New Roman"/>
          <w:lang w:val="fr-FR"/>
        </w:rPr>
        <w:t>’</w:t>
      </w:r>
      <w:r w:rsidRPr="00BF7C35">
        <w:rPr>
          <w:rFonts w:eastAsia="Times New Roman"/>
          <w:lang w:val="fr-FR"/>
        </w:rPr>
        <w:t>en 2016.</w:t>
      </w:r>
    </w:p>
    <w:p w:rsidR="001E5C8A" w:rsidRDefault="001E5C8A">
      <w:pPr>
        <w:spacing w:line="240" w:lineRule="auto"/>
      </w:pPr>
      <w:r>
        <w:br w:type="page"/>
      </w:r>
    </w:p>
    <w:p w:rsidR="00C30AFB" w:rsidRDefault="00C30AFB" w:rsidP="00C30AFB">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BF7C35">
        <w:rPr>
          <w:lang w:val="fr-FR"/>
        </w:rPr>
        <w:lastRenderedPageBreak/>
        <w:t>Annexe</w:t>
      </w:r>
    </w:p>
    <w:p w:rsidR="00C30AFB" w:rsidRPr="00C30AFB" w:rsidRDefault="00C30AFB" w:rsidP="00C30AFB">
      <w:pPr>
        <w:spacing w:line="120" w:lineRule="exact"/>
        <w:rPr>
          <w:sz w:val="10"/>
          <w:lang w:val="fr-FR"/>
        </w:rPr>
      </w:pPr>
    </w:p>
    <w:p w:rsidR="00C30AFB" w:rsidRDefault="00C30AFB" w:rsidP="00C30AF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eastAsia="en-GB"/>
        </w:rPr>
      </w:pPr>
      <w:r w:rsidRPr="00BF7C35">
        <w:rPr>
          <w:lang w:val="fr-FR"/>
        </w:rPr>
        <w:tab/>
      </w:r>
      <w:r w:rsidRPr="00BF7C35">
        <w:rPr>
          <w:lang w:val="fr-FR"/>
        </w:rPr>
        <w:tab/>
      </w:r>
      <w:r w:rsidRPr="00BF7C35">
        <w:rPr>
          <w:lang w:val="fr-FR" w:eastAsia="en-GB"/>
        </w:rPr>
        <w:t>Mandat du Groupe de travail des problèmes douaniers intéressant les transports (WP.30)</w:t>
      </w:r>
    </w:p>
    <w:p w:rsidR="00C30AFB" w:rsidRPr="00C30AFB" w:rsidRDefault="00C30AFB" w:rsidP="00C30AFB">
      <w:pPr>
        <w:pStyle w:val="SingleTxt"/>
        <w:spacing w:after="0" w:line="120" w:lineRule="exact"/>
        <w:rPr>
          <w:sz w:val="10"/>
          <w:lang w:val="fr-FR" w:eastAsia="en-GB"/>
        </w:rPr>
      </w:pPr>
    </w:p>
    <w:p w:rsidR="00C30AFB" w:rsidRPr="00C30AFB" w:rsidRDefault="00C30AFB" w:rsidP="00C30AFB">
      <w:pPr>
        <w:pStyle w:val="SingleTxt"/>
        <w:spacing w:after="0" w:line="120" w:lineRule="exact"/>
        <w:rPr>
          <w:sz w:val="10"/>
          <w:lang w:val="fr-FR" w:eastAsia="en-GB"/>
        </w:rPr>
      </w:pPr>
    </w:p>
    <w:p w:rsidR="00C30AFB" w:rsidRPr="00BF7C35" w:rsidRDefault="00C30AFB" w:rsidP="00C30AFB">
      <w:pPr>
        <w:pStyle w:val="SingleTxt"/>
        <w:numPr>
          <w:ilvl w:val="0"/>
          <w:numId w:val="18"/>
        </w:numPr>
        <w:tabs>
          <w:tab w:val="clear" w:pos="475"/>
          <w:tab w:val="num" w:pos="1742"/>
        </w:tabs>
        <w:ind w:left="1267"/>
        <w:rPr>
          <w:lang w:val="fr-FR"/>
        </w:rPr>
      </w:pPr>
      <w:r w:rsidRPr="00BF7C35">
        <w:rPr>
          <w:lang w:val="fr-FR"/>
        </w:rPr>
        <w:t xml:space="preserve">Le Groupe de travail des problèmes douaniers intéressant les transports (ci-après le </w:t>
      </w:r>
      <w:r>
        <w:rPr>
          <w:lang w:val="fr-FR"/>
        </w:rPr>
        <w:t>« </w:t>
      </w:r>
      <w:r w:rsidRPr="00BF7C35">
        <w:rPr>
          <w:lang w:val="fr-FR"/>
        </w:rPr>
        <w:t>WP.30</w:t>
      </w:r>
      <w:r>
        <w:rPr>
          <w:lang w:val="fr-FR"/>
        </w:rPr>
        <w:t> »</w:t>
      </w:r>
      <w:r w:rsidRPr="00BF7C35">
        <w:rPr>
          <w:lang w:val="fr-FR"/>
        </w:rPr>
        <w:t>), agissant dans le cadre des politiques de l</w:t>
      </w:r>
      <w:r>
        <w:rPr>
          <w:lang w:val="fr-FR"/>
        </w:rPr>
        <w:t>’</w:t>
      </w:r>
      <w:r w:rsidRPr="00BF7C35">
        <w:rPr>
          <w:lang w:val="fr-FR"/>
        </w:rPr>
        <w:t>Organisation des Nations Unies et de la Commission économique pour l</w:t>
      </w:r>
      <w:r>
        <w:rPr>
          <w:lang w:val="fr-FR"/>
        </w:rPr>
        <w:t>’</w:t>
      </w:r>
      <w:r w:rsidRPr="00BF7C35">
        <w:rPr>
          <w:lang w:val="fr-FR"/>
        </w:rPr>
        <w:t xml:space="preserve">Europe (ci-après la </w:t>
      </w:r>
      <w:r>
        <w:rPr>
          <w:lang w:val="fr-FR"/>
        </w:rPr>
        <w:t>« </w:t>
      </w:r>
      <w:r w:rsidRPr="00BF7C35">
        <w:rPr>
          <w:lang w:val="fr-FR"/>
        </w:rPr>
        <w:t>CEE</w:t>
      </w:r>
      <w:r>
        <w:rPr>
          <w:lang w:val="fr-FR"/>
        </w:rPr>
        <w:t> »</w:t>
      </w:r>
      <w:r w:rsidRPr="00BF7C35">
        <w:rPr>
          <w:lang w:val="fr-FR"/>
        </w:rPr>
        <w:t xml:space="preserve">) et sous la supervision générale du Comité des transports intérieurs (ci-après le </w:t>
      </w:r>
      <w:r>
        <w:rPr>
          <w:lang w:val="fr-FR"/>
        </w:rPr>
        <w:t>« </w:t>
      </w:r>
      <w:r w:rsidRPr="00BF7C35">
        <w:rPr>
          <w:lang w:val="fr-FR"/>
        </w:rPr>
        <w:t>Comité</w:t>
      </w:r>
      <w:r>
        <w:rPr>
          <w:lang w:val="fr-FR"/>
        </w:rPr>
        <w:t> »</w:t>
      </w:r>
      <w:r w:rsidRPr="00BF7C35">
        <w:rPr>
          <w:lang w:val="fr-FR"/>
        </w:rPr>
        <w:t>), prend les initiatives suivantes, sous réserve que celles-ci soient conformes au mandat de la CEE (document E/ECE/778/Rev.5) et aux dispositions des instruments juridiques énumérés à l</w:t>
      </w:r>
      <w:r>
        <w:rPr>
          <w:lang w:val="fr-FR"/>
        </w:rPr>
        <w:t>’appendice :</w:t>
      </w:r>
    </w:p>
    <w:p w:rsidR="00C30AFB" w:rsidRPr="00BF7C35" w:rsidRDefault="00C30AFB" w:rsidP="00C30AFB">
      <w:pPr>
        <w:pStyle w:val="SingleTxt"/>
        <w:rPr>
          <w:lang w:val="fr-FR"/>
        </w:rPr>
      </w:pPr>
      <w:r>
        <w:rPr>
          <w:lang w:val="fr-FR"/>
        </w:rPr>
        <w:tab/>
      </w:r>
      <w:r w:rsidRPr="00BF7C35">
        <w:rPr>
          <w:lang w:val="fr-FR"/>
        </w:rPr>
        <w:t>a)</w:t>
      </w:r>
      <w:r w:rsidRPr="00BF7C35">
        <w:rPr>
          <w:lang w:val="fr-FR"/>
        </w:rPr>
        <w:tab/>
        <w:t>Lancer et mener des initiatives tendant à harmoniser et à simplifier les règlements, les règles et les documents relatifs aux procédures de passage des frontières pour les divers modes de transport intérieur;</w:t>
      </w:r>
    </w:p>
    <w:p w:rsidR="00C30AFB" w:rsidRPr="00BF7C35" w:rsidRDefault="00C30AFB" w:rsidP="00C30AFB">
      <w:pPr>
        <w:pStyle w:val="SingleTxt"/>
        <w:rPr>
          <w:rFonts w:eastAsia="Times New Roman"/>
          <w:lang w:val="fr-FR"/>
        </w:rPr>
      </w:pPr>
      <w:r>
        <w:rPr>
          <w:rFonts w:eastAsia="Times New Roman"/>
          <w:lang w:val="fr-FR"/>
        </w:rPr>
        <w:tab/>
      </w:r>
      <w:r w:rsidRPr="00BF7C35">
        <w:rPr>
          <w:rFonts w:eastAsia="Times New Roman"/>
          <w:lang w:val="fr-FR"/>
        </w:rPr>
        <w:t>b)</w:t>
      </w:r>
      <w:r w:rsidRPr="00BF7C35">
        <w:rPr>
          <w:rFonts w:eastAsia="Times New Roman"/>
          <w:lang w:val="fr-FR"/>
        </w:rPr>
        <w:tab/>
        <w:t xml:space="preserve">Analyser les difficultés </w:t>
      </w:r>
      <w:r w:rsidRPr="00C30AFB">
        <w:rPr>
          <w:lang w:val="fr-FR"/>
        </w:rPr>
        <w:t>qui</w:t>
      </w:r>
      <w:r w:rsidRPr="00BF7C35">
        <w:rPr>
          <w:rFonts w:eastAsia="Times New Roman"/>
          <w:lang w:val="fr-FR"/>
        </w:rPr>
        <w:t xml:space="preserve"> existent au passage des frontières en vue d</w:t>
      </w:r>
      <w:r>
        <w:rPr>
          <w:rFonts w:eastAsia="Times New Roman"/>
          <w:lang w:val="fr-FR"/>
        </w:rPr>
        <w:t>’</w:t>
      </w:r>
      <w:r w:rsidRPr="00BF7C35">
        <w:rPr>
          <w:rFonts w:eastAsia="Times New Roman"/>
          <w:lang w:val="fr-FR"/>
        </w:rPr>
        <w:t>établir des procédures administratives destinées à les éliminer;</w:t>
      </w:r>
    </w:p>
    <w:p w:rsidR="00C30AFB" w:rsidRPr="00BF7C35" w:rsidRDefault="00C30AFB" w:rsidP="00C30AFB">
      <w:pPr>
        <w:pStyle w:val="SingleTxt"/>
        <w:rPr>
          <w:rFonts w:eastAsia="Times New Roman"/>
          <w:lang w:val="fr-FR"/>
        </w:rPr>
      </w:pPr>
      <w:r>
        <w:rPr>
          <w:rFonts w:eastAsia="Times New Roman"/>
          <w:lang w:val="fr-FR"/>
        </w:rPr>
        <w:tab/>
      </w:r>
      <w:r w:rsidRPr="00BF7C35">
        <w:rPr>
          <w:rFonts w:eastAsia="Times New Roman"/>
          <w:lang w:val="fr-FR"/>
        </w:rPr>
        <w:t>c)</w:t>
      </w:r>
      <w:r w:rsidRPr="00BF7C35">
        <w:rPr>
          <w:rFonts w:eastAsia="Times New Roman"/>
          <w:lang w:val="fr-FR"/>
        </w:rPr>
        <w:tab/>
        <w:t xml:space="preserve">Administrer les </w:t>
      </w:r>
      <w:r w:rsidRPr="00C30AFB">
        <w:rPr>
          <w:lang w:val="fr-FR"/>
        </w:rPr>
        <w:t>conventions</w:t>
      </w:r>
      <w:r w:rsidRPr="00BF7C35">
        <w:rPr>
          <w:rFonts w:eastAsia="Times New Roman"/>
          <w:lang w:val="fr-FR"/>
        </w:rPr>
        <w:t xml:space="preserve"> et accords relatifs à la facilitation du passage des frontières et suivre leur mise en œuvre sous les auspices du Groupe de travail (voir l</w:t>
      </w:r>
      <w:r>
        <w:rPr>
          <w:rFonts w:eastAsia="Times New Roman"/>
          <w:lang w:val="fr-FR"/>
        </w:rPr>
        <w:t>’</w:t>
      </w:r>
      <w:r w:rsidRPr="00BF7C35">
        <w:rPr>
          <w:rFonts w:eastAsia="Times New Roman"/>
          <w:lang w:val="fr-FR"/>
        </w:rPr>
        <w:t>appendice);</w:t>
      </w:r>
    </w:p>
    <w:p w:rsidR="00C30AFB" w:rsidRPr="00BF7C35" w:rsidRDefault="00C30AFB" w:rsidP="00C30AFB">
      <w:pPr>
        <w:pStyle w:val="SingleTxt"/>
        <w:rPr>
          <w:rFonts w:eastAsia="Times New Roman"/>
          <w:lang w:val="fr-FR"/>
        </w:rPr>
      </w:pPr>
      <w:r>
        <w:rPr>
          <w:rFonts w:eastAsia="Times New Roman"/>
          <w:lang w:val="fr-FR"/>
        </w:rPr>
        <w:tab/>
      </w:r>
      <w:r w:rsidRPr="00BF7C35">
        <w:rPr>
          <w:rFonts w:eastAsia="Times New Roman"/>
          <w:lang w:val="fr-FR"/>
        </w:rPr>
        <w:t>d)</w:t>
      </w:r>
      <w:r w:rsidRPr="00BF7C35">
        <w:rPr>
          <w:rFonts w:eastAsia="Times New Roman"/>
          <w:lang w:val="fr-FR"/>
        </w:rPr>
        <w:tab/>
        <w:t>Examiner les instruments juridiques susmentionnés pour s</w:t>
      </w:r>
      <w:r>
        <w:rPr>
          <w:rFonts w:eastAsia="Times New Roman"/>
          <w:lang w:val="fr-FR"/>
        </w:rPr>
        <w:t>’</w:t>
      </w:r>
      <w:r w:rsidRPr="00BF7C35">
        <w:rPr>
          <w:rFonts w:eastAsia="Times New Roman"/>
          <w:lang w:val="fr-FR"/>
        </w:rPr>
        <w:t>assurer de leur pertinence et de leur cohérence par rapport à d</w:t>
      </w:r>
      <w:r>
        <w:rPr>
          <w:rFonts w:eastAsia="Times New Roman"/>
          <w:lang w:val="fr-FR"/>
        </w:rPr>
        <w:t>’</w:t>
      </w:r>
      <w:r w:rsidRPr="00BF7C35">
        <w:rPr>
          <w:rFonts w:eastAsia="Times New Roman"/>
          <w:lang w:val="fr-FR"/>
        </w:rPr>
        <w:t>autres instruments internationaux ou sous</w:t>
      </w:r>
      <w:r w:rsidRPr="00BF7C35">
        <w:rPr>
          <w:rFonts w:eastAsia="Times New Roman"/>
          <w:lang w:val="fr-FR"/>
        </w:rPr>
        <w:noBreakHyphen/>
        <w:t>régionaux relatifs aux questions douanières et de facilitation du passage des frontières, et faire en sorte qu</w:t>
      </w:r>
      <w:r>
        <w:rPr>
          <w:rFonts w:eastAsia="Times New Roman"/>
          <w:lang w:val="fr-FR"/>
        </w:rPr>
        <w:t>’</w:t>
      </w:r>
      <w:r w:rsidRPr="00BF7C35">
        <w:rPr>
          <w:rFonts w:eastAsia="Times New Roman"/>
          <w:lang w:val="fr-FR"/>
        </w:rPr>
        <w:t>ils répondent aux exigences des transports modernes et des contrôles aux frontières;</w:t>
      </w:r>
    </w:p>
    <w:p w:rsidR="00C30AFB" w:rsidRPr="00BF7C35" w:rsidRDefault="00C30AFB" w:rsidP="00C30AFB">
      <w:pPr>
        <w:pStyle w:val="SingleTxt"/>
        <w:rPr>
          <w:rFonts w:eastAsia="Times New Roman"/>
          <w:lang w:val="fr-FR"/>
        </w:rPr>
      </w:pPr>
      <w:r>
        <w:rPr>
          <w:rFonts w:eastAsia="Times New Roman"/>
          <w:lang w:val="fr-FR"/>
        </w:rPr>
        <w:tab/>
      </w:r>
      <w:r w:rsidRPr="00BF7C35">
        <w:rPr>
          <w:rFonts w:eastAsia="Times New Roman"/>
          <w:lang w:val="fr-FR"/>
        </w:rPr>
        <w:t>e)</w:t>
      </w:r>
      <w:r w:rsidRPr="00BF7C35">
        <w:rPr>
          <w:rFonts w:eastAsia="Times New Roman"/>
          <w:lang w:val="fr-FR"/>
        </w:rPr>
        <w:tab/>
        <w:t>Examiner et approuver des propositions d</w:t>
      </w:r>
      <w:r>
        <w:rPr>
          <w:rFonts w:eastAsia="Times New Roman"/>
          <w:lang w:val="fr-FR"/>
        </w:rPr>
        <w:t>’</w:t>
      </w:r>
      <w:r w:rsidRPr="00BF7C35">
        <w:rPr>
          <w:rFonts w:eastAsia="Times New Roman"/>
          <w:lang w:val="fr-FR"/>
        </w:rPr>
        <w:t>amendements aux instruments juridiques énumérés à l</w:t>
      </w:r>
      <w:r>
        <w:rPr>
          <w:rFonts w:eastAsia="Times New Roman"/>
          <w:lang w:val="fr-FR"/>
        </w:rPr>
        <w:t>’</w:t>
      </w:r>
      <w:r w:rsidRPr="00BF7C35">
        <w:rPr>
          <w:rFonts w:eastAsia="Times New Roman"/>
          <w:lang w:val="fr-FR"/>
        </w:rPr>
        <w:t>appendice et, le cas échéant, les soumettre aux comités de gestion concernés (voir l</w:t>
      </w:r>
      <w:r>
        <w:rPr>
          <w:rFonts w:eastAsia="Times New Roman"/>
          <w:lang w:val="fr-FR"/>
        </w:rPr>
        <w:t>’</w:t>
      </w:r>
      <w:r w:rsidRPr="00BF7C35">
        <w:rPr>
          <w:rFonts w:eastAsia="Times New Roman"/>
          <w:lang w:val="fr-FR"/>
        </w:rPr>
        <w:t xml:space="preserve">alinéa </w:t>
      </w:r>
      <w:r w:rsidRPr="004B5817">
        <w:rPr>
          <w:rFonts w:eastAsia="Times New Roman"/>
          <w:lang w:val="fr-FR"/>
        </w:rPr>
        <w:t>n</w:t>
      </w:r>
      <w:r w:rsidR="004B5817">
        <w:rPr>
          <w:rFonts w:eastAsia="Times New Roman"/>
          <w:lang w:val="fr-FR"/>
        </w:rPr>
        <w:t>)</w:t>
      </w:r>
      <w:r w:rsidRPr="00BF7C35">
        <w:rPr>
          <w:rFonts w:eastAsia="Times New Roman"/>
          <w:lang w:val="fr-FR"/>
        </w:rPr>
        <w:t xml:space="preserve"> ci-après) pour examen et adoption officielle;</w:t>
      </w:r>
    </w:p>
    <w:p w:rsidR="00C30AFB" w:rsidRPr="00BF7C35" w:rsidRDefault="00C30AFB" w:rsidP="00C30AFB">
      <w:pPr>
        <w:pStyle w:val="SingleTxt"/>
        <w:rPr>
          <w:rFonts w:eastAsia="Times New Roman"/>
          <w:lang w:val="fr-FR"/>
        </w:rPr>
      </w:pPr>
      <w:r>
        <w:rPr>
          <w:rFonts w:eastAsia="Times New Roman"/>
          <w:lang w:val="fr-FR"/>
        </w:rPr>
        <w:tab/>
      </w:r>
      <w:r w:rsidRPr="00BF7C35">
        <w:rPr>
          <w:rFonts w:eastAsia="Times New Roman"/>
          <w:lang w:val="fr-FR"/>
        </w:rPr>
        <w:t>f)</w:t>
      </w:r>
      <w:r w:rsidRPr="00BF7C35">
        <w:rPr>
          <w:rFonts w:eastAsia="Times New Roman"/>
          <w:lang w:val="fr-FR"/>
        </w:rPr>
        <w:tab/>
        <w:t xml:space="preserve">Examiner et adopter des recommandations, des résolutions, des observations et des exemples de pratiques de </w:t>
      </w:r>
      <w:r w:rsidRPr="00C30AFB">
        <w:rPr>
          <w:lang w:val="fr-FR"/>
        </w:rPr>
        <w:t>référence</w:t>
      </w:r>
      <w:r w:rsidRPr="00BF7C35">
        <w:rPr>
          <w:rFonts w:eastAsia="Times New Roman"/>
          <w:lang w:val="fr-FR"/>
        </w:rPr>
        <w:t xml:space="preserve"> en ce qui concerne l</w:t>
      </w:r>
      <w:r>
        <w:rPr>
          <w:rFonts w:eastAsia="Times New Roman"/>
          <w:lang w:val="fr-FR"/>
        </w:rPr>
        <w:t>’</w:t>
      </w:r>
      <w:r w:rsidRPr="00BF7C35">
        <w:rPr>
          <w:rFonts w:eastAsia="Times New Roman"/>
          <w:lang w:val="fr-FR"/>
        </w:rPr>
        <w:t>application des instruments juridiques ci-dessus et, le cas échéant, les soumettre aux comités de gestion concernés (voir l</w:t>
      </w:r>
      <w:r>
        <w:rPr>
          <w:rFonts w:eastAsia="Times New Roman"/>
          <w:lang w:val="fr-FR"/>
        </w:rPr>
        <w:t>’</w:t>
      </w:r>
      <w:r w:rsidRPr="00BF7C35">
        <w:rPr>
          <w:rFonts w:eastAsia="Times New Roman"/>
          <w:lang w:val="fr-FR"/>
        </w:rPr>
        <w:t xml:space="preserve">alinéa </w:t>
      </w:r>
      <w:r w:rsidRPr="004B5817">
        <w:rPr>
          <w:rFonts w:eastAsia="Times New Roman"/>
          <w:lang w:val="fr-FR"/>
        </w:rPr>
        <w:t>n</w:t>
      </w:r>
      <w:r w:rsidR="004B5817">
        <w:rPr>
          <w:rFonts w:eastAsia="Times New Roman"/>
          <w:lang w:val="fr-FR"/>
        </w:rPr>
        <w:t>)</w:t>
      </w:r>
      <w:r w:rsidRPr="00BF7C35">
        <w:rPr>
          <w:rFonts w:eastAsia="Times New Roman"/>
          <w:lang w:val="fr-FR"/>
        </w:rPr>
        <w:t xml:space="preserve"> ci-après) ou au Comité des transports intérieurs pour examen et approbation officielle;</w:t>
      </w:r>
    </w:p>
    <w:p w:rsidR="00C30AFB" w:rsidRPr="00BF7C35" w:rsidRDefault="00C30AFB" w:rsidP="00C30AFB">
      <w:pPr>
        <w:pStyle w:val="SingleTxt"/>
        <w:rPr>
          <w:rFonts w:eastAsia="Times New Roman"/>
          <w:lang w:val="fr-FR"/>
        </w:rPr>
      </w:pPr>
      <w:r>
        <w:rPr>
          <w:rFonts w:eastAsia="Times New Roman"/>
          <w:lang w:val="fr-FR"/>
        </w:rPr>
        <w:tab/>
      </w:r>
      <w:r w:rsidRPr="00BF7C35">
        <w:rPr>
          <w:rFonts w:eastAsia="Times New Roman"/>
          <w:lang w:val="fr-FR"/>
        </w:rPr>
        <w:t>g)</w:t>
      </w:r>
      <w:r w:rsidRPr="00BF7C35">
        <w:rPr>
          <w:rFonts w:eastAsia="Times New Roman"/>
          <w:lang w:val="fr-FR"/>
        </w:rPr>
        <w:tab/>
        <w:t xml:space="preserve">Étudier les questions douanières en vue de simplifier les procédures douanières et autres procédures </w:t>
      </w:r>
      <w:r w:rsidRPr="00C30AFB">
        <w:rPr>
          <w:lang w:val="fr-FR"/>
        </w:rPr>
        <w:t>administratives</w:t>
      </w:r>
      <w:r w:rsidRPr="00BF7C35">
        <w:rPr>
          <w:rFonts w:eastAsia="Times New Roman"/>
          <w:lang w:val="fr-FR"/>
        </w:rPr>
        <w:t xml:space="preserve"> ainsi que les documents douaniers dans le domaine des transports, notamment en faisant la promotion de l</w:t>
      </w:r>
      <w:r>
        <w:rPr>
          <w:rFonts w:eastAsia="Times New Roman"/>
          <w:lang w:val="fr-FR"/>
        </w:rPr>
        <w:t>’</w:t>
      </w:r>
      <w:r w:rsidRPr="00BF7C35">
        <w:rPr>
          <w:rFonts w:eastAsia="Times New Roman"/>
          <w:lang w:val="fr-FR"/>
        </w:rPr>
        <w:t>échange de données informatisé;</w:t>
      </w:r>
    </w:p>
    <w:p w:rsidR="00C30AFB" w:rsidRPr="00BF7C35" w:rsidRDefault="00C30AFB" w:rsidP="00C30AFB">
      <w:pPr>
        <w:pStyle w:val="SingleTxt"/>
        <w:rPr>
          <w:rFonts w:eastAsia="Times New Roman"/>
          <w:lang w:val="fr-FR"/>
        </w:rPr>
      </w:pPr>
      <w:r>
        <w:rPr>
          <w:rFonts w:eastAsia="Times New Roman"/>
          <w:lang w:val="fr-FR"/>
        </w:rPr>
        <w:tab/>
      </w:r>
      <w:r w:rsidRPr="00BF7C35">
        <w:rPr>
          <w:rFonts w:eastAsia="Times New Roman"/>
          <w:lang w:val="fr-FR"/>
        </w:rPr>
        <w:t>h)</w:t>
      </w:r>
      <w:r w:rsidRPr="00BF7C35">
        <w:rPr>
          <w:rFonts w:eastAsia="Times New Roman"/>
          <w:lang w:val="fr-FR"/>
        </w:rPr>
        <w:tab/>
        <w:t xml:space="preserve">Étudier les mesures concrètes, juridiques et autres, visant à lutter contre la fraude fiscale résultant de la </w:t>
      </w:r>
      <w:r w:rsidRPr="00C30AFB">
        <w:rPr>
          <w:lang w:val="fr-FR"/>
        </w:rPr>
        <w:t>simplification</w:t>
      </w:r>
      <w:r w:rsidRPr="00BF7C35">
        <w:rPr>
          <w:rFonts w:eastAsia="Times New Roman"/>
          <w:lang w:val="fr-FR"/>
        </w:rPr>
        <w:t xml:space="preserve"> des procédures douanières et autres formalités au passage des frontières, et favoriser l</w:t>
      </w:r>
      <w:r>
        <w:rPr>
          <w:rFonts w:eastAsia="Times New Roman"/>
          <w:lang w:val="fr-FR"/>
        </w:rPr>
        <w:t>’</w:t>
      </w:r>
      <w:r w:rsidRPr="00BF7C35">
        <w:rPr>
          <w:rFonts w:eastAsia="Times New Roman"/>
          <w:lang w:val="fr-FR"/>
        </w:rPr>
        <w:t>échange, entre les autorités compétentes des Parties contractantes aux instruments juridiques pertinents relatifs à la facilitation du passage des frontières, de renseignements sur les abus en vue d</w:t>
      </w:r>
      <w:r>
        <w:rPr>
          <w:rFonts w:eastAsia="Times New Roman"/>
          <w:lang w:val="fr-FR"/>
        </w:rPr>
        <w:t>’</w:t>
      </w:r>
      <w:r w:rsidRPr="00BF7C35">
        <w:rPr>
          <w:rFonts w:eastAsia="Times New Roman"/>
          <w:lang w:val="fr-FR"/>
        </w:rPr>
        <w:t>élaborer des mesures destinées à lutter contre ceux-ci;</w:t>
      </w:r>
    </w:p>
    <w:p w:rsidR="00C30AFB" w:rsidRPr="00BF7C35" w:rsidRDefault="00C30AFB" w:rsidP="00C30AFB">
      <w:pPr>
        <w:pStyle w:val="SingleTxt"/>
        <w:rPr>
          <w:rFonts w:eastAsia="Times New Roman"/>
          <w:lang w:val="fr-FR"/>
        </w:rPr>
      </w:pPr>
      <w:r>
        <w:rPr>
          <w:rFonts w:eastAsia="Times New Roman"/>
          <w:lang w:val="fr-FR"/>
        </w:rPr>
        <w:tab/>
      </w:r>
      <w:r w:rsidRPr="00BF7C35">
        <w:rPr>
          <w:rFonts w:eastAsia="Times New Roman"/>
          <w:lang w:val="fr-FR"/>
        </w:rPr>
        <w:t>i)</w:t>
      </w:r>
      <w:r w:rsidRPr="00BF7C35">
        <w:rPr>
          <w:rFonts w:eastAsia="Times New Roman"/>
          <w:lang w:val="fr-FR"/>
        </w:rPr>
        <w:tab/>
        <w:t>Promouvoir l</w:t>
      </w:r>
      <w:r>
        <w:rPr>
          <w:rFonts w:eastAsia="Times New Roman"/>
          <w:lang w:val="fr-FR"/>
        </w:rPr>
        <w:t>’</w:t>
      </w:r>
      <w:r w:rsidRPr="00BF7C35">
        <w:rPr>
          <w:rFonts w:eastAsia="Times New Roman"/>
          <w:lang w:val="fr-FR"/>
        </w:rPr>
        <w:t>extension à d</w:t>
      </w:r>
      <w:r>
        <w:rPr>
          <w:rFonts w:eastAsia="Times New Roman"/>
          <w:lang w:val="fr-FR"/>
        </w:rPr>
        <w:t>’</w:t>
      </w:r>
      <w:r w:rsidRPr="00BF7C35">
        <w:rPr>
          <w:rFonts w:eastAsia="Times New Roman"/>
          <w:lang w:val="fr-FR"/>
        </w:rPr>
        <w:t xml:space="preserve">autres régions, dans la mesure du possible, des instruments énumérés à </w:t>
      </w:r>
      <w:r w:rsidRPr="00C30AFB">
        <w:rPr>
          <w:lang w:val="fr-FR"/>
        </w:rPr>
        <w:t>l’appendice</w:t>
      </w:r>
      <w:r w:rsidRPr="00BF7C35">
        <w:rPr>
          <w:rFonts w:eastAsia="Times New Roman"/>
          <w:lang w:val="fr-FR"/>
        </w:rPr>
        <w:t xml:space="preserve"> et favoriser l</w:t>
      </w:r>
      <w:r>
        <w:rPr>
          <w:rFonts w:eastAsia="Times New Roman"/>
          <w:lang w:val="fr-FR"/>
        </w:rPr>
        <w:t>’</w:t>
      </w:r>
      <w:r w:rsidRPr="00BF7C35">
        <w:rPr>
          <w:rFonts w:eastAsia="Times New Roman"/>
          <w:lang w:val="fr-FR"/>
        </w:rPr>
        <w:t>adhésion de nouveaux pays à ces instruments;</w:t>
      </w:r>
    </w:p>
    <w:p w:rsidR="00C30AFB" w:rsidRPr="00BF7C35" w:rsidRDefault="00C30AFB" w:rsidP="00C30AFB">
      <w:pPr>
        <w:pStyle w:val="SingleTxt"/>
        <w:rPr>
          <w:rFonts w:eastAsia="Times New Roman"/>
          <w:lang w:val="fr-FR"/>
        </w:rPr>
      </w:pPr>
      <w:r>
        <w:rPr>
          <w:rFonts w:eastAsia="Times New Roman"/>
          <w:lang w:val="fr-FR"/>
        </w:rPr>
        <w:tab/>
      </w:r>
      <w:r w:rsidRPr="00BF7C35">
        <w:rPr>
          <w:rFonts w:eastAsia="Times New Roman"/>
          <w:lang w:val="fr-FR"/>
        </w:rPr>
        <w:t>j)</w:t>
      </w:r>
      <w:r w:rsidRPr="00BF7C35">
        <w:rPr>
          <w:rFonts w:eastAsia="Times New Roman"/>
          <w:lang w:val="fr-FR"/>
        </w:rPr>
        <w:tab/>
        <w:t>Favoriser une participation plus large des secteurs public et privé à ses activités en facilitant la coopération et la collaboration avec les pays, la Commission européenne, l</w:t>
      </w:r>
      <w:r>
        <w:rPr>
          <w:rFonts w:eastAsia="Times New Roman"/>
          <w:lang w:val="fr-FR"/>
        </w:rPr>
        <w:t>’</w:t>
      </w:r>
      <w:r w:rsidRPr="00BF7C35">
        <w:rPr>
          <w:rFonts w:eastAsia="Times New Roman"/>
          <w:lang w:val="fr-FR"/>
        </w:rPr>
        <w:t>Organisation mondiale des douanes, d</w:t>
      </w:r>
      <w:r>
        <w:rPr>
          <w:rFonts w:eastAsia="Times New Roman"/>
          <w:lang w:val="fr-FR"/>
        </w:rPr>
        <w:t>’</w:t>
      </w:r>
      <w:r w:rsidRPr="00BF7C35">
        <w:rPr>
          <w:rFonts w:eastAsia="Times New Roman"/>
          <w:lang w:val="fr-FR"/>
        </w:rPr>
        <w:t xml:space="preserve">autres organisations </w:t>
      </w:r>
      <w:r w:rsidRPr="00BF7C35">
        <w:rPr>
          <w:rFonts w:eastAsia="Times New Roman"/>
          <w:lang w:val="fr-FR"/>
        </w:rPr>
        <w:lastRenderedPageBreak/>
        <w:t xml:space="preserve">gouvernementales ou non gouvernementales internationales concernées par les transports et la facilitation du passage des frontières ainsi </w:t>
      </w:r>
      <w:r w:rsidRPr="00C30AFB">
        <w:rPr>
          <w:lang w:val="fr-FR"/>
        </w:rPr>
        <w:t>que</w:t>
      </w:r>
      <w:r w:rsidRPr="00BF7C35">
        <w:rPr>
          <w:rFonts w:eastAsia="Times New Roman"/>
          <w:lang w:val="fr-FR"/>
        </w:rPr>
        <w:t xml:space="preserve"> les autres commissions régionales de l</w:t>
      </w:r>
      <w:r>
        <w:rPr>
          <w:rFonts w:eastAsia="Times New Roman"/>
          <w:lang w:val="fr-FR"/>
        </w:rPr>
        <w:t>’</w:t>
      </w:r>
      <w:r w:rsidRPr="00BF7C35">
        <w:rPr>
          <w:rFonts w:eastAsia="Times New Roman"/>
          <w:lang w:val="fr-FR"/>
        </w:rPr>
        <w:t>ONU et d</w:t>
      </w:r>
      <w:r>
        <w:rPr>
          <w:rFonts w:eastAsia="Times New Roman"/>
          <w:lang w:val="fr-FR"/>
        </w:rPr>
        <w:t>’</w:t>
      </w:r>
      <w:r w:rsidRPr="00BF7C35">
        <w:rPr>
          <w:rFonts w:eastAsia="Times New Roman"/>
          <w:lang w:val="fr-FR"/>
        </w:rPr>
        <w:t>autres organismes ou organes du système des Nations Unies, en vue notamment d</w:t>
      </w:r>
      <w:r>
        <w:rPr>
          <w:rFonts w:eastAsia="Times New Roman"/>
          <w:lang w:val="fr-FR"/>
        </w:rPr>
        <w:t>’</w:t>
      </w:r>
      <w:r w:rsidRPr="00BF7C35">
        <w:rPr>
          <w:rFonts w:eastAsia="Times New Roman"/>
          <w:lang w:val="fr-FR"/>
        </w:rPr>
        <w:t>examiner et de résoudre les problèmes d</w:t>
      </w:r>
      <w:r>
        <w:rPr>
          <w:rFonts w:eastAsia="Times New Roman"/>
          <w:lang w:val="fr-FR"/>
        </w:rPr>
        <w:t>’</w:t>
      </w:r>
      <w:r w:rsidRPr="00BF7C35">
        <w:rPr>
          <w:rFonts w:eastAsia="Times New Roman"/>
          <w:lang w:val="fr-FR"/>
        </w:rPr>
        <w:t>interprétation ou d</w:t>
      </w:r>
      <w:r>
        <w:rPr>
          <w:rFonts w:eastAsia="Times New Roman"/>
          <w:lang w:val="fr-FR"/>
        </w:rPr>
        <w:t>’</w:t>
      </w:r>
      <w:r w:rsidRPr="00BF7C35">
        <w:rPr>
          <w:rFonts w:eastAsia="Times New Roman"/>
          <w:lang w:val="fr-FR"/>
        </w:rPr>
        <w:t>application des dispositions des instruments juridiques pertinents;</w:t>
      </w:r>
    </w:p>
    <w:p w:rsidR="00C30AFB" w:rsidRPr="00BF7C35" w:rsidRDefault="00C30AFB" w:rsidP="00C30AFB">
      <w:pPr>
        <w:pStyle w:val="SingleTxt"/>
        <w:rPr>
          <w:rFonts w:eastAsia="Times New Roman"/>
          <w:lang w:val="fr-FR"/>
        </w:rPr>
      </w:pPr>
      <w:r>
        <w:rPr>
          <w:rFonts w:eastAsia="Times New Roman"/>
          <w:lang w:val="fr-FR"/>
        </w:rPr>
        <w:tab/>
      </w:r>
      <w:r w:rsidRPr="00BF7C35">
        <w:rPr>
          <w:rFonts w:eastAsia="Times New Roman"/>
          <w:lang w:val="fr-FR"/>
        </w:rPr>
        <w:t>k)</w:t>
      </w:r>
      <w:r w:rsidRPr="00BF7C35">
        <w:rPr>
          <w:rFonts w:eastAsia="Times New Roman"/>
          <w:lang w:val="fr-FR"/>
        </w:rPr>
        <w:tab/>
        <w:t>Mettre en place les conditions facilitant l</w:t>
      </w:r>
      <w:r>
        <w:rPr>
          <w:rFonts w:eastAsia="Times New Roman"/>
          <w:lang w:val="fr-FR"/>
        </w:rPr>
        <w:t>’</w:t>
      </w:r>
      <w:r w:rsidRPr="00BF7C35">
        <w:rPr>
          <w:rFonts w:eastAsia="Times New Roman"/>
          <w:lang w:val="fr-FR"/>
        </w:rPr>
        <w:t>exécution par les Parties contractantes de leurs obligations en vertu des instruments juridiques énumérés à l</w:t>
      </w:r>
      <w:r>
        <w:rPr>
          <w:rFonts w:eastAsia="Times New Roman"/>
          <w:lang w:val="fr-FR"/>
        </w:rPr>
        <w:t>’</w:t>
      </w:r>
      <w:r w:rsidRPr="00BF7C35">
        <w:rPr>
          <w:rFonts w:eastAsia="Times New Roman"/>
          <w:lang w:val="fr-FR"/>
        </w:rPr>
        <w:t>appendice et l</w:t>
      </w:r>
      <w:r>
        <w:rPr>
          <w:rFonts w:eastAsia="Times New Roman"/>
          <w:lang w:val="fr-FR"/>
        </w:rPr>
        <w:t>’</w:t>
      </w:r>
      <w:r w:rsidRPr="00BF7C35">
        <w:rPr>
          <w:rFonts w:eastAsia="Times New Roman"/>
          <w:lang w:val="fr-FR"/>
        </w:rPr>
        <w:t>échange de vues sur l</w:t>
      </w:r>
      <w:r>
        <w:rPr>
          <w:rFonts w:eastAsia="Times New Roman"/>
          <w:lang w:val="fr-FR"/>
        </w:rPr>
        <w:t>’</w:t>
      </w:r>
      <w:r w:rsidRPr="00BF7C35">
        <w:rPr>
          <w:rFonts w:eastAsia="Times New Roman"/>
          <w:lang w:val="fr-FR"/>
        </w:rPr>
        <w:t>interprétation de ces instruments ou la résolution de problèmes liés à leur mise en œuvre;</w:t>
      </w:r>
    </w:p>
    <w:p w:rsidR="00C30AFB" w:rsidRPr="00BF7C35" w:rsidRDefault="00C30AFB" w:rsidP="00C30AFB">
      <w:pPr>
        <w:pStyle w:val="SingleTxt"/>
        <w:rPr>
          <w:rFonts w:eastAsia="Times New Roman"/>
          <w:lang w:val="fr-FR"/>
        </w:rPr>
      </w:pPr>
      <w:r>
        <w:rPr>
          <w:rFonts w:eastAsia="Times New Roman"/>
          <w:lang w:val="fr-FR"/>
        </w:rPr>
        <w:tab/>
      </w:r>
      <w:r w:rsidRPr="00BF7C35">
        <w:rPr>
          <w:rFonts w:eastAsia="Times New Roman"/>
          <w:lang w:val="fr-FR"/>
        </w:rPr>
        <w:t>l)</w:t>
      </w:r>
      <w:r w:rsidRPr="00BF7C35">
        <w:rPr>
          <w:rFonts w:eastAsia="Times New Roman"/>
          <w:lang w:val="fr-FR"/>
        </w:rPr>
        <w:tab/>
        <w:t xml:space="preserve">Veiller à ce que ses </w:t>
      </w:r>
      <w:r w:rsidRPr="00C30AFB">
        <w:rPr>
          <w:lang w:val="fr-FR"/>
        </w:rPr>
        <w:t>réunions</w:t>
      </w:r>
      <w:r w:rsidRPr="00BF7C35">
        <w:rPr>
          <w:rFonts w:eastAsia="Times New Roman"/>
          <w:lang w:val="fr-FR"/>
        </w:rPr>
        <w:t xml:space="preserve"> se déroulent dans un climat d</w:t>
      </w:r>
      <w:r>
        <w:rPr>
          <w:rFonts w:eastAsia="Times New Roman"/>
          <w:lang w:val="fr-FR"/>
        </w:rPr>
        <w:t>’</w:t>
      </w:r>
      <w:r w:rsidRPr="00BF7C35">
        <w:rPr>
          <w:rFonts w:eastAsia="Times New Roman"/>
          <w:lang w:val="fr-FR"/>
        </w:rPr>
        <w:t>ouverture et de transparence;</w:t>
      </w:r>
    </w:p>
    <w:p w:rsidR="00C30AFB" w:rsidRPr="00BF7C35" w:rsidRDefault="00C30AFB" w:rsidP="00C30AFB">
      <w:pPr>
        <w:pStyle w:val="SingleTxt"/>
        <w:rPr>
          <w:rFonts w:eastAsia="Times New Roman"/>
          <w:lang w:val="fr-FR"/>
        </w:rPr>
      </w:pPr>
      <w:r>
        <w:rPr>
          <w:rFonts w:eastAsia="Times New Roman"/>
          <w:lang w:val="fr-FR"/>
        </w:rPr>
        <w:tab/>
      </w:r>
      <w:r w:rsidRPr="00BF7C35">
        <w:rPr>
          <w:rFonts w:eastAsia="Times New Roman"/>
          <w:lang w:val="fr-FR"/>
        </w:rPr>
        <w:t>m)</w:t>
      </w:r>
      <w:r w:rsidRPr="00BF7C35">
        <w:rPr>
          <w:rFonts w:eastAsia="Times New Roman"/>
          <w:lang w:val="fr-FR"/>
        </w:rPr>
        <w:tab/>
        <w:t xml:space="preserve">Appuyer les </w:t>
      </w:r>
      <w:r w:rsidRPr="00C30AFB">
        <w:rPr>
          <w:lang w:val="fr-FR"/>
        </w:rPr>
        <w:t>activités</w:t>
      </w:r>
      <w:r w:rsidRPr="00BF7C35">
        <w:rPr>
          <w:rFonts w:eastAsia="Times New Roman"/>
          <w:lang w:val="fr-FR"/>
        </w:rPr>
        <w:t xml:space="preserve"> de formation et de renforcement des capacités aux fins d</w:t>
      </w:r>
      <w:r>
        <w:rPr>
          <w:rFonts w:eastAsia="Times New Roman"/>
          <w:lang w:val="fr-FR"/>
        </w:rPr>
        <w:t>’</w:t>
      </w:r>
      <w:r w:rsidRPr="00BF7C35">
        <w:rPr>
          <w:rFonts w:eastAsia="Times New Roman"/>
          <w:lang w:val="fr-FR"/>
        </w:rPr>
        <w:t>une application appropriée des instruments juridiques susmentionnés;</w:t>
      </w:r>
    </w:p>
    <w:p w:rsidR="00C30AFB" w:rsidRPr="00BF7C35" w:rsidRDefault="00C30AFB" w:rsidP="00C30AFB">
      <w:pPr>
        <w:pStyle w:val="SingleTxt"/>
        <w:rPr>
          <w:rFonts w:eastAsia="Times New Roman"/>
          <w:lang w:val="fr-FR"/>
        </w:rPr>
      </w:pPr>
      <w:r>
        <w:rPr>
          <w:rFonts w:eastAsia="Times New Roman"/>
          <w:lang w:val="fr-FR"/>
        </w:rPr>
        <w:tab/>
      </w:r>
      <w:r w:rsidRPr="00BF7C35">
        <w:rPr>
          <w:rFonts w:eastAsia="Times New Roman"/>
          <w:lang w:val="fr-FR"/>
        </w:rPr>
        <w:t>n)</w:t>
      </w:r>
      <w:r w:rsidRPr="00BF7C35">
        <w:rPr>
          <w:rFonts w:eastAsia="Times New Roman"/>
          <w:lang w:val="fr-FR"/>
        </w:rPr>
        <w:tab/>
        <w:t>Maintenir une collaboration étroite avec les organes ci-après et appuyer leurs activités</w:t>
      </w:r>
      <w:r w:rsidR="00125417">
        <w:rPr>
          <w:rFonts w:eastAsia="Times New Roman"/>
          <w:lang w:val="fr-FR"/>
        </w:rPr>
        <w:t> </w:t>
      </w:r>
      <w:r w:rsidRPr="00BF7C35">
        <w:rPr>
          <w:rFonts w:eastAsia="Times New Roman"/>
          <w:lang w:val="fr-FR"/>
        </w:rPr>
        <w:t xml:space="preserve">: Comité de gestion </w:t>
      </w:r>
      <w:r w:rsidRPr="00C30AFB">
        <w:rPr>
          <w:lang w:val="fr-FR"/>
        </w:rPr>
        <w:t>de</w:t>
      </w:r>
      <w:r w:rsidRPr="00BF7C35">
        <w:rPr>
          <w:rFonts w:eastAsia="Times New Roman"/>
          <w:lang w:val="fr-FR"/>
        </w:rPr>
        <w:t xml:space="preserve"> la Convention TIR (AC.2), Comité de gestion de la Convention internationale sur l</w:t>
      </w:r>
      <w:r>
        <w:rPr>
          <w:rFonts w:eastAsia="Times New Roman"/>
          <w:lang w:val="fr-FR"/>
        </w:rPr>
        <w:t>’</w:t>
      </w:r>
      <w:r w:rsidRPr="00BF7C35">
        <w:rPr>
          <w:rFonts w:eastAsia="Times New Roman"/>
          <w:lang w:val="fr-FR"/>
        </w:rPr>
        <w:t>harmonisation des contrôles des marchandises aux frontières (AC.3), Comité de gestion de la Convention relative au régime douanier des conteneurs utilisés dans le cadre d</w:t>
      </w:r>
      <w:r>
        <w:rPr>
          <w:rFonts w:eastAsia="Times New Roman"/>
          <w:lang w:val="fr-FR"/>
        </w:rPr>
        <w:t>’</w:t>
      </w:r>
      <w:r w:rsidRPr="00BF7C35">
        <w:rPr>
          <w:rFonts w:eastAsia="Times New Roman"/>
          <w:lang w:val="fr-FR"/>
        </w:rPr>
        <w:t>un pool de transport international (AC.4) et Commission de contrôle TIR (TIRExB);</w:t>
      </w:r>
    </w:p>
    <w:p w:rsidR="00C30AFB" w:rsidRPr="00BF7C35" w:rsidRDefault="00C30AFB" w:rsidP="00C30AFB">
      <w:pPr>
        <w:pStyle w:val="SingleTxt"/>
        <w:rPr>
          <w:rFonts w:eastAsia="Times New Roman"/>
          <w:lang w:val="fr-FR"/>
        </w:rPr>
      </w:pPr>
      <w:r>
        <w:rPr>
          <w:rFonts w:eastAsia="Times New Roman"/>
          <w:lang w:val="fr-FR"/>
        </w:rPr>
        <w:tab/>
      </w:r>
      <w:r w:rsidRPr="00BF7C35">
        <w:rPr>
          <w:rFonts w:eastAsia="Times New Roman"/>
          <w:lang w:val="fr-FR"/>
        </w:rPr>
        <w:t>o)</w:t>
      </w:r>
      <w:r w:rsidRPr="00BF7C35">
        <w:rPr>
          <w:rFonts w:eastAsia="Times New Roman"/>
          <w:lang w:val="fr-FR"/>
        </w:rPr>
        <w:tab/>
        <w:t>Collaborer étroitement avec d</w:t>
      </w:r>
      <w:r>
        <w:rPr>
          <w:rFonts w:eastAsia="Times New Roman"/>
          <w:lang w:val="fr-FR"/>
        </w:rPr>
        <w:t>’</w:t>
      </w:r>
      <w:r w:rsidRPr="00BF7C35">
        <w:rPr>
          <w:rFonts w:eastAsia="Times New Roman"/>
          <w:lang w:val="fr-FR"/>
        </w:rPr>
        <w:t xml:space="preserve">autres organes subsidiaires du Comité des transports intérieurs, notamment le Groupe de travail des transports routiers (SC.1), le Groupe de travail des </w:t>
      </w:r>
      <w:r w:rsidRPr="00C30AFB">
        <w:rPr>
          <w:lang w:val="fr-FR"/>
        </w:rPr>
        <w:t>transports</w:t>
      </w:r>
      <w:r w:rsidRPr="00BF7C35">
        <w:rPr>
          <w:rFonts w:eastAsia="Times New Roman"/>
          <w:lang w:val="fr-FR"/>
        </w:rPr>
        <w:t xml:space="preserve"> par chemin de fer (SC.2) et tout autre organe pertinent de la CEE, sur les questions d</w:t>
      </w:r>
      <w:r>
        <w:rPr>
          <w:rFonts w:eastAsia="Times New Roman"/>
          <w:lang w:val="fr-FR"/>
        </w:rPr>
        <w:t>’</w:t>
      </w:r>
      <w:r w:rsidRPr="00BF7C35">
        <w:rPr>
          <w:rFonts w:eastAsia="Times New Roman"/>
          <w:lang w:val="fr-FR"/>
        </w:rPr>
        <w:t>intérêt commun relatives aux problèmes douaniers intéressant les transports;</w:t>
      </w:r>
    </w:p>
    <w:p w:rsidR="00C30AFB" w:rsidRPr="00BF7C35" w:rsidRDefault="00C30AFB" w:rsidP="00C30AFB">
      <w:pPr>
        <w:pStyle w:val="SingleTxt"/>
        <w:rPr>
          <w:rFonts w:eastAsia="Times New Roman"/>
          <w:lang w:val="fr-FR"/>
        </w:rPr>
      </w:pPr>
      <w:r>
        <w:rPr>
          <w:rFonts w:eastAsia="Times New Roman"/>
          <w:lang w:val="fr-FR"/>
        </w:rPr>
        <w:tab/>
      </w:r>
      <w:r w:rsidRPr="00BF7C35">
        <w:rPr>
          <w:rFonts w:eastAsia="Times New Roman"/>
          <w:lang w:val="fr-FR"/>
        </w:rPr>
        <w:t>p)</w:t>
      </w:r>
      <w:r w:rsidRPr="00BF7C35">
        <w:rPr>
          <w:rFonts w:eastAsia="Times New Roman"/>
          <w:lang w:val="fr-FR"/>
        </w:rPr>
        <w:tab/>
        <w:t xml:space="preserve">Établir et exécuter </w:t>
      </w:r>
      <w:r w:rsidRPr="00C30AFB">
        <w:rPr>
          <w:lang w:val="fr-FR"/>
        </w:rPr>
        <w:t>un</w:t>
      </w:r>
      <w:r w:rsidRPr="00BF7C35">
        <w:rPr>
          <w:rFonts w:eastAsia="Times New Roman"/>
          <w:lang w:val="fr-FR"/>
        </w:rPr>
        <w:t xml:space="preserve"> programme de travail correspondant à ses activités et rendre compte de l</w:t>
      </w:r>
      <w:r>
        <w:rPr>
          <w:rFonts w:eastAsia="Times New Roman"/>
          <w:lang w:val="fr-FR"/>
        </w:rPr>
        <w:t>’</w:t>
      </w:r>
      <w:r w:rsidRPr="00BF7C35">
        <w:rPr>
          <w:rFonts w:eastAsia="Times New Roman"/>
          <w:lang w:val="fr-FR"/>
        </w:rPr>
        <w:t>exécution de ce programme au Comité des transports intérieurs.</w:t>
      </w:r>
    </w:p>
    <w:p w:rsidR="001E5C8A" w:rsidRDefault="00C30AFB" w:rsidP="00C30AFB">
      <w:pPr>
        <w:pStyle w:val="SingleTxt"/>
        <w:numPr>
          <w:ilvl w:val="0"/>
          <w:numId w:val="18"/>
        </w:numPr>
        <w:tabs>
          <w:tab w:val="clear" w:pos="475"/>
          <w:tab w:val="num" w:pos="1742"/>
        </w:tabs>
        <w:ind w:left="1267"/>
        <w:rPr>
          <w:lang w:val="fr-FR"/>
        </w:rPr>
      </w:pPr>
      <w:r w:rsidRPr="00BF7C35">
        <w:rPr>
          <w:lang w:val="fr-FR"/>
        </w:rPr>
        <w:t>Le présent mandat ne modifie pas les dispositions des instruments juridiques pertinents.</w:t>
      </w:r>
    </w:p>
    <w:p w:rsidR="00C30AFB" w:rsidRDefault="00C30AFB">
      <w:pPr>
        <w:spacing w:line="240" w:lineRule="auto"/>
        <w:rPr>
          <w:rFonts w:eastAsia="Times New Roman"/>
          <w:lang w:val="fr-FR"/>
        </w:rPr>
      </w:pPr>
      <w:r>
        <w:rPr>
          <w:rFonts w:eastAsia="Times New Roman"/>
          <w:lang w:val="fr-FR"/>
        </w:rPr>
        <w:br w:type="page"/>
      </w:r>
    </w:p>
    <w:p w:rsidR="00C30AFB" w:rsidRDefault="00C30AFB" w:rsidP="007E7D59">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BF7C35">
        <w:rPr>
          <w:lang w:val="fr-FR"/>
        </w:rPr>
        <w:lastRenderedPageBreak/>
        <w:t>Appendice</w:t>
      </w:r>
    </w:p>
    <w:p w:rsidR="007E7D59" w:rsidRPr="007E7D59" w:rsidRDefault="007E7D59" w:rsidP="007E7D59">
      <w:pPr>
        <w:spacing w:line="120" w:lineRule="exact"/>
        <w:rPr>
          <w:sz w:val="10"/>
          <w:lang w:val="fr-FR"/>
        </w:rPr>
      </w:pPr>
    </w:p>
    <w:p w:rsidR="00C30AFB" w:rsidRDefault="00C30AFB" w:rsidP="007E7D5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tab/>
      </w:r>
      <w:r w:rsidRPr="00BF7C35">
        <w:rPr>
          <w:lang w:val="fr-FR"/>
        </w:rPr>
        <w:tab/>
        <w:t>Instruments juridiques adoptés sous les auspices</w:t>
      </w:r>
      <w:r w:rsidR="007E7D59">
        <w:rPr>
          <w:lang w:val="fr-FR"/>
        </w:rPr>
        <w:t xml:space="preserve"> </w:t>
      </w:r>
      <w:r w:rsidRPr="00BF7C35">
        <w:rPr>
          <w:lang w:val="fr-FR"/>
        </w:rPr>
        <w:br/>
        <w:t>du Groupe de travail des problèmes douaniers</w:t>
      </w:r>
      <w:r w:rsidR="007E7D59">
        <w:rPr>
          <w:lang w:val="fr-FR"/>
        </w:rPr>
        <w:t xml:space="preserve"> </w:t>
      </w:r>
      <w:r w:rsidRPr="00BF7C35">
        <w:rPr>
          <w:lang w:val="fr-FR"/>
        </w:rPr>
        <w:br/>
        <w:t>intéressant les transports (WP.30)</w:t>
      </w:r>
    </w:p>
    <w:p w:rsidR="007E7D59" w:rsidRPr="007E7D59" w:rsidRDefault="007E7D59" w:rsidP="007E7D59">
      <w:pPr>
        <w:pStyle w:val="SingleTxt"/>
        <w:spacing w:after="0" w:line="120" w:lineRule="exact"/>
        <w:rPr>
          <w:sz w:val="10"/>
          <w:lang w:val="fr-FR"/>
        </w:rPr>
      </w:pPr>
    </w:p>
    <w:p w:rsidR="007E7D59" w:rsidRPr="007E7D59" w:rsidRDefault="007E7D59" w:rsidP="007E7D59">
      <w:pPr>
        <w:pStyle w:val="SingleTxt"/>
        <w:spacing w:after="0" w:line="120" w:lineRule="exact"/>
        <w:rPr>
          <w:sz w:val="10"/>
          <w:lang w:val="fr-FR"/>
        </w:rPr>
      </w:pPr>
    </w:p>
    <w:p w:rsidR="00C30AFB" w:rsidRPr="00BF7C35" w:rsidRDefault="00C30AFB" w:rsidP="007E7D59">
      <w:pPr>
        <w:pStyle w:val="SingleTxt"/>
        <w:rPr>
          <w:lang w:val="fr-FR"/>
        </w:rPr>
      </w:pPr>
      <w:r w:rsidRPr="00BF7C35">
        <w:rPr>
          <w:lang w:val="fr-FR"/>
        </w:rPr>
        <w:t>Convention sur les facilités douanières en faveur du tourisme, signée à New York le 4 juin 1954</w:t>
      </w:r>
    </w:p>
    <w:p w:rsidR="00C30AFB" w:rsidRPr="00BF7C35" w:rsidRDefault="00C30AFB" w:rsidP="007E7D59">
      <w:pPr>
        <w:pStyle w:val="SingleTxt"/>
        <w:rPr>
          <w:rFonts w:eastAsia="Times New Roman"/>
          <w:lang w:val="fr-FR"/>
        </w:rPr>
      </w:pPr>
      <w:r w:rsidRPr="00BF7C35">
        <w:rPr>
          <w:rFonts w:eastAsia="Times New Roman"/>
          <w:lang w:val="fr-FR"/>
        </w:rPr>
        <w:t>Protocole additionnel à la Convention sur les facilités douanières en faveur du tourisme, relatif à l</w:t>
      </w:r>
      <w:r>
        <w:rPr>
          <w:rFonts w:eastAsia="Times New Roman"/>
          <w:lang w:val="fr-FR"/>
        </w:rPr>
        <w:t>’</w:t>
      </w:r>
      <w:r w:rsidRPr="00BF7C35">
        <w:rPr>
          <w:rFonts w:eastAsia="Times New Roman"/>
          <w:lang w:val="fr-FR"/>
        </w:rPr>
        <w:t xml:space="preserve">importation de documents et de </w:t>
      </w:r>
      <w:r w:rsidRPr="007E7D59">
        <w:rPr>
          <w:lang w:val="fr-FR"/>
        </w:rPr>
        <w:t>matériel</w:t>
      </w:r>
      <w:r w:rsidRPr="00BF7C35">
        <w:rPr>
          <w:rFonts w:eastAsia="Times New Roman"/>
          <w:lang w:val="fr-FR"/>
        </w:rPr>
        <w:t xml:space="preserve"> de propagande touristique, signé à New York le 4 juin 1954</w:t>
      </w:r>
    </w:p>
    <w:p w:rsidR="00C30AFB" w:rsidRPr="00BF7C35" w:rsidRDefault="00C30AFB" w:rsidP="007E7D59">
      <w:pPr>
        <w:pStyle w:val="SingleTxt"/>
        <w:rPr>
          <w:rFonts w:eastAsia="Times New Roman"/>
          <w:lang w:val="fr-FR"/>
        </w:rPr>
      </w:pPr>
      <w:r w:rsidRPr="00BF7C35">
        <w:rPr>
          <w:rFonts w:eastAsia="Times New Roman"/>
          <w:lang w:val="fr-FR"/>
        </w:rPr>
        <w:t>Convention douanière relative à l</w:t>
      </w:r>
      <w:r>
        <w:rPr>
          <w:rFonts w:eastAsia="Times New Roman"/>
          <w:lang w:val="fr-FR"/>
        </w:rPr>
        <w:t>’</w:t>
      </w:r>
      <w:r w:rsidRPr="00BF7C35">
        <w:rPr>
          <w:rFonts w:eastAsia="Times New Roman"/>
          <w:lang w:val="fr-FR"/>
        </w:rPr>
        <w:t>importation temporaire des véhicules routiers privés, signée à New York le 4 juin 1954</w:t>
      </w:r>
    </w:p>
    <w:p w:rsidR="00C30AFB" w:rsidRPr="00BF7C35" w:rsidRDefault="00C30AFB" w:rsidP="007E7D59">
      <w:pPr>
        <w:pStyle w:val="SingleTxt"/>
        <w:rPr>
          <w:rFonts w:eastAsia="Times New Roman"/>
          <w:lang w:val="fr-FR"/>
        </w:rPr>
      </w:pPr>
      <w:r w:rsidRPr="00BF7C35">
        <w:rPr>
          <w:rFonts w:eastAsia="Times New Roman"/>
          <w:lang w:val="fr-FR"/>
        </w:rPr>
        <w:t>Convention douanière relative au transport international de marchandises sous le couvert de carnets TIR (Convention TIR), en date du 15 janvier 1959</w:t>
      </w:r>
    </w:p>
    <w:p w:rsidR="00C30AFB" w:rsidRPr="00BF7C35" w:rsidRDefault="00C30AFB" w:rsidP="007E7D59">
      <w:pPr>
        <w:pStyle w:val="SingleTxt"/>
        <w:rPr>
          <w:rFonts w:eastAsia="Times New Roman"/>
          <w:lang w:val="fr-FR"/>
        </w:rPr>
      </w:pPr>
      <w:r w:rsidRPr="00BF7C35">
        <w:rPr>
          <w:rFonts w:eastAsia="Times New Roman"/>
          <w:lang w:val="fr-FR"/>
        </w:rPr>
        <w:t>Convention douanière relative au transport international de marchandises sous le couvert de carnets TIR (Convention TIR), en date du 14 novembre 1975</w:t>
      </w:r>
    </w:p>
    <w:p w:rsidR="00C30AFB" w:rsidRPr="00BF7C35" w:rsidRDefault="00C30AFB" w:rsidP="007E7D59">
      <w:pPr>
        <w:pStyle w:val="SingleTxt"/>
        <w:rPr>
          <w:rFonts w:eastAsia="Times New Roman"/>
          <w:lang w:val="fr-FR"/>
        </w:rPr>
      </w:pPr>
      <w:r w:rsidRPr="00BF7C35">
        <w:rPr>
          <w:rFonts w:eastAsia="Times New Roman"/>
          <w:lang w:val="fr-FR"/>
        </w:rPr>
        <w:t>Convention douanière relative à l</w:t>
      </w:r>
      <w:r>
        <w:rPr>
          <w:rFonts w:eastAsia="Times New Roman"/>
          <w:lang w:val="fr-FR"/>
        </w:rPr>
        <w:t>’</w:t>
      </w:r>
      <w:r w:rsidRPr="00BF7C35">
        <w:rPr>
          <w:rFonts w:eastAsia="Times New Roman"/>
          <w:lang w:val="fr-FR"/>
        </w:rPr>
        <w:t>importation temporaire pour usage privé des embarcations de plaisance et des aéronefs, en date du 18 mai 1956</w:t>
      </w:r>
    </w:p>
    <w:p w:rsidR="00C30AFB" w:rsidRPr="00BF7C35" w:rsidRDefault="00C30AFB" w:rsidP="007E7D59">
      <w:pPr>
        <w:pStyle w:val="SingleTxt"/>
        <w:rPr>
          <w:rFonts w:eastAsia="Times New Roman"/>
          <w:lang w:val="fr-FR"/>
        </w:rPr>
      </w:pPr>
      <w:r w:rsidRPr="00BF7C35">
        <w:rPr>
          <w:rFonts w:eastAsia="Times New Roman"/>
          <w:lang w:val="fr-FR"/>
        </w:rPr>
        <w:t>Convention douanière relative à l</w:t>
      </w:r>
      <w:r>
        <w:rPr>
          <w:rFonts w:eastAsia="Times New Roman"/>
          <w:lang w:val="fr-FR"/>
        </w:rPr>
        <w:t>’</w:t>
      </w:r>
      <w:r w:rsidRPr="00BF7C35">
        <w:rPr>
          <w:rFonts w:eastAsia="Times New Roman"/>
          <w:lang w:val="fr-FR"/>
        </w:rPr>
        <w:t>importation temporaire des véhicules routiers commerciaux, en date du 18 mai 1956</w:t>
      </w:r>
    </w:p>
    <w:p w:rsidR="00C30AFB" w:rsidRPr="00BF7C35" w:rsidRDefault="00C30AFB" w:rsidP="007E7D59">
      <w:pPr>
        <w:pStyle w:val="SingleTxt"/>
        <w:rPr>
          <w:rFonts w:eastAsia="Times New Roman"/>
          <w:lang w:val="fr-FR"/>
        </w:rPr>
      </w:pPr>
      <w:r w:rsidRPr="00BF7C35">
        <w:rPr>
          <w:rFonts w:eastAsia="Times New Roman"/>
          <w:lang w:val="fr-FR"/>
        </w:rPr>
        <w:t>Convention internationale pour faciliter le franchissement des frontières aux voyageurs et aux bagages transportés par voie ferrée, en date du 10 janvier 1952</w:t>
      </w:r>
    </w:p>
    <w:p w:rsidR="00C30AFB" w:rsidRPr="00BF7C35" w:rsidRDefault="00C30AFB" w:rsidP="007E7D59">
      <w:pPr>
        <w:pStyle w:val="SingleTxt"/>
        <w:rPr>
          <w:rFonts w:eastAsia="Times New Roman"/>
          <w:lang w:val="fr-FR"/>
        </w:rPr>
      </w:pPr>
      <w:r w:rsidRPr="00BF7C35">
        <w:rPr>
          <w:rFonts w:eastAsia="Times New Roman"/>
          <w:lang w:val="fr-FR"/>
        </w:rPr>
        <w:t>Convention internationale pour faciliter le franchissement des frontières aux marchandises transportées par voie ferrée, en date du 10 janvier 1952</w:t>
      </w:r>
    </w:p>
    <w:p w:rsidR="00C30AFB" w:rsidRPr="00BF7C35" w:rsidRDefault="00C30AFB" w:rsidP="007E7D59">
      <w:pPr>
        <w:pStyle w:val="SingleTxt"/>
        <w:rPr>
          <w:rFonts w:eastAsia="Times New Roman"/>
          <w:lang w:val="fr-FR"/>
        </w:rPr>
      </w:pPr>
      <w:r w:rsidRPr="00BF7C35">
        <w:rPr>
          <w:rFonts w:eastAsia="Times New Roman"/>
          <w:lang w:val="fr-FR"/>
        </w:rPr>
        <w:t>Convention douanière relative aux pièces de rechange utilisées pour la réparation des wagons EUROP, en date du 15 janvier 1958</w:t>
      </w:r>
    </w:p>
    <w:p w:rsidR="00C30AFB" w:rsidRPr="00BF7C35" w:rsidRDefault="00C30AFB" w:rsidP="007E7D59">
      <w:pPr>
        <w:pStyle w:val="SingleTxt"/>
        <w:rPr>
          <w:rFonts w:eastAsia="Times New Roman"/>
          <w:lang w:val="fr-FR"/>
        </w:rPr>
      </w:pPr>
      <w:r w:rsidRPr="00BF7C35">
        <w:rPr>
          <w:rFonts w:eastAsia="Times New Roman"/>
          <w:lang w:val="fr-FR"/>
        </w:rPr>
        <w:t>Convention douanière relative aux conteneurs, en date du 18 mai 1956</w:t>
      </w:r>
    </w:p>
    <w:p w:rsidR="00C30AFB" w:rsidRPr="00BF7C35" w:rsidRDefault="00C30AFB" w:rsidP="007E7D59">
      <w:pPr>
        <w:pStyle w:val="SingleTxt"/>
        <w:rPr>
          <w:rFonts w:eastAsia="Times New Roman"/>
          <w:lang w:val="fr-FR"/>
        </w:rPr>
      </w:pPr>
      <w:r w:rsidRPr="00BF7C35">
        <w:rPr>
          <w:rFonts w:eastAsia="Times New Roman"/>
          <w:lang w:val="fr-FR"/>
        </w:rPr>
        <w:t>Convention douanière relative aux conteneurs, en date du 2 décembre 1972</w:t>
      </w:r>
    </w:p>
    <w:p w:rsidR="00C30AFB" w:rsidRPr="00BF7C35" w:rsidRDefault="00C30AFB" w:rsidP="007E7D59">
      <w:pPr>
        <w:pStyle w:val="SingleTxt"/>
        <w:rPr>
          <w:rFonts w:eastAsia="Times New Roman"/>
          <w:lang w:val="fr-FR"/>
        </w:rPr>
      </w:pPr>
      <w:r w:rsidRPr="00BF7C35">
        <w:rPr>
          <w:rFonts w:eastAsia="Times New Roman"/>
          <w:lang w:val="fr-FR"/>
        </w:rPr>
        <w:t>Convention européenne relative au régime douanier des palettes utilisées dans les transports internationaux, en date du 9 décembre 1960</w:t>
      </w:r>
    </w:p>
    <w:p w:rsidR="00C30AFB" w:rsidRPr="00BF7C35" w:rsidRDefault="00C30AFB" w:rsidP="007E7D59">
      <w:pPr>
        <w:pStyle w:val="SingleTxt"/>
        <w:rPr>
          <w:rFonts w:eastAsia="Times New Roman"/>
          <w:lang w:val="fr-FR"/>
        </w:rPr>
      </w:pPr>
      <w:r w:rsidRPr="00BF7C35">
        <w:rPr>
          <w:rFonts w:eastAsia="Times New Roman"/>
          <w:lang w:val="fr-FR"/>
        </w:rPr>
        <w:t>Convention internationale sur l</w:t>
      </w:r>
      <w:r>
        <w:rPr>
          <w:rFonts w:eastAsia="Times New Roman"/>
          <w:lang w:val="fr-FR"/>
        </w:rPr>
        <w:t>’</w:t>
      </w:r>
      <w:r w:rsidRPr="00BF7C35">
        <w:rPr>
          <w:rFonts w:eastAsia="Times New Roman"/>
          <w:lang w:val="fr-FR"/>
        </w:rPr>
        <w:t>harmonisation des contrôles des marchandises aux frontières, en date du 21 octobre 1982</w:t>
      </w:r>
    </w:p>
    <w:p w:rsidR="00C30AFB" w:rsidRPr="00BF7C35" w:rsidRDefault="00C30AFB" w:rsidP="007E7D59">
      <w:pPr>
        <w:pStyle w:val="SingleTxt"/>
        <w:rPr>
          <w:rFonts w:eastAsia="Times New Roman"/>
          <w:lang w:val="fr-FR"/>
        </w:rPr>
      </w:pPr>
      <w:r w:rsidRPr="00BF7C35">
        <w:rPr>
          <w:rFonts w:eastAsia="Times New Roman"/>
          <w:lang w:val="fr-FR"/>
        </w:rPr>
        <w:t>Convention relative au régime douanier des conteneurs utilisés dans le cadre d</w:t>
      </w:r>
      <w:r>
        <w:rPr>
          <w:rFonts w:eastAsia="Times New Roman"/>
          <w:lang w:val="fr-FR"/>
        </w:rPr>
        <w:t>’</w:t>
      </w:r>
      <w:r w:rsidRPr="00BF7C35">
        <w:rPr>
          <w:rFonts w:eastAsia="Times New Roman"/>
          <w:lang w:val="fr-FR"/>
        </w:rPr>
        <w:t>un pool de transport international, en date du 21 janvier 1994</w:t>
      </w:r>
    </w:p>
    <w:p w:rsidR="00C30AFB" w:rsidRDefault="00C30AFB" w:rsidP="00C30AFB">
      <w:pPr>
        <w:pStyle w:val="SingleTxt"/>
        <w:rPr>
          <w:rFonts w:eastAsia="Times New Roman"/>
          <w:lang w:val="fr-FR"/>
        </w:rPr>
      </w:pPr>
      <w:r w:rsidRPr="00BF7C35">
        <w:rPr>
          <w:rFonts w:eastAsia="Times New Roman"/>
          <w:lang w:val="fr-FR"/>
        </w:rPr>
        <w:t>Convention relative à un régime de transit douanier international pour les marchandises transportées par chemin de fer sous le couvert de lettres de voiture SMGS, en date du 9 février 2006 (Genève)</w:t>
      </w:r>
    </w:p>
    <w:p w:rsidR="00C30AFB" w:rsidRDefault="00C30AFB">
      <w:pPr>
        <w:spacing w:line="240" w:lineRule="auto"/>
        <w:rPr>
          <w:rFonts w:eastAsia="Times New Roman"/>
          <w:lang w:val="fr-FR"/>
        </w:rPr>
      </w:pPr>
      <w:r>
        <w:rPr>
          <w:rFonts w:eastAsia="Times New Roman"/>
          <w:lang w:val="fr-FR"/>
        </w:rPr>
        <w:br w:type="page"/>
      </w:r>
    </w:p>
    <w:p w:rsidR="00C30AFB" w:rsidRDefault="007E7D59" w:rsidP="007E7D5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lastRenderedPageBreak/>
        <w:tab/>
      </w:r>
      <w:r>
        <w:rPr>
          <w:lang w:val="fr-FR"/>
        </w:rPr>
        <w:tab/>
      </w:r>
      <w:r w:rsidR="00C30AFB" w:rsidRPr="00BF7C35">
        <w:rPr>
          <w:lang w:val="fr-FR"/>
        </w:rPr>
        <w:t>Règlement intérieur du Groupe de travail</w:t>
      </w:r>
      <w:r>
        <w:rPr>
          <w:lang w:val="fr-FR"/>
        </w:rPr>
        <w:t xml:space="preserve"> </w:t>
      </w:r>
      <w:r w:rsidR="00C30AFB" w:rsidRPr="00BF7C35">
        <w:rPr>
          <w:lang w:val="fr-FR"/>
        </w:rPr>
        <w:br/>
        <w:t>des problèmes douaniers intéressant</w:t>
      </w:r>
      <w:r>
        <w:rPr>
          <w:lang w:val="fr-FR"/>
        </w:rPr>
        <w:t xml:space="preserve"> </w:t>
      </w:r>
      <w:r w:rsidR="00C30AFB" w:rsidRPr="00BF7C35">
        <w:rPr>
          <w:lang w:val="fr-FR"/>
        </w:rPr>
        <w:br/>
        <w:t>les transports (WP.30)</w:t>
      </w:r>
    </w:p>
    <w:p w:rsidR="00D2090A" w:rsidRPr="00D2090A" w:rsidRDefault="00D2090A" w:rsidP="00D2090A">
      <w:pPr>
        <w:pStyle w:val="SingleTxt"/>
        <w:spacing w:after="0" w:line="120" w:lineRule="exact"/>
        <w:rPr>
          <w:sz w:val="10"/>
          <w:lang w:val="fr-FR"/>
        </w:rPr>
      </w:pPr>
    </w:p>
    <w:p w:rsidR="00D2090A" w:rsidRPr="00D2090A" w:rsidRDefault="00D2090A" w:rsidP="00D2090A">
      <w:pPr>
        <w:pStyle w:val="SingleTxt"/>
        <w:spacing w:after="0" w:line="120" w:lineRule="exact"/>
        <w:rPr>
          <w:sz w:val="10"/>
          <w:lang w:val="fr-FR"/>
        </w:rPr>
      </w:pPr>
    </w:p>
    <w:p w:rsidR="00D2090A" w:rsidRPr="00D2090A" w:rsidRDefault="00D2090A" w:rsidP="00D2090A">
      <w:pPr>
        <w:pStyle w:val="HCH"/>
        <w:spacing w:after="120"/>
        <w:rPr>
          <w:b w:val="0"/>
          <w:lang w:val="fr-FR"/>
        </w:rPr>
      </w:pPr>
      <w:r w:rsidRPr="00D2090A">
        <w:rPr>
          <w:b w:val="0"/>
          <w:lang w:val="fr-FR"/>
        </w:rPr>
        <w:t>Table des matières</w:t>
      </w:r>
    </w:p>
    <w:tbl>
      <w:tblPr>
        <w:tblW w:w="10044" w:type="dxa"/>
        <w:tblLayout w:type="fixed"/>
        <w:tblCellMar>
          <w:left w:w="0" w:type="dxa"/>
          <w:right w:w="0" w:type="dxa"/>
        </w:tblCellMar>
        <w:tblLook w:val="0000" w:firstRow="0" w:lastRow="0" w:firstColumn="0" w:lastColumn="0" w:noHBand="0" w:noVBand="0"/>
      </w:tblPr>
      <w:tblGrid>
        <w:gridCol w:w="1060"/>
        <w:gridCol w:w="7315"/>
        <w:gridCol w:w="994"/>
        <w:gridCol w:w="675"/>
      </w:tblGrid>
      <w:tr w:rsidR="00D2090A" w:rsidRPr="00D2090A" w:rsidTr="00D2090A">
        <w:tc>
          <w:tcPr>
            <w:tcW w:w="1060" w:type="dxa"/>
            <w:shd w:val="clear" w:color="auto" w:fill="auto"/>
          </w:tcPr>
          <w:p w:rsidR="00D2090A" w:rsidRPr="00D2090A" w:rsidRDefault="00D2090A" w:rsidP="00D2090A">
            <w:pPr>
              <w:spacing w:after="120" w:line="240" w:lineRule="auto"/>
              <w:jc w:val="right"/>
              <w:rPr>
                <w:i/>
                <w:sz w:val="14"/>
                <w:lang w:val="fr-FR"/>
              </w:rPr>
            </w:pPr>
          </w:p>
        </w:tc>
        <w:tc>
          <w:tcPr>
            <w:tcW w:w="7315" w:type="dxa"/>
            <w:shd w:val="clear" w:color="auto" w:fill="auto"/>
          </w:tcPr>
          <w:p w:rsidR="00D2090A" w:rsidRPr="00D2090A" w:rsidRDefault="00D2090A" w:rsidP="00D2090A">
            <w:pPr>
              <w:spacing w:after="120" w:line="240" w:lineRule="auto"/>
              <w:rPr>
                <w:i/>
                <w:sz w:val="14"/>
                <w:lang w:val="fr-FR"/>
              </w:rPr>
            </w:pPr>
          </w:p>
        </w:tc>
        <w:tc>
          <w:tcPr>
            <w:tcW w:w="994" w:type="dxa"/>
            <w:shd w:val="clear" w:color="auto" w:fill="auto"/>
          </w:tcPr>
          <w:p w:rsidR="00D2090A" w:rsidRPr="00D2090A" w:rsidRDefault="00D2090A" w:rsidP="00D2090A">
            <w:pPr>
              <w:spacing w:after="120" w:line="240" w:lineRule="auto"/>
              <w:jc w:val="right"/>
              <w:rPr>
                <w:i/>
                <w:sz w:val="14"/>
                <w:lang w:val="fr-FR"/>
              </w:rPr>
            </w:pPr>
          </w:p>
        </w:tc>
        <w:tc>
          <w:tcPr>
            <w:tcW w:w="675" w:type="dxa"/>
            <w:shd w:val="clear" w:color="auto" w:fill="auto"/>
          </w:tcPr>
          <w:p w:rsidR="00D2090A" w:rsidRPr="00D2090A" w:rsidRDefault="00D2090A" w:rsidP="00D2090A">
            <w:pPr>
              <w:spacing w:after="120" w:line="240" w:lineRule="auto"/>
              <w:jc w:val="right"/>
              <w:rPr>
                <w:i/>
                <w:sz w:val="14"/>
                <w:lang w:val="fr-FR"/>
              </w:rPr>
            </w:pPr>
            <w:r>
              <w:rPr>
                <w:i/>
                <w:sz w:val="14"/>
                <w:lang w:val="fr-FR"/>
              </w:rPr>
              <w:t>Page</w:t>
            </w:r>
          </w:p>
        </w:tc>
      </w:tr>
      <w:tr w:rsidR="00D2090A" w:rsidRPr="00D2090A" w:rsidTr="00D2090A">
        <w:tc>
          <w:tcPr>
            <w:tcW w:w="9369" w:type="dxa"/>
            <w:gridSpan w:val="3"/>
            <w:shd w:val="clear" w:color="auto" w:fill="auto"/>
          </w:tcPr>
          <w:p w:rsidR="00D2090A" w:rsidRPr="00D2090A" w:rsidRDefault="00D2090A" w:rsidP="00D2090A">
            <w:pPr>
              <w:pStyle w:val="ListParagraph"/>
              <w:numPr>
                <w:ilvl w:val="0"/>
                <w:numId w:val="19"/>
              </w:numPr>
              <w:tabs>
                <w:tab w:val="left" w:pos="1296"/>
                <w:tab w:val="left" w:pos="1728"/>
                <w:tab w:val="right" w:leader="dot" w:pos="9360"/>
              </w:tabs>
              <w:suppressAutoHyphens/>
              <w:spacing w:after="120"/>
              <w:rPr>
                <w:lang w:val="fr-FR"/>
              </w:rPr>
            </w:pPr>
            <w:r>
              <w:rPr>
                <w:rFonts w:eastAsia="Times New Roman"/>
                <w:lang w:val="fr-FR"/>
              </w:rPr>
              <w:t>Participation</w:t>
            </w:r>
            <w:r>
              <w:rPr>
                <w:rFonts w:eastAsia="Times New Roman"/>
                <w:spacing w:val="60"/>
                <w:sz w:val="17"/>
                <w:lang w:val="fr-FR"/>
              </w:rPr>
              <w:tab/>
            </w:r>
          </w:p>
        </w:tc>
        <w:tc>
          <w:tcPr>
            <w:tcW w:w="675" w:type="dxa"/>
            <w:shd w:val="clear" w:color="auto" w:fill="auto"/>
            <w:vAlign w:val="bottom"/>
          </w:tcPr>
          <w:p w:rsidR="00D2090A" w:rsidRPr="00D2090A" w:rsidRDefault="00C97168" w:rsidP="00D2090A">
            <w:pPr>
              <w:spacing w:after="120"/>
              <w:ind w:right="40"/>
              <w:jc w:val="right"/>
              <w:rPr>
                <w:lang w:val="fr-FR"/>
              </w:rPr>
            </w:pPr>
            <w:r>
              <w:rPr>
                <w:lang w:val="fr-FR"/>
              </w:rPr>
              <w:t>17</w:t>
            </w:r>
          </w:p>
        </w:tc>
      </w:tr>
      <w:tr w:rsidR="00D2090A" w:rsidRPr="00D2090A" w:rsidTr="00D2090A">
        <w:tc>
          <w:tcPr>
            <w:tcW w:w="9369" w:type="dxa"/>
            <w:gridSpan w:val="3"/>
            <w:shd w:val="clear" w:color="auto" w:fill="auto"/>
          </w:tcPr>
          <w:p w:rsidR="00D2090A" w:rsidRDefault="00D2090A" w:rsidP="00D2090A">
            <w:pPr>
              <w:pStyle w:val="ListParagraph"/>
              <w:numPr>
                <w:ilvl w:val="0"/>
                <w:numId w:val="19"/>
              </w:numPr>
              <w:tabs>
                <w:tab w:val="left" w:pos="1296"/>
                <w:tab w:val="left" w:pos="1728"/>
                <w:tab w:val="right" w:leader="dot" w:pos="9360"/>
              </w:tabs>
              <w:suppressAutoHyphens/>
              <w:spacing w:after="120"/>
              <w:rPr>
                <w:rFonts w:eastAsia="Times New Roman"/>
                <w:lang w:val="fr-FR"/>
              </w:rPr>
            </w:pPr>
            <w:r>
              <w:rPr>
                <w:rFonts w:eastAsia="Times New Roman"/>
                <w:lang w:val="fr-FR"/>
              </w:rPr>
              <w:t>Sessions</w:t>
            </w:r>
            <w:r>
              <w:rPr>
                <w:rFonts w:eastAsia="Times New Roman"/>
                <w:spacing w:val="60"/>
                <w:sz w:val="17"/>
                <w:lang w:val="fr-FR"/>
              </w:rPr>
              <w:tab/>
            </w:r>
          </w:p>
        </w:tc>
        <w:tc>
          <w:tcPr>
            <w:tcW w:w="675" w:type="dxa"/>
            <w:shd w:val="clear" w:color="auto" w:fill="auto"/>
            <w:vAlign w:val="bottom"/>
          </w:tcPr>
          <w:p w:rsidR="00D2090A" w:rsidRDefault="00C97168" w:rsidP="00D2090A">
            <w:pPr>
              <w:spacing w:after="120"/>
              <w:ind w:right="40"/>
              <w:jc w:val="right"/>
              <w:rPr>
                <w:lang w:val="fr-FR"/>
              </w:rPr>
            </w:pPr>
            <w:r>
              <w:rPr>
                <w:lang w:val="fr-FR"/>
              </w:rPr>
              <w:t>18</w:t>
            </w:r>
          </w:p>
        </w:tc>
      </w:tr>
      <w:tr w:rsidR="00D2090A" w:rsidRPr="00D2090A" w:rsidTr="00D2090A">
        <w:tc>
          <w:tcPr>
            <w:tcW w:w="9369" w:type="dxa"/>
            <w:gridSpan w:val="3"/>
            <w:shd w:val="clear" w:color="auto" w:fill="auto"/>
          </w:tcPr>
          <w:p w:rsidR="00D2090A" w:rsidRDefault="00D2090A" w:rsidP="00D2090A">
            <w:pPr>
              <w:pStyle w:val="ListParagraph"/>
              <w:numPr>
                <w:ilvl w:val="0"/>
                <w:numId w:val="19"/>
              </w:numPr>
              <w:tabs>
                <w:tab w:val="left" w:pos="1296"/>
                <w:tab w:val="left" w:pos="1728"/>
                <w:tab w:val="left" w:pos="2160"/>
                <w:tab w:val="right" w:leader="dot" w:pos="9360"/>
              </w:tabs>
              <w:suppressAutoHyphens/>
              <w:spacing w:after="120"/>
              <w:rPr>
                <w:rFonts w:eastAsia="Times New Roman"/>
                <w:lang w:val="fr-FR"/>
              </w:rPr>
            </w:pPr>
            <w:r>
              <w:rPr>
                <w:rFonts w:eastAsia="Times New Roman"/>
                <w:lang w:val="fr-FR"/>
              </w:rPr>
              <w:t>Ordre du jour</w:t>
            </w:r>
            <w:r>
              <w:rPr>
                <w:rFonts w:eastAsia="Times New Roman"/>
                <w:spacing w:val="60"/>
                <w:sz w:val="17"/>
                <w:lang w:val="fr-FR"/>
              </w:rPr>
              <w:tab/>
            </w:r>
          </w:p>
        </w:tc>
        <w:tc>
          <w:tcPr>
            <w:tcW w:w="675" w:type="dxa"/>
            <w:shd w:val="clear" w:color="auto" w:fill="auto"/>
            <w:vAlign w:val="bottom"/>
          </w:tcPr>
          <w:p w:rsidR="00D2090A" w:rsidRDefault="00C97168" w:rsidP="00D2090A">
            <w:pPr>
              <w:spacing w:after="120"/>
              <w:ind w:right="40"/>
              <w:jc w:val="right"/>
              <w:rPr>
                <w:lang w:val="fr-FR"/>
              </w:rPr>
            </w:pPr>
            <w:r>
              <w:rPr>
                <w:lang w:val="fr-FR"/>
              </w:rPr>
              <w:t>18</w:t>
            </w:r>
          </w:p>
        </w:tc>
      </w:tr>
      <w:tr w:rsidR="00D2090A" w:rsidRPr="00D2090A" w:rsidTr="00D2090A">
        <w:tc>
          <w:tcPr>
            <w:tcW w:w="9369" w:type="dxa"/>
            <w:gridSpan w:val="3"/>
            <w:shd w:val="clear" w:color="auto" w:fill="auto"/>
          </w:tcPr>
          <w:p w:rsidR="00D2090A" w:rsidRDefault="00D2090A" w:rsidP="00D2090A">
            <w:pPr>
              <w:pStyle w:val="ListParagraph"/>
              <w:numPr>
                <w:ilvl w:val="0"/>
                <w:numId w:val="19"/>
              </w:numPr>
              <w:tabs>
                <w:tab w:val="left" w:pos="1296"/>
                <w:tab w:val="left" w:pos="1728"/>
                <w:tab w:val="left" w:pos="2160"/>
                <w:tab w:val="right" w:leader="dot" w:pos="9360"/>
              </w:tabs>
              <w:suppressAutoHyphens/>
              <w:spacing w:after="120"/>
              <w:rPr>
                <w:rFonts w:eastAsia="Times New Roman"/>
                <w:lang w:val="fr-FR"/>
              </w:rPr>
            </w:pPr>
            <w:r>
              <w:rPr>
                <w:rFonts w:eastAsia="Times New Roman"/>
                <w:lang w:val="fr-FR"/>
              </w:rPr>
              <w:t>Représentation</w:t>
            </w:r>
            <w:r>
              <w:rPr>
                <w:rFonts w:eastAsia="Times New Roman"/>
                <w:spacing w:val="60"/>
                <w:sz w:val="17"/>
                <w:lang w:val="fr-FR"/>
              </w:rPr>
              <w:tab/>
            </w:r>
          </w:p>
        </w:tc>
        <w:tc>
          <w:tcPr>
            <w:tcW w:w="675" w:type="dxa"/>
            <w:shd w:val="clear" w:color="auto" w:fill="auto"/>
            <w:vAlign w:val="bottom"/>
          </w:tcPr>
          <w:p w:rsidR="00D2090A" w:rsidRDefault="00C97168" w:rsidP="00D2090A">
            <w:pPr>
              <w:spacing w:after="120"/>
              <w:ind w:right="40"/>
              <w:jc w:val="right"/>
              <w:rPr>
                <w:lang w:val="fr-FR"/>
              </w:rPr>
            </w:pPr>
            <w:r>
              <w:rPr>
                <w:lang w:val="fr-FR"/>
              </w:rPr>
              <w:t>19</w:t>
            </w:r>
          </w:p>
        </w:tc>
      </w:tr>
      <w:tr w:rsidR="00D2090A" w:rsidRPr="00D2090A" w:rsidTr="00D2090A">
        <w:tc>
          <w:tcPr>
            <w:tcW w:w="9369" w:type="dxa"/>
            <w:gridSpan w:val="3"/>
            <w:shd w:val="clear" w:color="auto" w:fill="auto"/>
          </w:tcPr>
          <w:p w:rsidR="00D2090A" w:rsidRDefault="00D2090A" w:rsidP="00D2090A">
            <w:pPr>
              <w:pStyle w:val="ListParagraph"/>
              <w:numPr>
                <w:ilvl w:val="0"/>
                <w:numId w:val="19"/>
              </w:numPr>
              <w:tabs>
                <w:tab w:val="left" w:pos="1296"/>
                <w:tab w:val="left" w:pos="1728"/>
                <w:tab w:val="right" w:leader="dot" w:pos="9360"/>
              </w:tabs>
              <w:suppressAutoHyphens/>
              <w:spacing w:after="120"/>
              <w:rPr>
                <w:rFonts w:eastAsia="Times New Roman"/>
                <w:lang w:val="fr-FR"/>
              </w:rPr>
            </w:pPr>
            <w:r>
              <w:rPr>
                <w:rFonts w:eastAsia="Times New Roman"/>
                <w:lang w:val="fr-FR"/>
              </w:rPr>
              <w:t>Bureau</w:t>
            </w:r>
            <w:r>
              <w:rPr>
                <w:rFonts w:eastAsia="Times New Roman"/>
                <w:spacing w:val="60"/>
                <w:sz w:val="17"/>
                <w:lang w:val="fr-FR"/>
              </w:rPr>
              <w:tab/>
            </w:r>
          </w:p>
        </w:tc>
        <w:tc>
          <w:tcPr>
            <w:tcW w:w="675" w:type="dxa"/>
            <w:shd w:val="clear" w:color="auto" w:fill="auto"/>
            <w:vAlign w:val="bottom"/>
          </w:tcPr>
          <w:p w:rsidR="00D2090A" w:rsidRDefault="00C97168" w:rsidP="00D2090A">
            <w:pPr>
              <w:spacing w:after="120"/>
              <w:ind w:right="40"/>
              <w:jc w:val="right"/>
              <w:rPr>
                <w:lang w:val="fr-FR"/>
              </w:rPr>
            </w:pPr>
            <w:r>
              <w:rPr>
                <w:lang w:val="fr-FR"/>
              </w:rPr>
              <w:t>19</w:t>
            </w:r>
          </w:p>
        </w:tc>
      </w:tr>
      <w:tr w:rsidR="00D2090A" w:rsidRPr="00D2090A" w:rsidTr="00D2090A">
        <w:tc>
          <w:tcPr>
            <w:tcW w:w="9369" w:type="dxa"/>
            <w:gridSpan w:val="3"/>
            <w:shd w:val="clear" w:color="auto" w:fill="auto"/>
          </w:tcPr>
          <w:p w:rsidR="00D2090A" w:rsidRDefault="00D2090A" w:rsidP="00D2090A">
            <w:pPr>
              <w:pStyle w:val="ListParagraph"/>
              <w:numPr>
                <w:ilvl w:val="0"/>
                <w:numId w:val="19"/>
              </w:numPr>
              <w:tabs>
                <w:tab w:val="left" w:pos="1296"/>
                <w:tab w:val="left" w:pos="1728"/>
                <w:tab w:val="left" w:pos="2160"/>
                <w:tab w:val="right" w:leader="dot" w:pos="9360"/>
              </w:tabs>
              <w:suppressAutoHyphens/>
              <w:spacing w:after="120"/>
              <w:rPr>
                <w:rFonts w:eastAsia="Times New Roman"/>
                <w:lang w:val="fr-FR"/>
              </w:rPr>
            </w:pPr>
            <w:r>
              <w:rPr>
                <w:rFonts w:eastAsia="Times New Roman"/>
                <w:lang w:val="fr-FR"/>
              </w:rPr>
              <w:t>Secrétariat</w:t>
            </w:r>
            <w:r>
              <w:rPr>
                <w:rFonts w:eastAsia="Times New Roman"/>
                <w:spacing w:val="60"/>
                <w:sz w:val="17"/>
                <w:lang w:val="fr-FR"/>
              </w:rPr>
              <w:tab/>
            </w:r>
          </w:p>
        </w:tc>
        <w:tc>
          <w:tcPr>
            <w:tcW w:w="675" w:type="dxa"/>
            <w:shd w:val="clear" w:color="auto" w:fill="auto"/>
            <w:vAlign w:val="bottom"/>
          </w:tcPr>
          <w:p w:rsidR="00D2090A" w:rsidRDefault="00C97168" w:rsidP="00D2090A">
            <w:pPr>
              <w:spacing w:after="120"/>
              <w:ind w:right="40"/>
              <w:jc w:val="right"/>
              <w:rPr>
                <w:lang w:val="fr-FR"/>
              </w:rPr>
            </w:pPr>
            <w:r>
              <w:rPr>
                <w:lang w:val="fr-FR"/>
              </w:rPr>
              <w:t>20</w:t>
            </w:r>
          </w:p>
        </w:tc>
      </w:tr>
      <w:tr w:rsidR="00D2090A" w:rsidRPr="00D2090A" w:rsidTr="00D2090A">
        <w:tc>
          <w:tcPr>
            <w:tcW w:w="9369" w:type="dxa"/>
            <w:gridSpan w:val="3"/>
            <w:shd w:val="clear" w:color="auto" w:fill="auto"/>
          </w:tcPr>
          <w:p w:rsidR="00D2090A" w:rsidRDefault="00D2090A" w:rsidP="00D2090A">
            <w:pPr>
              <w:pStyle w:val="ListParagraph"/>
              <w:numPr>
                <w:ilvl w:val="0"/>
                <w:numId w:val="19"/>
              </w:numPr>
              <w:tabs>
                <w:tab w:val="left" w:pos="1296"/>
                <w:tab w:val="left" w:pos="1728"/>
                <w:tab w:val="left" w:pos="2160"/>
                <w:tab w:val="left" w:pos="2592"/>
                <w:tab w:val="right" w:leader="dot" w:pos="9360"/>
              </w:tabs>
              <w:suppressAutoHyphens/>
              <w:spacing w:after="120"/>
              <w:rPr>
                <w:rFonts w:eastAsia="Times New Roman"/>
                <w:lang w:val="fr-FR"/>
              </w:rPr>
            </w:pPr>
            <w:r>
              <w:rPr>
                <w:rFonts w:eastAsia="Times New Roman"/>
                <w:lang w:val="fr-FR"/>
              </w:rPr>
              <w:t>Conduite des débats</w:t>
            </w:r>
            <w:r>
              <w:rPr>
                <w:rFonts w:eastAsia="Times New Roman"/>
                <w:spacing w:val="60"/>
                <w:sz w:val="17"/>
                <w:lang w:val="fr-FR"/>
              </w:rPr>
              <w:tab/>
            </w:r>
          </w:p>
        </w:tc>
        <w:tc>
          <w:tcPr>
            <w:tcW w:w="675" w:type="dxa"/>
            <w:shd w:val="clear" w:color="auto" w:fill="auto"/>
            <w:vAlign w:val="bottom"/>
          </w:tcPr>
          <w:p w:rsidR="00D2090A" w:rsidRDefault="00C97168" w:rsidP="00D2090A">
            <w:pPr>
              <w:spacing w:after="120"/>
              <w:ind w:right="40"/>
              <w:jc w:val="right"/>
              <w:rPr>
                <w:lang w:val="fr-FR"/>
              </w:rPr>
            </w:pPr>
            <w:r>
              <w:rPr>
                <w:lang w:val="fr-FR"/>
              </w:rPr>
              <w:t>21</w:t>
            </w:r>
          </w:p>
        </w:tc>
      </w:tr>
      <w:tr w:rsidR="00D2090A" w:rsidRPr="00D2090A" w:rsidTr="00D2090A">
        <w:tc>
          <w:tcPr>
            <w:tcW w:w="9369" w:type="dxa"/>
            <w:gridSpan w:val="3"/>
            <w:shd w:val="clear" w:color="auto" w:fill="auto"/>
          </w:tcPr>
          <w:p w:rsidR="00D2090A" w:rsidRDefault="00D2090A" w:rsidP="00D2090A">
            <w:pPr>
              <w:pStyle w:val="ListParagraph"/>
              <w:numPr>
                <w:ilvl w:val="0"/>
                <w:numId w:val="19"/>
              </w:numPr>
              <w:tabs>
                <w:tab w:val="left" w:pos="1296"/>
                <w:tab w:val="right" w:leader="dot" w:pos="9360"/>
              </w:tabs>
              <w:suppressAutoHyphens/>
              <w:spacing w:after="120"/>
              <w:rPr>
                <w:rFonts w:eastAsia="Times New Roman"/>
                <w:lang w:val="fr-FR"/>
              </w:rPr>
            </w:pPr>
            <w:r>
              <w:rPr>
                <w:rFonts w:eastAsia="Times New Roman"/>
                <w:lang w:val="fr-FR"/>
              </w:rPr>
              <w:t>Vote</w:t>
            </w:r>
            <w:r>
              <w:rPr>
                <w:rFonts w:eastAsia="Times New Roman"/>
                <w:spacing w:val="60"/>
                <w:sz w:val="17"/>
                <w:lang w:val="fr-FR"/>
              </w:rPr>
              <w:tab/>
            </w:r>
          </w:p>
        </w:tc>
        <w:tc>
          <w:tcPr>
            <w:tcW w:w="675" w:type="dxa"/>
            <w:shd w:val="clear" w:color="auto" w:fill="auto"/>
            <w:vAlign w:val="bottom"/>
          </w:tcPr>
          <w:p w:rsidR="00D2090A" w:rsidRDefault="00C97168" w:rsidP="00D2090A">
            <w:pPr>
              <w:spacing w:after="120"/>
              <w:ind w:right="40"/>
              <w:jc w:val="right"/>
              <w:rPr>
                <w:lang w:val="fr-FR"/>
              </w:rPr>
            </w:pPr>
            <w:r>
              <w:rPr>
                <w:lang w:val="fr-FR"/>
              </w:rPr>
              <w:t>22</w:t>
            </w:r>
          </w:p>
        </w:tc>
      </w:tr>
      <w:tr w:rsidR="00D2090A" w:rsidRPr="00D2090A" w:rsidTr="00D2090A">
        <w:tc>
          <w:tcPr>
            <w:tcW w:w="9369" w:type="dxa"/>
            <w:gridSpan w:val="3"/>
            <w:shd w:val="clear" w:color="auto" w:fill="auto"/>
          </w:tcPr>
          <w:p w:rsidR="00D2090A" w:rsidRDefault="00D2090A" w:rsidP="00D2090A">
            <w:pPr>
              <w:pStyle w:val="ListParagraph"/>
              <w:numPr>
                <w:ilvl w:val="0"/>
                <w:numId w:val="19"/>
              </w:numPr>
              <w:tabs>
                <w:tab w:val="left" w:pos="1296"/>
                <w:tab w:val="left" w:pos="1728"/>
                <w:tab w:val="right" w:leader="dot" w:pos="9360"/>
              </w:tabs>
              <w:suppressAutoHyphens/>
              <w:spacing w:after="120"/>
              <w:rPr>
                <w:rFonts w:eastAsia="Times New Roman"/>
                <w:lang w:val="fr-FR"/>
              </w:rPr>
            </w:pPr>
            <w:r>
              <w:rPr>
                <w:rFonts w:eastAsia="Times New Roman"/>
                <w:lang w:val="fr-FR"/>
              </w:rPr>
              <w:t>Langues</w:t>
            </w:r>
            <w:r>
              <w:rPr>
                <w:rFonts w:eastAsia="Times New Roman"/>
                <w:spacing w:val="60"/>
                <w:sz w:val="17"/>
                <w:lang w:val="fr-FR"/>
              </w:rPr>
              <w:tab/>
            </w:r>
          </w:p>
        </w:tc>
        <w:tc>
          <w:tcPr>
            <w:tcW w:w="675" w:type="dxa"/>
            <w:shd w:val="clear" w:color="auto" w:fill="auto"/>
            <w:vAlign w:val="bottom"/>
          </w:tcPr>
          <w:p w:rsidR="00D2090A" w:rsidRDefault="00C97168" w:rsidP="00D2090A">
            <w:pPr>
              <w:spacing w:after="120"/>
              <w:ind w:right="40"/>
              <w:jc w:val="right"/>
              <w:rPr>
                <w:lang w:val="fr-FR"/>
              </w:rPr>
            </w:pPr>
            <w:r>
              <w:rPr>
                <w:lang w:val="fr-FR"/>
              </w:rPr>
              <w:t>23</w:t>
            </w:r>
          </w:p>
        </w:tc>
      </w:tr>
      <w:tr w:rsidR="00D2090A" w:rsidRPr="00D2090A" w:rsidTr="00D2090A">
        <w:tc>
          <w:tcPr>
            <w:tcW w:w="9369" w:type="dxa"/>
            <w:gridSpan w:val="3"/>
            <w:shd w:val="clear" w:color="auto" w:fill="auto"/>
          </w:tcPr>
          <w:p w:rsidR="00D2090A" w:rsidRDefault="00D2090A" w:rsidP="00D2090A">
            <w:pPr>
              <w:pStyle w:val="ListParagraph"/>
              <w:numPr>
                <w:ilvl w:val="0"/>
                <w:numId w:val="19"/>
              </w:numPr>
              <w:tabs>
                <w:tab w:val="left" w:pos="1296"/>
                <w:tab w:val="left" w:pos="1728"/>
                <w:tab w:val="left" w:pos="2160"/>
                <w:tab w:val="left" w:pos="2592"/>
                <w:tab w:val="right" w:leader="dot" w:pos="9360"/>
              </w:tabs>
              <w:suppressAutoHyphens/>
              <w:spacing w:after="120"/>
              <w:rPr>
                <w:rFonts w:eastAsia="Times New Roman"/>
                <w:lang w:val="fr-FR"/>
              </w:rPr>
            </w:pPr>
            <w:r>
              <w:rPr>
                <w:rFonts w:eastAsia="Times New Roman"/>
                <w:lang w:val="fr-FR"/>
              </w:rPr>
              <w:t>Groupes spéciaux</w:t>
            </w:r>
            <w:r>
              <w:rPr>
                <w:rFonts w:eastAsia="Times New Roman"/>
                <w:spacing w:val="60"/>
                <w:sz w:val="17"/>
                <w:lang w:val="fr-FR"/>
              </w:rPr>
              <w:tab/>
            </w:r>
          </w:p>
        </w:tc>
        <w:tc>
          <w:tcPr>
            <w:tcW w:w="675" w:type="dxa"/>
            <w:shd w:val="clear" w:color="auto" w:fill="auto"/>
            <w:vAlign w:val="bottom"/>
          </w:tcPr>
          <w:p w:rsidR="00D2090A" w:rsidRDefault="00C97168" w:rsidP="00D2090A">
            <w:pPr>
              <w:spacing w:after="120"/>
              <w:ind w:right="40"/>
              <w:jc w:val="right"/>
              <w:rPr>
                <w:lang w:val="fr-FR"/>
              </w:rPr>
            </w:pPr>
            <w:r>
              <w:rPr>
                <w:lang w:val="fr-FR"/>
              </w:rPr>
              <w:t>23</w:t>
            </w:r>
          </w:p>
        </w:tc>
      </w:tr>
      <w:tr w:rsidR="00D2090A" w:rsidRPr="00D2090A" w:rsidTr="00D2090A">
        <w:tc>
          <w:tcPr>
            <w:tcW w:w="9369" w:type="dxa"/>
            <w:gridSpan w:val="3"/>
            <w:shd w:val="clear" w:color="auto" w:fill="auto"/>
          </w:tcPr>
          <w:p w:rsidR="00D2090A" w:rsidRDefault="00D2090A" w:rsidP="00D2090A">
            <w:pPr>
              <w:pStyle w:val="ListParagraph"/>
              <w:numPr>
                <w:ilvl w:val="0"/>
                <w:numId w:val="19"/>
              </w:numPr>
              <w:tabs>
                <w:tab w:val="left" w:pos="1296"/>
                <w:tab w:val="left" w:pos="1728"/>
                <w:tab w:val="left" w:pos="2160"/>
                <w:tab w:val="right" w:leader="dot" w:pos="9360"/>
              </w:tabs>
              <w:suppressAutoHyphens/>
              <w:spacing w:after="120"/>
              <w:rPr>
                <w:rFonts w:eastAsia="Times New Roman"/>
                <w:lang w:val="fr-FR"/>
              </w:rPr>
            </w:pPr>
            <w:r>
              <w:rPr>
                <w:rFonts w:eastAsia="Times New Roman"/>
                <w:lang w:val="fr-FR"/>
              </w:rPr>
              <w:t>Amendements</w:t>
            </w:r>
            <w:r>
              <w:rPr>
                <w:rFonts w:eastAsia="Times New Roman"/>
                <w:spacing w:val="60"/>
                <w:sz w:val="17"/>
                <w:lang w:val="fr-FR"/>
              </w:rPr>
              <w:tab/>
            </w:r>
          </w:p>
        </w:tc>
        <w:tc>
          <w:tcPr>
            <w:tcW w:w="675" w:type="dxa"/>
            <w:shd w:val="clear" w:color="auto" w:fill="auto"/>
            <w:vAlign w:val="bottom"/>
          </w:tcPr>
          <w:p w:rsidR="00D2090A" w:rsidRDefault="00C97168" w:rsidP="00D2090A">
            <w:pPr>
              <w:spacing w:after="120"/>
              <w:ind w:right="40"/>
              <w:jc w:val="right"/>
              <w:rPr>
                <w:lang w:val="fr-FR"/>
              </w:rPr>
            </w:pPr>
            <w:r>
              <w:rPr>
                <w:lang w:val="fr-FR"/>
              </w:rPr>
              <w:t>23</w:t>
            </w:r>
          </w:p>
        </w:tc>
      </w:tr>
    </w:tbl>
    <w:p w:rsidR="00C30AFB" w:rsidRPr="00D2090A" w:rsidRDefault="00C30AFB" w:rsidP="00D2090A">
      <w:pPr>
        <w:rPr>
          <w:lang w:val="fr-FR"/>
        </w:rPr>
      </w:pPr>
    </w:p>
    <w:p w:rsidR="00C30AFB" w:rsidRDefault="00C30AFB" w:rsidP="00C30AFB">
      <w:pPr>
        <w:pStyle w:val="SingleTxt"/>
        <w:rPr>
          <w:rFonts w:eastAsia="Times New Roman"/>
          <w:lang w:val="fr-FR"/>
        </w:rPr>
      </w:pPr>
    </w:p>
    <w:p w:rsidR="00C30AFB" w:rsidRDefault="00C30AFB">
      <w:pPr>
        <w:spacing w:line="240" w:lineRule="auto"/>
        <w:rPr>
          <w:rFonts w:eastAsia="Times New Roman"/>
          <w:lang w:val="fr-FR"/>
        </w:rPr>
      </w:pPr>
      <w:r>
        <w:rPr>
          <w:rFonts w:eastAsia="Times New Roman"/>
          <w:lang w:val="fr-FR"/>
        </w:rPr>
        <w:br w:type="page"/>
      </w:r>
    </w:p>
    <w:p w:rsidR="00C30AFB" w:rsidRDefault="00C30AFB" w:rsidP="00E3463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lastRenderedPageBreak/>
        <w:tab/>
      </w:r>
      <w:r w:rsidRPr="00BF7C35">
        <w:rPr>
          <w:lang w:val="fr-FR"/>
        </w:rPr>
        <w:tab/>
        <w:t>Chapitre I</w:t>
      </w:r>
    </w:p>
    <w:p w:rsidR="00E3463F" w:rsidRPr="00E3463F" w:rsidRDefault="00E3463F" w:rsidP="00E3463F">
      <w:pPr>
        <w:pStyle w:val="SingleTxt"/>
        <w:spacing w:after="0" w:line="120" w:lineRule="exact"/>
        <w:rPr>
          <w:sz w:val="10"/>
          <w:lang w:val="fr-FR"/>
        </w:rPr>
      </w:pPr>
    </w:p>
    <w:p w:rsidR="00E3463F" w:rsidRPr="00E3463F" w:rsidRDefault="00E3463F" w:rsidP="00E3463F">
      <w:pPr>
        <w:pStyle w:val="SingleTxt"/>
        <w:spacing w:after="0" w:line="120" w:lineRule="exact"/>
        <w:rPr>
          <w:sz w:val="10"/>
          <w:lang w:val="fr-FR"/>
        </w:rPr>
      </w:pPr>
    </w:p>
    <w:p w:rsidR="00C30AFB" w:rsidRDefault="00C30AFB" w:rsidP="00E3463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tab/>
      </w:r>
      <w:r w:rsidRPr="00BF7C35">
        <w:rPr>
          <w:lang w:val="fr-FR"/>
        </w:rPr>
        <w:tab/>
        <w:t>Participation</w:t>
      </w:r>
    </w:p>
    <w:p w:rsidR="00E3463F" w:rsidRPr="00E3463F" w:rsidRDefault="00E3463F" w:rsidP="00E3463F">
      <w:pPr>
        <w:pStyle w:val="SingleTxt"/>
        <w:spacing w:after="0" w:line="120" w:lineRule="exact"/>
        <w:rPr>
          <w:sz w:val="10"/>
          <w:lang w:val="fr-FR"/>
        </w:rPr>
      </w:pPr>
    </w:p>
    <w:p w:rsidR="00E3463F" w:rsidRPr="00E3463F" w:rsidRDefault="00E3463F" w:rsidP="00E3463F">
      <w:pPr>
        <w:pStyle w:val="SingleTxt"/>
        <w:spacing w:after="0" w:line="120" w:lineRule="exact"/>
        <w:rPr>
          <w:sz w:val="10"/>
          <w:lang w:val="fr-FR"/>
        </w:rPr>
      </w:pPr>
    </w:p>
    <w:p w:rsidR="00C30AFB" w:rsidRDefault="00C30AFB" w:rsidP="00E3463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tab/>
      </w:r>
      <w:r w:rsidRPr="00BF7C35">
        <w:rPr>
          <w:lang w:val="fr-FR"/>
        </w:rPr>
        <w:tab/>
        <w:t>Article premier</w:t>
      </w:r>
    </w:p>
    <w:p w:rsidR="00E3463F" w:rsidRPr="00E3463F" w:rsidRDefault="00E3463F" w:rsidP="00E3463F">
      <w:pPr>
        <w:pStyle w:val="SingleTxt"/>
        <w:spacing w:after="0" w:line="120" w:lineRule="exact"/>
        <w:rPr>
          <w:sz w:val="10"/>
          <w:lang w:val="fr-FR"/>
        </w:rPr>
      </w:pPr>
    </w:p>
    <w:p w:rsidR="00C30AFB" w:rsidRPr="00BF7C35" w:rsidRDefault="00E3463F" w:rsidP="00E3463F">
      <w:pPr>
        <w:pStyle w:val="SingleTxt"/>
        <w:rPr>
          <w:lang w:val="fr-FR"/>
        </w:rPr>
      </w:pPr>
      <w:r>
        <w:rPr>
          <w:lang w:val="fr-FR"/>
        </w:rPr>
        <w:tab/>
      </w:r>
      <w:r w:rsidR="00C30AFB" w:rsidRPr="00BF7C35">
        <w:rPr>
          <w:lang w:val="fr-FR"/>
        </w:rPr>
        <w:t>a)</w:t>
      </w:r>
      <w:r w:rsidR="00C30AFB" w:rsidRPr="00BF7C35">
        <w:rPr>
          <w:lang w:val="fr-FR"/>
        </w:rPr>
        <w:tab/>
        <w:t>Sont considérés comme participants de plein droit au WP.30 les pays membres de la CEE.</w:t>
      </w:r>
    </w:p>
    <w:p w:rsidR="00C30AFB" w:rsidRPr="00BF7C35" w:rsidRDefault="00E3463F" w:rsidP="00E3463F">
      <w:pPr>
        <w:pStyle w:val="SingleTxt"/>
        <w:rPr>
          <w:rFonts w:eastAsia="Times New Roman"/>
          <w:lang w:val="fr-FR"/>
        </w:rPr>
      </w:pPr>
      <w:r>
        <w:rPr>
          <w:rFonts w:eastAsia="Times New Roman"/>
          <w:lang w:val="fr-FR"/>
        </w:rPr>
        <w:tab/>
      </w:r>
      <w:r w:rsidR="00C30AFB" w:rsidRPr="00BF7C35">
        <w:rPr>
          <w:rFonts w:eastAsia="Times New Roman"/>
          <w:lang w:val="fr-FR"/>
        </w:rPr>
        <w:t>b)</w:t>
      </w:r>
      <w:r w:rsidR="00C30AFB" w:rsidRPr="00BF7C35">
        <w:rPr>
          <w:rFonts w:eastAsia="Times New Roman"/>
          <w:lang w:val="fr-FR"/>
        </w:rPr>
        <w:tab/>
        <w:t>Les pays non membres de la CEE, qui relèvent du paragraphe 11</w:t>
      </w:r>
      <w:r w:rsidRPr="00C97168">
        <w:rPr>
          <w:rStyle w:val="FootnoteReference"/>
          <w:rFonts w:eastAsia="Times New Roman"/>
          <w:lang w:val="fr-FR"/>
        </w:rPr>
        <w:footnoteReference w:id="1"/>
      </w:r>
      <w:r w:rsidR="00C30AFB" w:rsidRPr="00BF7C35">
        <w:rPr>
          <w:rFonts w:eastAsia="Times New Roman"/>
          <w:lang w:val="fr-FR"/>
        </w:rPr>
        <w:t xml:space="preserve"> du mandat de la CEE, peuvent participer de plein droit aux sessions du WP.30 ou à certaines parties d</w:t>
      </w:r>
      <w:r w:rsidR="00C30AFB">
        <w:rPr>
          <w:rFonts w:eastAsia="Times New Roman"/>
          <w:lang w:val="fr-FR"/>
        </w:rPr>
        <w:t>’</w:t>
      </w:r>
      <w:r w:rsidR="00C30AFB" w:rsidRPr="00BF7C35">
        <w:rPr>
          <w:rFonts w:eastAsia="Times New Roman"/>
          <w:lang w:val="fr-FR"/>
        </w:rPr>
        <w:t>entre elles consacrées à des questions relatives à un instrument juridique, dont la liste figure à l</w:t>
      </w:r>
      <w:r w:rsidR="00C30AFB">
        <w:rPr>
          <w:rFonts w:eastAsia="Times New Roman"/>
          <w:lang w:val="fr-FR"/>
        </w:rPr>
        <w:t>’</w:t>
      </w:r>
      <w:r w:rsidR="00C30AFB" w:rsidRPr="00BF7C35">
        <w:rPr>
          <w:rFonts w:eastAsia="Times New Roman"/>
          <w:lang w:val="fr-FR"/>
        </w:rPr>
        <w:t xml:space="preserve">appendice, auquel ils sont Parties contractantes. Ils peuvent aussi participer à titre consultatif au WP.30 sur toute question présentant un intérêt particulier pour eux. </w:t>
      </w:r>
    </w:p>
    <w:p w:rsidR="00C30AFB" w:rsidRPr="00BF7C35" w:rsidRDefault="00E3463F" w:rsidP="00E3463F">
      <w:pPr>
        <w:pStyle w:val="SingleTxt"/>
        <w:rPr>
          <w:rFonts w:eastAsia="Times New Roman"/>
          <w:lang w:val="fr-FR"/>
        </w:rPr>
      </w:pPr>
      <w:r>
        <w:rPr>
          <w:rFonts w:eastAsia="Times New Roman"/>
          <w:lang w:val="fr-FR"/>
        </w:rPr>
        <w:tab/>
      </w:r>
      <w:r w:rsidR="00C30AFB" w:rsidRPr="00BF7C35">
        <w:rPr>
          <w:rFonts w:eastAsia="Times New Roman"/>
          <w:lang w:val="fr-FR"/>
        </w:rPr>
        <w:t>c)</w:t>
      </w:r>
      <w:r w:rsidR="00C30AFB" w:rsidRPr="00BF7C35">
        <w:rPr>
          <w:rFonts w:eastAsia="Times New Roman"/>
          <w:lang w:val="fr-FR"/>
        </w:rPr>
        <w:tab/>
        <w:t>Conformément aux paragraphes 12</w:t>
      </w:r>
      <w:r w:rsidR="000A4F5A" w:rsidRPr="00C97168">
        <w:rPr>
          <w:rStyle w:val="FootnoteReference"/>
          <w:rFonts w:eastAsia="Times New Roman"/>
          <w:lang w:val="fr-FR"/>
        </w:rPr>
        <w:footnoteReference w:id="2"/>
      </w:r>
      <w:r w:rsidR="00C30AFB" w:rsidRPr="00BF7C35">
        <w:rPr>
          <w:rFonts w:eastAsia="Times New Roman"/>
          <w:lang w:val="fr-FR"/>
        </w:rPr>
        <w:t xml:space="preserve"> et 13</w:t>
      </w:r>
      <w:r w:rsidR="000A4F5A" w:rsidRPr="00C97168">
        <w:rPr>
          <w:rStyle w:val="FootnoteReference"/>
          <w:rFonts w:eastAsia="Times New Roman"/>
          <w:lang w:val="fr-FR"/>
        </w:rPr>
        <w:footnoteReference w:id="3"/>
      </w:r>
      <w:r w:rsidR="00C30AFB" w:rsidRPr="00BF7C35">
        <w:rPr>
          <w:rFonts w:eastAsia="Times New Roman"/>
          <w:lang w:val="fr-FR"/>
        </w:rPr>
        <w:t xml:space="preserve"> du mandat de la CEE, les institutions spécialisées, les organisations intergouvernementales et les organisations non gouvernementales dotées du statut consultatif auprès du Conseil économique et social peuvent participer à titre consultatif aux discussions que le WP.30 pourra consacrer à toute question présentant un intérêt pour lesdites institutions ou organisations.</w:t>
      </w:r>
    </w:p>
    <w:p w:rsidR="00C30AFB" w:rsidRPr="00BF7C35" w:rsidRDefault="00E3463F" w:rsidP="00E3463F">
      <w:pPr>
        <w:pStyle w:val="SingleTxt"/>
        <w:rPr>
          <w:rFonts w:eastAsia="Times New Roman"/>
          <w:lang w:val="fr-FR"/>
        </w:rPr>
      </w:pPr>
      <w:r>
        <w:rPr>
          <w:rFonts w:eastAsia="Times New Roman"/>
          <w:lang w:val="fr-FR"/>
        </w:rPr>
        <w:tab/>
      </w:r>
      <w:r w:rsidR="00C30AFB" w:rsidRPr="00BF7C35">
        <w:rPr>
          <w:rFonts w:eastAsia="Times New Roman"/>
          <w:lang w:val="fr-FR"/>
        </w:rPr>
        <w:t>d)</w:t>
      </w:r>
      <w:r w:rsidR="00C30AFB" w:rsidRPr="00BF7C35">
        <w:rPr>
          <w:rFonts w:eastAsia="Times New Roman"/>
          <w:lang w:val="fr-FR"/>
        </w:rPr>
        <w:tab/>
        <w:t>Les organisations non gouvernementales qui ne sont pas dotées du statut consultatif auprès du Conseil économique et social peuvent, sous réserve de l</w:t>
      </w:r>
      <w:r w:rsidR="00C30AFB">
        <w:rPr>
          <w:rFonts w:eastAsia="Times New Roman"/>
          <w:lang w:val="fr-FR"/>
        </w:rPr>
        <w:t>’</w:t>
      </w:r>
      <w:r w:rsidR="00C30AFB" w:rsidRPr="00BF7C35">
        <w:rPr>
          <w:rFonts w:eastAsia="Times New Roman"/>
          <w:lang w:val="fr-FR"/>
        </w:rPr>
        <w:t>approbation du WP.30 et du respect des principes énoncés dans les première et de</w:t>
      </w:r>
      <w:r w:rsidR="00493124">
        <w:rPr>
          <w:rFonts w:eastAsia="Times New Roman"/>
          <w:lang w:val="fr-FR"/>
        </w:rPr>
        <w:t>uxième parties de la résolution </w:t>
      </w:r>
      <w:r w:rsidR="00C30AFB" w:rsidRPr="00BF7C35">
        <w:rPr>
          <w:rFonts w:eastAsia="Times New Roman"/>
          <w:lang w:val="fr-FR"/>
        </w:rPr>
        <w:t>1996/31 du Conseil économique et social, participer à titre consultatif aux discussions que le WP.30 peut consacrer à toute question présentant un intérêt pour ces organisations.</w:t>
      </w:r>
    </w:p>
    <w:p w:rsidR="00C30AFB" w:rsidRPr="00BF7C35" w:rsidRDefault="00E3463F" w:rsidP="00E3463F">
      <w:pPr>
        <w:pStyle w:val="SingleTxt"/>
        <w:rPr>
          <w:rFonts w:eastAsia="Times New Roman"/>
          <w:lang w:val="fr-FR"/>
        </w:rPr>
      </w:pPr>
      <w:r>
        <w:rPr>
          <w:rFonts w:eastAsia="Times New Roman"/>
          <w:lang w:val="fr-FR"/>
        </w:rPr>
        <w:tab/>
      </w:r>
      <w:r w:rsidR="00C30AFB" w:rsidRPr="00BF7C35">
        <w:rPr>
          <w:rFonts w:eastAsia="Times New Roman"/>
          <w:lang w:val="fr-FR"/>
        </w:rPr>
        <w:t>e)</w:t>
      </w:r>
      <w:r w:rsidR="00C30AFB" w:rsidRPr="00BF7C35">
        <w:rPr>
          <w:rFonts w:eastAsia="Times New Roman"/>
          <w:lang w:val="fr-FR"/>
        </w:rPr>
        <w:tab/>
        <w:t>Les consultations avec les institutions spécialisées et l</w:t>
      </w:r>
      <w:r w:rsidR="00C30AFB">
        <w:rPr>
          <w:rFonts w:eastAsia="Times New Roman"/>
          <w:lang w:val="fr-FR"/>
        </w:rPr>
        <w:t>’</w:t>
      </w:r>
      <w:r w:rsidR="00C30AFB" w:rsidRPr="00BF7C35">
        <w:rPr>
          <w:rFonts w:eastAsia="Times New Roman"/>
          <w:lang w:val="fr-FR"/>
        </w:rPr>
        <w:t>Agence internationale de l</w:t>
      </w:r>
      <w:r w:rsidR="00C30AFB">
        <w:rPr>
          <w:rFonts w:eastAsia="Times New Roman"/>
          <w:lang w:val="fr-FR"/>
        </w:rPr>
        <w:t>’</w:t>
      </w:r>
      <w:r w:rsidR="00C30AFB" w:rsidRPr="00BF7C35">
        <w:rPr>
          <w:rFonts w:eastAsia="Times New Roman"/>
          <w:lang w:val="fr-FR"/>
        </w:rPr>
        <w:t>énergie atomique (AIEA) sont menées conformément à l</w:t>
      </w:r>
      <w:r w:rsidR="00C30AFB">
        <w:rPr>
          <w:rFonts w:eastAsia="Times New Roman"/>
          <w:lang w:val="fr-FR"/>
        </w:rPr>
        <w:t>’</w:t>
      </w:r>
      <w:r w:rsidR="00C30AFB" w:rsidRPr="00BF7C35">
        <w:rPr>
          <w:rFonts w:eastAsia="Times New Roman"/>
          <w:lang w:val="fr-FR"/>
        </w:rPr>
        <w:t>article 51 du Règlement intérieur de la CEE.</w:t>
      </w:r>
    </w:p>
    <w:p w:rsidR="00C30AFB" w:rsidRDefault="00E3463F" w:rsidP="00E3463F">
      <w:pPr>
        <w:pStyle w:val="SingleTxt"/>
        <w:rPr>
          <w:rFonts w:eastAsia="Times New Roman"/>
          <w:lang w:val="fr-FR"/>
        </w:rPr>
      </w:pPr>
      <w:r>
        <w:rPr>
          <w:rFonts w:eastAsia="Times New Roman"/>
          <w:lang w:val="fr-FR"/>
        </w:rPr>
        <w:tab/>
      </w:r>
      <w:r w:rsidR="00C30AFB" w:rsidRPr="00BF7C35">
        <w:rPr>
          <w:rFonts w:eastAsia="Times New Roman"/>
          <w:lang w:val="fr-FR"/>
        </w:rPr>
        <w:t>f)</w:t>
      </w:r>
      <w:r w:rsidR="00C30AFB" w:rsidRPr="00BF7C35">
        <w:rPr>
          <w:rFonts w:eastAsia="Times New Roman"/>
          <w:lang w:val="fr-FR"/>
        </w:rPr>
        <w:tab/>
        <w:t>Les consultations avec les organisations non gouvernementales sont menées conformément aux articles 52 et 53 du Règlement intérieur de la CEE. Les organisations non gouvernementales dotées du statut consultatif en vertu de l</w:t>
      </w:r>
      <w:r w:rsidR="00C30AFB">
        <w:rPr>
          <w:rFonts w:eastAsia="Times New Roman"/>
          <w:lang w:val="fr-FR"/>
        </w:rPr>
        <w:t>’</w:t>
      </w:r>
      <w:r w:rsidR="00C30AFB" w:rsidRPr="00BF7C35">
        <w:rPr>
          <w:rFonts w:eastAsia="Times New Roman"/>
          <w:lang w:val="fr-FR"/>
        </w:rPr>
        <w:t>alinéa </w:t>
      </w:r>
      <w:r w:rsidR="00C30AFB" w:rsidRPr="00E3463F">
        <w:rPr>
          <w:rFonts w:eastAsia="Times New Roman"/>
          <w:lang w:val="fr-FR"/>
        </w:rPr>
        <w:t>d</w:t>
      </w:r>
      <w:r>
        <w:rPr>
          <w:rFonts w:eastAsia="Times New Roman"/>
          <w:lang w:val="fr-FR"/>
        </w:rPr>
        <w:t>)</w:t>
      </w:r>
      <w:r w:rsidR="00C30AFB" w:rsidRPr="00E3463F">
        <w:rPr>
          <w:rFonts w:eastAsia="Times New Roman"/>
          <w:lang w:val="fr-FR"/>
        </w:rPr>
        <w:t xml:space="preserve"> </w:t>
      </w:r>
      <w:r w:rsidR="00C30AFB" w:rsidRPr="00BF7C35">
        <w:rPr>
          <w:rFonts w:eastAsia="Times New Roman"/>
          <w:lang w:val="fr-FR"/>
        </w:rPr>
        <w:t>sont assimilées à des organisations non gouvernementales inscrites sur la liste.</w:t>
      </w:r>
    </w:p>
    <w:p w:rsidR="00BF7CAB" w:rsidRPr="00BF7CAB" w:rsidRDefault="00BF7CAB" w:rsidP="00BF7CAB">
      <w:pPr>
        <w:pStyle w:val="SingleTxt"/>
        <w:spacing w:after="0" w:line="120" w:lineRule="exact"/>
        <w:rPr>
          <w:rFonts w:eastAsia="Times New Roman"/>
          <w:sz w:val="10"/>
          <w:lang w:val="fr-FR"/>
        </w:rPr>
      </w:pPr>
    </w:p>
    <w:p w:rsidR="00BF7CAB" w:rsidRPr="00BF7CAB" w:rsidRDefault="00BF7CAB" w:rsidP="00BF7CAB">
      <w:pPr>
        <w:pStyle w:val="SingleTxt"/>
        <w:spacing w:after="0" w:line="120" w:lineRule="exact"/>
        <w:rPr>
          <w:rFonts w:eastAsia="Times New Roman"/>
          <w:sz w:val="10"/>
          <w:lang w:val="fr-FR"/>
        </w:rPr>
      </w:pPr>
    </w:p>
    <w:p w:rsidR="00C30AFB" w:rsidRDefault="00C30AFB" w:rsidP="00BF7CA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lastRenderedPageBreak/>
        <w:tab/>
      </w:r>
      <w:r w:rsidRPr="00BF7C35">
        <w:rPr>
          <w:lang w:val="fr-FR"/>
        </w:rPr>
        <w:tab/>
        <w:t>Chapitre II</w:t>
      </w:r>
    </w:p>
    <w:p w:rsidR="00BF7CAB" w:rsidRPr="00BF7CAB" w:rsidRDefault="00BF7CAB" w:rsidP="00C97168">
      <w:pPr>
        <w:pStyle w:val="SingleTxt"/>
        <w:keepNext/>
        <w:spacing w:after="0" w:line="120" w:lineRule="exact"/>
        <w:rPr>
          <w:sz w:val="10"/>
          <w:lang w:val="fr-FR"/>
        </w:rPr>
      </w:pPr>
    </w:p>
    <w:p w:rsidR="00BF7CAB" w:rsidRPr="00BF7CAB" w:rsidRDefault="00BF7CAB" w:rsidP="00C97168">
      <w:pPr>
        <w:pStyle w:val="SingleTxt"/>
        <w:keepNext/>
        <w:spacing w:after="0" w:line="120" w:lineRule="exact"/>
        <w:rPr>
          <w:sz w:val="10"/>
          <w:lang w:val="fr-FR"/>
        </w:rPr>
      </w:pPr>
    </w:p>
    <w:p w:rsidR="00C30AFB" w:rsidRDefault="00C30AFB" w:rsidP="00C9716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tab/>
      </w:r>
      <w:r w:rsidRPr="00BF7C35">
        <w:rPr>
          <w:lang w:val="fr-FR"/>
        </w:rPr>
        <w:tab/>
        <w:t>Sessions</w:t>
      </w:r>
    </w:p>
    <w:p w:rsidR="00BF7CAB" w:rsidRPr="00BF7CAB" w:rsidRDefault="00BF7CAB" w:rsidP="00C97168">
      <w:pPr>
        <w:pStyle w:val="SingleTxt"/>
        <w:keepNext/>
        <w:spacing w:after="0" w:line="120" w:lineRule="exact"/>
        <w:rPr>
          <w:sz w:val="10"/>
          <w:lang w:val="fr-FR"/>
        </w:rPr>
      </w:pPr>
    </w:p>
    <w:p w:rsidR="00BF7CAB" w:rsidRPr="00BF7CAB" w:rsidRDefault="00BF7CAB" w:rsidP="00C97168">
      <w:pPr>
        <w:pStyle w:val="SingleTxt"/>
        <w:keepNext/>
        <w:spacing w:after="0" w:line="120" w:lineRule="exact"/>
        <w:rPr>
          <w:sz w:val="10"/>
          <w:lang w:val="fr-FR"/>
        </w:rPr>
      </w:pPr>
    </w:p>
    <w:p w:rsidR="00C30AFB" w:rsidRDefault="00C30AFB" w:rsidP="00C9716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tab/>
      </w:r>
      <w:r w:rsidRPr="00BF7C35">
        <w:rPr>
          <w:lang w:val="fr-FR"/>
        </w:rPr>
        <w:tab/>
        <w:t>Article 2</w:t>
      </w:r>
    </w:p>
    <w:p w:rsidR="00BF7CAB" w:rsidRPr="00BF7CAB" w:rsidRDefault="00BF7CAB" w:rsidP="00C97168">
      <w:pPr>
        <w:pStyle w:val="SingleTxt"/>
        <w:keepNext/>
        <w:spacing w:after="0" w:line="120" w:lineRule="exact"/>
        <w:rPr>
          <w:sz w:val="10"/>
          <w:lang w:val="fr-FR"/>
        </w:rPr>
      </w:pPr>
    </w:p>
    <w:p w:rsidR="00C30AFB" w:rsidRDefault="00BF7CAB" w:rsidP="00C97168">
      <w:pPr>
        <w:pStyle w:val="SingleTxt"/>
        <w:keepNext/>
        <w:rPr>
          <w:lang w:val="fr-FR"/>
        </w:rPr>
      </w:pPr>
      <w:r>
        <w:rPr>
          <w:lang w:val="fr-FR"/>
        </w:rPr>
        <w:tab/>
      </w:r>
      <w:r w:rsidR="00C30AFB" w:rsidRPr="00BF7C35">
        <w:rPr>
          <w:lang w:val="fr-FR"/>
        </w:rPr>
        <w:t>Les sessions ont lieu aux dates fixées par le WP.30 lors des réunions précédentes après consultation avec le secrétariat de la CEE.</w:t>
      </w:r>
    </w:p>
    <w:p w:rsidR="00BF7CAB" w:rsidRPr="00BF7CAB" w:rsidRDefault="00BF7CAB" w:rsidP="00BF7CAB">
      <w:pPr>
        <w:pStyle w:val="SingleTxt"/>
        <w:spacing w:after="0" w:line="120" w:lineRule="exact"/>
        <w:rPr>
          <w:sz w:val="10"/>
          <w:lang w:val="fr-FR"/>
        </w:rPr>
      </w:pPr>
    </w:p>
    <w:p w:rsidR="00C30AFB" w:rsidRDefault="00C30AFB" w:rsidP="00BF7CA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tab/>
      </w:r>
      <w:r w:rsidRPr="00BF7C35">
        <w:rPr>
          <w:lang w:val="fr-FR"/>
        </w:rPr>
        <w:tab/>
        <w:t>Article 3</w:t>
      </w:r>
    </w:p>
    <w:p w:rsidR="00BF7CAB" w:rsidRPr="00BF7CAB" w:rsidRDefault="00BF7CAB" w:rsidP="00BF7CAB">
      <w:pPr>
        <w:pStyle w:val="SingleTxt"/>
        <w:spacing w:after="0" w:line="120" w:lineRule="exact"/>
        <w:rPr>
          <w:sz w:val="10"/>
          <w:lang w:val="fr-FR"/>
        </w:rPr>
      </w:pPr>
    </w:p>
    <w:p w:rsidR="00C30AFB" w:rsidRDefault="00BF7CAB" w:rsidP="00BF7CAB">
      <w:pPr>
        <w:pStyle w:val="SingleTxt"/>
        <w:rPr>
          <w:rFonts w:eastAsia="Times New Roman"/>
          <w:lang w:val="fr-FR"/>
        </w:rPr>
      </w:pPr>
      <w:r>
        <w:rPr>
          <w:rFonts w:eastAsia="Times New Roman"/>
          <w:lang w:val="fr-FR"/>
        </w:rPr>
        <w:tab/>
      </w:r>
      <w:r w:rsidR="00C30AFB" w:rsidRPr="00BF7C35">
        <w:rPr>
          <w:rFonts w:eastAsia="Times New Roman"/>
          <w:lang w:val="fr-FR"/>
        </w:rPr>
        <w:t>Les sessions ont ordinairement lieu à l</w:t>
      </w:r>
      <w:r w:rsidR="00C30AFB">
        <w:rPr>
          <w:rFonts w:eastAsia="Times New Roman"/>
          <w:lang w:val="fr-FR"/>
        </w:rPr>
        <w:t>’</w:t>
      </w:r>
      <w:r w:rsidR="00C30AFB" w:rsidRPr="00BF7C35">
        <w:rPr>
          <w:rFonts w:eastAsia="Times New Roman"/>
          <w:lang w:val="fr-FR"/>
        </w:rPr>
        <w:t>Office des Nations Unies à Genève. Le WP.30 peut, avec l</w:t>
      </w:r>
      <w:r w:rsidR="00C30AFB">
        <w:rPr>
          <w:rFonts w:eastAsia="Times New Roman"/>
          <w:lang w:val="fr-FR"/>
        </w:rPr>
        <w:t>’</w:t>
      </w:r>
      <w:r w:rsidR="00C30AFB" w:rsidRPr="00BF7C35">
        <w:rPr>
          <w:rFonts w:eastAsia="Times New Roman"/>
          <w:lang w:val="fr-FR"/>
        </w:rPr>
        <w:t xml:space="preserve">accord </w:t>
      </w:r>
      <w:r w:rsidR="00C30AFB" w:rsidRPr="00BF7CAB">
        <w:rPr>
          <w:lang w:val="fr-FR"/>
        </w:rPr>
        <w:t>du</w:t>
      </w:r>
      <w:r w:rsidR="00C30AFB" w:rsidRPr="00BF7C35">
        <w:rPr>
          <w:rFonts w:eastAsia="Times New Roman"/>
          <w:lang w:val="fr-FR"/>
        </w:rPr>
        <w:t xml:space="preserve"> Comité des transports intérieurs, tenir une session particulière ailleurs. Dans ce cas, les règles et règlements pertinents de l</w:t>
      </w:r>
      <w:r w:rsidR="00C30AFB">
        <w:rPr>
          <w:rFonts w:eastAsia="Times New Roman"/>
          <w:lang w:val="fr-FR"/>
        </w:rPr>
        <w:t>’</w:t>
      </w:r>
      <w:r>
        <w:rPr>
          <w:rFonts w:eastAsia="Times New Roman"/>
          <w:lang w:val="fr-FR"/>
        </w:rPr>
        <w:t>ONU sont applicables.</w:t>
      </w:r>
    </w:p>
    <w:p w:rsidR="00BF7CAB" w:rsidRPr="00BF7CAB" w:rsidRDefault="00BF7CAB" w:rsidP="00BF7CAB">
      <w:pPr>
        <w:pStyle w:val="SingleTxt"/>
        <w:spacing w:after="0" w:line="120" w:lineRule="exact"/>
        <w:rPr>
          <w:rFonts w:eastAsia="Times New Roman"/>
          <w:sz w:val="10"/>
          <w:lang w:val="fr-FR"/>
        </w:rPr>
      </w:pPr>
    </w:p>
    <w:p w:rsidR="00C30AFB" w:rsidRDefault="00C30AFB" w:rsidP="00BF7CA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tab/>
      </w:r>
      <w:r w:rsidRPr="00BF7C35">
        <w:rPr>
          <w:lang w:val="fr-FR"/>
        </w:rPr>
        <w:tab/>
        <w:t>Article 4</w:t>
      </w:r>
    </w:p>
    <w:p w:rsidR="00BF7CAB" w:rsidRPr="00BF7CAB" w:rsidRDefault="00BF7CAB" w:rsidP="00BF7CAB">
      <w:pPr>
        <w:pStyle w:val="SingleTxt"/>
        <w:spacing w:after="0" w:line="120" w:lineRule="exact"/>
        <w:rPr>
          <w:sz w:val="10"/>
          <w:lang w:val="fr-FR"/>
        </w:rPr>
      </w:pPr>
    </w:p>
    <w:p w:rsidR="00C30AFB" w:rsidRPr="00BF7C35" w:rsidRDefault="00BF7CAB" w:rsidP="00BF7CAB">
      <w:pPr>
        <w:pStyle w:val="SingleTxt"/>
        <w:rPr>
          <w:lang w:val="fr-FR"/>
        </w:rPr>
      </w:pPr>
      <w:r>
        <w:rPr>
          <w:lang w:val="fr-FR"/>
        </w:rPr>
        <w:tab/>
      </w:r>
      <w:r w:rsidR="00C30AFB" w:rsidRPr="00BF7C35">
        <w:rPr>
          <w:lang w:val="fr-FR"/>
        </w:rPr>
        <w:t>a)</w:t>
      </w:r>
      <w:r w:rsidR="00C30AFB" w:rsidRPr="00BF7C35">
        <w:rPr>
          <w:lang w:val="fr-FR"/>
        </w:rPr>
        <w:tab/>
        <w:t>L</w:t>
      </w:r>
      <w:r w:rsidR="00C30AFB">
        <w:rPr>
          <w:lang w:val="fr-FR"/>
        </w:rPr>
        <w:t>’</w:t>
      </w:r>
      <w:r w:rsidR="00C30AFB" w:rsidRPr="00BF7C35">
        <w:rPr>
          <w:lang w:val="fr-FR"/>
        </w:rPr>
        <w:t>ordre du jour provisoire et les documents de base relatifs à chacun des points inscrits à l</w:t>
      </w:r>
      <w:r w:rsidR="00C30AFB">
        <w:rPr>
          <w:lang w:val="fr-FR"/>
        </w:rPr>
        <w:t>’</w:t>
      </w:r>
      <w:r w:rsidR="00C30AFB" w:rsidRPr="00BF7C35">
        <w:rPr>
          <w:lang w:val="fr-FR"/>
        </w:rPr>
        <w:t>ordre du jour seront distribués à tous les membres et seront aussi disponibles sur le site Web de la CEE</w:t>
      </w:r>
      <w:r w:rsidRPr="00C97168">
        <w:rPr>
          <w:rStyle w:val="FootnoteReference"/>
          <w:lang w:val="fr-FR"/>
        </w:rPr>
        <w:footnoteReference w:id="4"/>
      </w:r>
      <w:r w:rsidR="00C30AFB" w:rsidRPr="00BF7C35">
        <w:rPr>
          <w:lang w:val="fr-FR"/>
        </w:rPr>
        <w:t xml:space="preserve"> dans toutes les langues officielles de la CEE, au plus tard quarante-deux jours avant l</w:t>
      </w:r>
      <w:r w:rsidR="00C30AFB">
        <w:rPr>
          <w:lang w:val="fr-FR"/>
        </w:rPr>
        <w:t>’</w:t>
      </w:r>
      <w:r w:rsidR="00C30AFB" w:rsidRPr="00BF7C35">
        <w:rPr>
          <w:lang w:val="fr-FR"/>
        </w:rPr>
        <w:t>ouverture de la session; toutefois, dans des cas exceptionnels, les traductions peuvent être mises à disposition sur ce site vingt et un jours avant l</w:t>
      </w:r>
      <w:r w:rsidR="00C30AFB">
        <w:rPr>
          <w:lang w:val="fr-FR"/>
        </w:rPr>
        <w:t>’</w:t>
      </w:r>
      <w:r w:rsidR="00C30AFB" w:rsidRPr="00BF7C35">
        <w:rPr>
          <w:lang w:val="fr-FR"/>
        </w:rPr>
        <w:t>ouverture de la session.</w:t>
      </w:r>
    </w:p>
    <w:p w:rsidR="00C30AFB" w:rsidRPr="00BF7C35" w:rsidRDefault="00BF7CAB" w:rsidP="00BF7CAB">
      <w:pPr>
        <w:pStyle w:val="SingleTxt"/>
        <w:rPr>
          <w:rFonts w:eastAsia="Times New Roman"/>
          <w:lang w:val="fr-FR"/>
        </w:rPr>
      </w:pPr>
      <w:r>
        <w:rPr>
          <w:rFonts w:eastAsia="Times New Roman"/>
          <w:lang w:val="fr-FR"/>
        </w:rPr>
        <w:tab/>
      </w:r>
      <w:r w:rsidR="00C30AFB" w:rsidRPr="00BF7C35">
        <w:rPr>
          <w:rFonts w:eastAsia="Times New Roman"/>
          <w:lang w:val="fr-FR"/>
        </w:rPr>
        <w:t>b)</w:t>
      </w:r>
      <w:r w:rsidR="00C30AFB" w:rsidRPr="00BF7C35">
        <w:rPr>
          <w:rFonts w:eastAsia="Times New Roman"/>
          <w:lang w:val="fr-FR"/>
        </w:rPr>
        <w:tab/>
        <w:t xml:space="preserve">Dans des cas exceptionnels, secrétariat peut distribuer les documents de base au cours de la session, auquel cas mais ils ne </w:t>
      </w:r>
      <w:r w:rsidR="00C30AFB" w:rsidRPr="00BF7CAB">
        <w:rPr>
          <w:lang w:val="fr-FR"/>
        </w:rPr>
        <w:t>pourront</w:t>
      </w:r>
      <w:r w:rsidR="00C30AFB" w:rsidRPr="00BF7C35">
        <w:rPr>
          <w:rFonts w:eastAsia="Times New Roman"/>
          <w:lang w:val="fr-FR"/>
        </w:rPr>
        <w:t xml:space="preserve"> alors faire l</w:t>
      </w:r>
      <w:r w:rsidR="00C30AFB">
        <w:rPr>
          <w:rFonts w:eastAsia="Times New Roman"/>
          <w:lang w:val="fr-FR"/>
        </w:rPr>
        <w:t>’</w:t>
      </w:r>
      <w:r w:rsidR="00C30AFB" w:rsidRPr="00BF7C35">
        <w:rPr>
          <w:rFonts w:eastAsia="Times New Roman"/>
          <w:lang w:val="fr-FR"/>
        </w:rPr>
        <w:t>objet que d</w:t>
      </w:r>
      <w:r w:rsidR="00C30AFB">
        <w:rPr>
          <w:rFonts w:eastAsia="Times New Roman"/>
          <w:lang w:val="fr-FR"/>
        </w:rPr>
        <w:t>’</w:t>
      </w:r>
      <w:r w:rsidR="00C30AFB" w:rsidRPr="00BF7C35">
        <w:rPr>
          <w:rFonts w:eastAsia="Times New Roman"/>
          <w:lang w:val="fr-FR"/>
        </w:rPr>
        <w:t>un être utilisés que pour examen préliminaire, sauf décision contraire du WP.30.</w:t>
      </w:r>
    </w:p>
    <w:p w:rsidR="00C30AFB" w:rsidRDefault="00BF7CAB" w:rsidP="00BF7CAB">
      <w:pPr>
        <w:pStyle w:val="SingleTxt"/>
        <w:rPr>
          <w:rFonts w:eastAsia="Times New Roman"/>
          <w:lang w:val="fr-FR"/>
        </w:rPr>
      </w:pPr>
      <w:r>
        <w:rPr>
          <w:rFonts w:eastAsia="Times New Roman"/>
          <w:lang w:val="fr-FR"/>
        </w:rPr>
        <w:tab/>
      </w:r>
      <w:r w:rsidR="00C30AFB" w:rsidRPr="00BF7C35">
        <w:rPr>
          <w:rFonts w:eastAsia="Times New Roman"/>
          <w:lang w:val="fr-FR"/>
        </w:rPr>
        <w:t>c)</w:t>
      </w:r>
      <w:r w:rsidR="00C30AFB" w:rsidRPr="00BF7C35">
        <w:rPr>
          <w:rFonts w:eastAsia="Times New Roman"/>
          <w:lang w:val="fr-FR"/>
        </w:rPr>
        <w:tab/>
        <w:t>Tout participant, ainsi que le secrétariat, peut également soumettre des documents informels. Ces documents doivent avoir un rapport avec les questions inscrites à l</w:t>
      </w:r>
      <w:r w:rsidR="00C30AFB">
        <w:rPr>
          <w:rFonts w:eastAsia="Times New Roman"/>
          <w:lang w:val="fr-FR"/>
        </w:rPr>
        <w:t>’</w:t>
      </w:r>
      <w:r w:rsidR="00C30AFB" w:rsidRPr="00BF7C35">
        <w:rPr>
          <w:rFonts w:eastAsia="Times New Roman"/>
          <w:lang w:val="fr-FR"/>
        </w:rPr>
        <w:t>ordre du jour provisoire de la réunion correspondante. Dans la mesure du possible, ces documents seront mis à disposition sur le site Web susmentionné.</w:t>
      </w:r>
    </w:p>
    <w:p w:rsidR="00BF7CAB" w:rsidRPr="00BF7CAB" w:rsidRDefault="00BF7CAB" w:rsidP="00BF7CAB">
      <w:pPr>
        <w:pStyle w:val="SingleTxt"/>
        <w:spacing w:after="0" w:line="120" w:lineRule="exact"/>
        <w:rPr>
          <w:rFonts w:eastAsia="Times New Roman"/>
          <w:sz w:val="10"/>
          <w:lang w:val="fr-FR"/>
        </w:rPr>
      </w:pPr>
    </w:p>
    <w:p w:rsidR="00BF7CAB" w:rsidRPr="00BF7CAB" w:rsidRDefault="00BF7CAB" w:rsidP="00BF7CAB">
      <w:pPr>
        <w:pStyle w:val="SingleTxt"/>
        <w:spacing w:after="0" w:line="120" w:lineRule="exact"/>
        <w:rPr>
          <w:rFonts w:eastAsia="Times New Roman"/>
          <w:sz w:val="10"/>
          <w:lang w:val="fr-FR"/>
        </w:rPr>
      </w:pPr>
    </w:p>
    <w:p w:rsidR="00C30AFB" w:rsidRDefault="00C30AFB" w:rsidP="00BF7CA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tab/>
      </w:r>
      <w:r w:rsidRPr="00BF7C35">
        <w:rPr>
          <w:lang w:val="fr-FR"/>
        </w:rPr>
        <w:tab/>
        <w:t>Chapitre III</w:t>
      </w:r>
    </w:p>
    <w:p w:rsidR="00BF7CAB" w:rsidRPr="00BF7CAB" w:rsidRDefault="00BF7CAB" w:rsidP="00BF7CAB">
      <w:pPr>
        <w:pStyle w:val="SingleTxt"/>
        <w:spacing w:after="0" w:line="120" w:lineRule="exact"/>
        <w:rPr>
          <w:sz w:val="10"/>
          <w:lang w:val="fr-FR"/>
        </w:rPr>
      </w:pPr>
    </w:p>
    <w:p w:rsidR="00BF7CAB" w:rsidRPr="00BF7CAB" w:rsidRDefault="00BF7CAB" w:rsidP="00BF7CAB">
      <w:pPr>
        <w:pStyle w:val="SingleTxt"/>
        <w:spacing w:after="0" w:line="120" w:lineRule="exact"/>
        <w:rPr>
          <w:sz w:val="10"/>
          <w:lang w:val="fr-FR"/>
        </w:rPr>
      </w:pPr>
    </w:p>
    <w:p w:rsidR="00C30AFB" w:rsidRDefault="00C30AFB" w:rsidP="00BF7CAB">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BF7C35">
        <w:rPr>
          <w:lang w:val="fr-FR"/>
        </w:rPr>
        <w:tab/>
      </w:r>
      <w:r w:rsidRPr="00BF7C35">
        <w:rPr>
          <w:lang w:val="fr-FR"/>
        </w:rPr>
        <w:tab/>
        <w:t>Ordre du jour</w:t>
      </w:r>
    </w:p>
    <w:p w:rsidR="00BF7CAB" w:rsidRPr="00BF7CAB" w:rsidRDefault="00BF7CAB" w:rsidP="00BF7CAB">
      <w:pPr>
        <w:pStyle w:val="SingleTxt"/>
        <w:spacing w:after="0" w:line="120" w:lineRule="exact"/>
        <w:rPr>
          <w:sz w:val="10"/>
          <w:lang w:val="fr-FR"/>
        </w:rPr>
      </w:pPr>
    </w:p>
    <w:p w:rsidR="00BF7CAB" w:rsidRPr="00BF7CAB" w:rsidRDefault="00BF7CAB" w:rsidP="00BF7CAB">
      <w:pPr>
        <w:pStyle w:val="SingleTxt"/>
        <w:spacing w:after="0" w:line="120" w:lineRule="exact"/>
        <w:rPr>
          <w:sz w:val="10"/>
          <w:lang w:val="fr-FR"/>
        </w:rPr>
      </w:pPr>
    </w:p>
    <w:p w:rsidR="00C30AFB" w:rsidRDefault="00C30AFB" w:rsidP="00BF7CAB">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BF7C35">
        <w:rPr>
          <w:lang w:val="fr-FR"/>
        </w:rPr>
        <w:tab/>
      </w:r>
      <w:r w:rsidRPr="00BF7C35">
        <w:rPr>
          <w:lang w:val="fr-FR"/>
        </w:rPr>
        <w:tab/>
        <w:t>Article 5</w:t>
      </w:r>
    </w:p>
    <w:p w:rsidR="00BF7CAB" w:rsidRPr="00BF7CAB" w:rsidRDefault="00BF7CAB" w:rsidP="00BF7CAB">
      <w:pPr>
        <w:pStyle w:val="SingleTxt"/>
        <w:spacing w:after="0" w:line="120" w:lineRule="exact"/>
        <w:rPr>
          <w:sz w:val="10"/>
          <w:lang w:val="fr-FR"/>
        </w:rPr>
      </w:pPr>
    </w:p>
    <w:p w:rsidR="00C30AFB" w:rsidRDefault="00BF7CAB" w:rsidP="00BF7CAB">
      <w:pPr>
        <w:pStyle w:val="SingleTxt"/>
        <w:rPr>
          <w:lang w:val="fr-FR"/>
        </w:rPr>
      </w:pPr>
      <w:r>
        <w:rPr>
          <w:lang w:val="fr-FR"/>
        </w:rPr>
        <w:tab/>
      </w:r>
      <w:r w:rsidR="00C30AFB" w:rsidRPr="00BF7C35">
        <w:rPr>
          <w:lang w:val="fr-FR"/>
        </w:rPr>
        <w:t>L</w:t>
      </w:r>
      <w:r w:rsidR="00C30AFB">
        <w:rPr>
          <w:lang w:val="fr-FR"/>
        </w:rPr>
        <w:t>’</w:t>
      </w:r>
      <w:r w:rsidR="00C30AFB" w:rsidRPr="00BF7C35">
        <w:rPr>
          <w:lang w:val="fr-FR"/>
        </w:rPr>
        <w:t>ordre du jour provisoire de chaque session est établi par le secrétariat en concertation avec le (la) Président(e) ou le (la) Vice-Président(e) (agissant en tant que Président(e)).</w:t>
      </w:r>
    </w:p>
    <w:p w:rsidR="00BF7CAB" w:rsidRPr="00BF7CAB" w:rsidRDefault="00BF7CAB" w:rsidP="00BF7CAB">
      <w:pPr>
        <w:pStyle w:val="SingleTxt"/>
        <w:spacing w:after="0" w:line="120" w:lineRule="exact"/>
        <w:rPr>
          <w:sz w:val="10"/>
          <w:lang w:val="fr-FR"/>
        </w:rPr>
      </w:pPr>
    </w:p>
    <w:p w:rsidR="00C30AFB" w:rsidRDefault="00C30AFB" w:rsidP="00BF7CA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tab/>
      </w:r>
      <w:r w:rsidRPr="00BF7C35">
        <w:rPr>
          <w:lang w:val="fr-FR"/>
        </w:rPr>
        <w:tab/>
        <w:t>Article 6</w:t>
      </w:r>
    </w:p>
    <w:p w:rsidR="00BF7CAB" w:rsidRPr="00BF7CAB" w:rsidRDefault="00BF7CAB" w:rsidP="00BF7CAB">
      <w:pPr>
        <w:pStyle w:val="SingleTxt"/>
        <w:spacing w:after="0" w:line="120" w:lineRule="exact"/>
        <w:rPr>
          <w:sz w:val="10"/>
          <w:lang w:val="fr-FR"/>
        </w:rPr>
      </w:pPr>
    </w:p>
    <w:p w:rsidR="00C30AFB" w:rsidRPr="00BF7C35" w:rsidRDefault="00BF7CAB" w:rsidP="00BF7CAB">
      <w:pPr>
        <w:pStyle w:val="SingleTxt"/>
        <w:rPr>
          <w:lang w:val="fr-FR"/>
        </w:rPr>
      </w:pPr>
      <w:r>
        <w:rPr>
          <w:lang w:val="fr-FR"/>
        </w:rPr>
        <w:tab/>
      </w:r>
      <w:r w:rsidR="00C30AFB" w:rsidRPr="00BF7C35">
        <w:rPr>
          <w:lang w:val="fr-FR"/>
        </w:rPr>
        <w:t>L</w:t>
      </w:r>
      <w:r w:rsidR="00C30AFB">
        <w:rPr>
          <w:lang w:val="fr-FR"/>
        </w:rPr>
        <w:t>’</w:t>
      </w:r>
      <w:r w:rsidR="00C30AFB" w:rsidRPr="00BF7C35">
        <w:rPr>
          <w:lang w:val="fr-FR"/>
        </w:rPr>
        <w:t>ordre du jour provisoire d</w:t>
      </w:r>
      <w:r w:rsidR="00C30AFB">
        <w:rPr>
          <w:lang w:val="fr-FR"/>
        </w:rPr>
        <w:t>’</w:t>
      </w:r>
      <w:r w:rsidR="00C30AFB" w:rsidRPr="00BF7C35">
        <w:rPr>
          <w:lang w:val="fr-FR"/>
        </w:rPr>
        <w:t>une session peut comprendre</w:t>
      </w:r>
      <w:r>
        <w:rPr>
          <w:lang w:val="fr-FR"/>
        </w:rPr>
        <w:t> </w:t>
      </w:r>
      <w:r w:rsidR="00C30AFB" w:rsidRPr="00BF7C35">
        <w:rPr>
          <w:lang w:val="fr-FR"/>
        </w:rPr>
        <w:t>:</w:t>
      </w:r>
    </w:p>
    <w:p w:rsidR="00C30AFB" w:rsidRPr="00BF7C35" w:rsidRDefault="00BF7CAB" w:rsidP="00BF7CAB">
      <w:pPr>
        <w:pStyle w:val="SingleTxt"/>
        <w:rPr>
          <w:lang w:val="fr-FR"/>
        </w:rPr>
      </w:pPr>
      <w:r>
        <w:rPr>
          <w:lang w:val="fr-FR"/>
        </w:rPr>
        <w:tab/>
      </w:r>
      <w:r w:rsidR="00C30AFB" w:rsidRPr="00BF7C35">
        <w:rPr>
          <w:lang w:val="fr-FR"/>
        </w:rPr>
        <w:t>a)</w:t>
      </w:r>
      <w:r w:rsidR="00C30AFB" w:rsidRPr="00BF7C35">
        <w:rPr>
          <w:lang w:val="fr-FR"/>
        </w:rPr>
        <w:tab/>
        <w:t>Des questions découlant de sessions précédentes;</w:t>
      </w:r>
    </w:p>
    <w:p w:rsidR="00C30AFB" w:rsidRPr="00BF7C35" w:rsidRDefault="00BF7CAB" w:rsidP="00BF7CAB">
      <w:pPr>
        <w:pStyle w:val="SingleTxt"/>
        <w:rPr>
          <w:rFonts w:eastAsia="Times New Roman"/>
          <w:lang w:val="fr-FR"/>
        </w:rPr>
      </w:pPr>
      <w:r>
        <w:rPr>
          <w:rFonts w:eastAsia="Times New Roman"/>
          <w:lang w:val="fr-FR"/>
        </w:rPr>
        <w:tab/>
      </w:r>
      <w:r w:rsidR="00C30AFB" w:rsidRPr="00BF7C35">
        <w:rPr>
          <w:rFonts w:eastAsia="Times New Roman"/>
          <w:lang w:val="fr-FR"/>
        </w:rPr>
        <w:t>b)</w:t>
      </w:r>
      <w:r w:rsidR="00C30AFB" w:rsidRPr="00BF7C35">
        <w:rPr>
          <w:rFonts w:eastAsia="Times New Roman"/>
          <w:lang w:val="fr-FR"/>
        </w:rPr>
        <w:tab/>
        <w:t xml:space="preserve">Les questions </w:t>
      </w:r>
      <w:r w:rsidR="00C30AFB" w:rsidRPr="00BF7CAB">
        <w:rPr>
          <w:lang w:val="fr-FR"/>
        </w:rPr>
        <w:t>prévues</w:t>
      </w:r>
      <w:r w:rsidR="00C30AFB" w:rsidRPr="00BF7C35">
        <w:rPr>
          <w:rFonts w:eastAsia="Times New Roman"/>
          <w:lang w:val="fr-FR"/>
        </w:rPr>
        <w:t xml:space="preserve"> dans le programme de travail convenu;</w:t>
      </w:r>
    </w:p>
    <w:p w:rsidR="00C30AFB" w:rsidRPr="00BF7C35" w:rsidRDefault="00BF7CAB" w:rsidP="00BF7CAB">
      <w:pPr>
        <w:pStyle w:val="SingleTxt"/>
        <w:rPr>
          <w:rFonts w:eastAsia="Times New Roman"/>
          <w:lang w:val="fr-FR"/>
        </w:rPr>
      </w:pPr>
      <w:r>
        <w:rPr>
          <w:rFonts w:eastAsia="Times New Roman"/>
          <w:lang w:val="fr-FR"/>
        </w:rPr>
        <w:tab/>
      </w:r>
      <w:r w:rsidR="00C30AFB" w:rsidRPr="00BF7C35">
        <w:rPr>
          <w:rFonts w:eastAsia="Times New Roman"/>
          <w:lang w:val="fr-FR"/>
        </w:rPr>
        <w:t>c)</w:t>
      </w:r>
      <w:r w:rsidR="00C30AFB" w:rsidRPr="00BF7C35">
        <w:rPr>
          <w:rFonts w:eastAsia="Times New Roman"/>
          <w:lang w:val="fr-FR"/>
        </w:rPr>
        <w:tab/>
        <w:t>Des questions proposées par la CEE, le Comité exécutif ou le Comité des transports intérieurs;</w:t>
      </w:r>
    </w:p>
    <w:p w:rsidR="00C30AFB" w:rsidRPr="00BF7C35" w:rsidRDefault="00BF7CAB" w:rsidP="00BF7CAB">
      <w:pPr>
        <w:pStyle w:val="SingleTxt"/>
        <w:rPr>
          <w:rFonts w:eastAsia="Times New Roman"/>
          <w:lang w:val="fr-FR"/>
        </w:rPr>
      </w:pPr>
      <w:r>
        <w:rPr>
          <w:rFonts w:eastAsia="Times New Roman"/>
          <w:lang w:val="fr-FR"/>
        </w:rPr>
        <w:tab/>
      </w:r>
      <w:r w:rsidR="00C30AFB" w:rsidRPr="00BF7C35">
        <w:rPr>
          <w:rFonts w:eastAsia="Times New Roman"/>
          <w:lang w:val="fr-FR"/>
        </w:rPr>
        <w:t>d)</w:t>
      </w:r>
      <w:r w:rsidR="00C30AFB" w:rsidRPr="00BF7C35">
        <w:rPr>
          <w:rFonts w:eastAsia="Times New Roman"/>
          <w:lang w:val="fr-FR"/>
        </w:rPr>
        <w:tab/>
        <w:t>Toute question proposée par un participant pour autant qu</w:t>
      </w:r>
      <w:r w:rsidR="00C30AFB">
        <w:rPr>
          <w:rFonts w:eastAsia="Times New Roman"/>
          <w:lang w:val="fr-FR"/>
        </w:rPr>
        <w:t>’</w:t>
      </w:r>
      <w:r w:rsidR="00C30AFB" w:rsidRPr="00BF7C35">
        <w:rPr>
          <w:rFonts w:eastAsia="Times New Roman"/>
          <w:lang w:val="fr-FR"/>
        </w:rPr>
        <w:t>elle relève du mandat du Groupe de travail;</w:t>
      </w:r>
    </w:p>
    <w:p w:rsidR="00C30AFB" w:rsidRDefault="00BF7CAB" w:rsidP="00BF7CAB">
      <w:pPr>
        <w:pStyle w:val="SingleTxt"/>
        <w:rPr>
          <w:rFonts w:eastAsia="Times New Roman"/>
          <w:lang w:val="fr-FR"/>
        </w:rPr>
      </w:pPr>
      <w:r>
        <w:rPr>
          <w:rFonts w:eastAsia="Times New Roman"/>
          <w:lang w:val="fr-FR"/>
        </w:rPr>
        <w:lastRenderedPageBreak/>
        <w:tab/>
      </w:r>
      <w:r w:rsidR="00C30AFB" w:rsidRPr="00BF7C35">
        <w:rPr>
          <w:rFonts w:eastAsia="Times New Roman"/>
          <w:lang w:val="fr-FR"/>
        </w:rPr>
        <w:t>e)</w:t>
      </w:r>
      <w:r w:rsidR="00C30AFB" w:rsidRPr="00BF7C35">
        <w:rPr>
          <w:rFonts w:eastAsia="Times New Roman"/>
          <w:lang w:val="fr-FR"/>
        </w:rPr>
        <w:tab/>
        <w:t>Toute autre question que le (la) Président(e) ou le secrétariat jugent juge opportun d</w:t>
      </w:r>
      <w:r w:rsidR="00C30AFB">
        <w:rPr>
          <w:rFonts w:eastAsia="Times New Roman"/>
          <w:lang w:val="fr-FR"/>
        </w:rPr>
        <w:t>’</w:t>
      </w:r>
      <w:r w:rsidR="00C30AFB" w:rsidRPr="00BF7C35">
        <w:rPr>
          <w:rFonts w:eastAsia="Times New Roman"/>
          <w:lang w:val="fr-FR"/>
        </w:rPr>
        <w:t>y faire figurer.</w:t>
      </w:r>
    </w:p>
    <w:p w:rsidR="00BF7CAB" w:rsidRPr="00BF7CAB" w:rsidRDefault="00BF7CAB" w:rsidP="00BF7CAB">
      <w:pPr>
        <w:pStyle w:val="SingleTxt"/>
        <w:spacing w:after="0" w:line="120" w:lineRule="exact"/>
        <w:rPr>
          <w:rFonts w:eastAsia="Times New Roman"/>
          <w:sz w:val="10"/>
          <w:lang w:val="fr-FR"/>
        </w:rPr>
      </w:pPr>
    </w:p>
    <w:p w:rsidR="00C30AFB" w:rsidRDefault="00C30AFB" w:rsidP="00BF7CA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tab/>
      </w:r>
      <w:r w:rsidRPr="00BF7C35">
        <w:rPr>
          <w:lang w:val="fr-FR"/>
        </w:rPr>
        <w:tab/>
        <w:t>Article 7</w:t>
      </w:r>
    </w:p>
    <w:p w:rsidR="00BF7CAB" w:rsidRPr="00BF7CAB" w:rsidRDefault="00BF7CAB" w:rsidP="00BF7CAB">
      <w:pPr>
        <w:pStyle w:val="SingleTxt"/>
        <w:spacing w:after="0" w:line="120" w:lineRule="exact"/>
        <w:rPr>
          <w:sz w:val="10"/>
          <w:lang w:val="fr-FR"/>
        </w:rPr>
      </w:pPr>
    </w:p>
    <w:p w:rsidR="00C30AFB" w:rsidRDefault="00BF7CAB" w:rsidP="00BF7CAB">
      <w:pPr>
        <w:pStyle w:val="SingleTxt"/>
        <w:rPr>
          <w:lang w:val="fr-FR"/>
        </w:rPr>
      </w:pPr>
      <w:r>
        <w:rPr>
          <w:lang w:val="fr-FR"/>
        </w:rPr>
        <w:tab/>
      </w:r>
      <w:r w:rsidR="00C30AFB" w:rsidRPr="00BF7C35">
        <w:rPr>
          <w:lang w:val="fr-FR"/>
        </w:rPr>
        <w:t>Le premier point de l</w:t>
      </w:r>
      <w:r w:rsidR="00C30AFB">
        <w:rPr>
          <w:lang w:val="fr-FR"/>
        </w:rPr>
        <w:t>’</w:t>
      </w:r>
      <w:r w:rsidR="00C30AFB" w:rsidRPr="00BF7C35">
        <w:rPr>
          <w:lang w:val="fr-FR"/>
        </w:rPr>
        <w:t>ordre du jour provisoire de chaque session est l</w:t>
      </w:r>
      <w:r w:rsidR="00C30AFB">
        <w:rPr>
          <w:lang w:val="fr-FR"/>
        </w:rPr>
        <w:t>’</w:t>
      </w:r>
      <w:r w:rsidR="00C30AFB" w:rsidRPr="00BF7C35">
        <w:rPr>
          <w:lang w:val="fr-FR"/>
        </w:rPr>
        <w:t>adoption de l</w:t>
      </w:r>
      <w:r w:rsidR="00C30AFB">
        <w:rPr>
          <w:lang w:val="fr-FR"/>
        </w:rPr>
        <w:t>’</w:t>
      </w:r>
      <w:r w:rsidR="00C30AFB" w:rsidRPr="00BF7C35">
        <w:rPr>
          <w:lang w:val="fr-FR"/>
        </w:rPr>
        <w:t>ordre du jour.</w:t>
      </w:r>
    </w:p>
    <w:p w:rsidR="00BF7CAB" w:rsidRPr="00BF7CAB" w:rsidRDefault="00BF7CAB" w:rsidP="00BF7CAB">
      <w:pPr>
        <w:pStyle w:val="SingleTxt"/>
        <w:spacing w:after="0" w:line="120" w:lineRule="exact"/>
        <w:rPr>
          <w:sz w:val="10"/>
          <w:lang w:val="fr-FR"/>
        </w:rPr>
      </w:pPr>
    </w:p>
    <w:p w:rsidR="00C30AFB" w:rsidRDefault="00C30AFB" w:rsidP="00BF7CA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tab/>
      </w:r>
      <w:r w:rsidRPr="00BF7C35">
        <w:rPr>
          <w:lang w:val="fr-FR"/>
        </w:rPr>
        <w:tab/>
        <w:t>Article 8</w:t>
      </w:r>
    </w:p>
    <w:p w:rsidR="00BF7CAB" w:rsidRPr="00BF7CAB" w:rsidRDefault="00BF7CAB" w:rsidP="00BF7CAB">
      <w:pPr>
        <w:pStyle w:val="SingleTxt"/>
        <w:spacing w:after="0" w:line="120" w:lineRule="exact"/>
        <w:rPr>
          <w:sz w:val="10"/>
          <w:lang w:val="fr-FR"/>
        </w:rPr>
      </w:pPr>
    </w:p>
    <w:p w:rsidR="00C30AFB" w:rsidRDefault="00BF7CAB" w:rsidP="00BF7CAB">
      <w:pPr>
        <w:pStyle w:val="SingleTxt"/>
        <w:rPr>
          <w:lang w:val="fr-FR"/>
        </w:rPr>
      </w:pPr>
      <w:r>
        <w:rPr>
          <w:lang w:val="fr-FR"/>
        </w:rPr>
        <w:tab/>
      </w:r>
      <w:r w:rsidR="00C30AFB" w:rsidRPr="00BF7C35">
        <w:rPr>
          <w:lang w:val="fr-FR"/>
        </w:rPr>
        <w:t>Le WP.30 peut à tout moment, au cours de la session, modifier l</w:t>
      </w:r>
      <w:r w:rsidR="00C30AFB">
        <w:rPr>
          <w:lang w:val="fr-FR"/>
        </w:rPr>
        <w:t>’</w:t>
      </w:r>
      <w:r w:rsidR="00C30AFB" w:rsidRPr="00BF7C35">
        <w:rPr>
          <w:lang w:val="fr-FR"/>
        </w:rPr>
        <w:t>ordre du jour ou l</w:t>
      </w:r>
      <w:r w:rsidR="00C30AFB">
        <w:rPr>
          <w:lang w:val="fr-FR"/>
        </w:rPr>
        <w:t>’</w:t>
      </w:r>
      <w:r w:rsidR="00C30AFB" w:rsidRPr="00BF7C35">
        <w:rPr>
          <w:lang w:val="fr-FR"/>
        </w:rPr>
        <w:t>ordre des questions qui y sont inscrites.</w:t>
      </w:r>
    </w:p>
    <w:p w:rsidR="00BF7CAB" w:rsidRPr="00BF7CAB" w:rsidRDefault="00BF7CAB" w:rsidP="00BF7CAB">
      <w:pPr>
        <w:pStyle w:val="SingleTxt"/>
        <w:spacing w:after="0" w:line="120" w:lineRule="exact"/>
        <w:rPr>
          <w:sz w:val="10"/>
          <w:lang w:val="fr-FR"/>
        </w:rPr>
      </w:pPr>
    </w:p>
    <w:p w:rsidR="00BF7CAB" w:rsidRPr="00BF7CAB" w:rsidRDefault="00BF7CAB" w:rsidP="00BF7CAB">
      <w:pPr>
        <w:pStyle w:val="SingleTxt"/>
        <w:spacing w:after="0" w:line="120" w:lineRule="exact"/>
        <w:rPr>
          <w:sz w:val="10"/>
          <w:lang w:val="fr-FR"/>
        </w:rPr>
      </w:pPr>
    </w:p>
    <w:p w:rsidR="00C30AFB" w:rsidRDefault="00C30AFB" w:rsidP="00BF7CA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tab/>
      </w:r>
      <w:r w:rsidRPr="00BF7C35">
        <w:rPr>
          <w:lang w:val="fr-FR"/>
        </w:rPr>
        <w:tab/>
        <w:t>Chapitre IV</w:t>
      </w:r>
    </w:p>
    <w:p w:rsidR="00BF7CAB" w:rsidRPr="00BF7CAB" w:rsidRDefault="00BF7CAB" w:rsidP="00BF7CAB">
      <w:pPr>
        <w:pStyle w:val="SingleTxt"/>
        <w:spacing w:after="0" w:line="120" w:lineRule="exact"/>
        <w:rPr>
          <w:sz w:val="10"/>
          <w:lang w:val="fr-FR"/>
        </w:rPr>
      </w:pPr>
    </w:p>
    <w:p w:rsidR="00BF7CAB" w:rsidRPr="00BF7CAB" w:rsidRDefault="00BF7CAB" w:rsidP="00BF7CAB">
      <w:pPr>
        <w:pStyle w:val="SingleTxt"/>
        <w:spacing w:after="0" w:line="120" w:lineRule="exact"/>
        <w:rPr>
          <w:sz w:val="10"/>
          <w:lang w:val="fr-FR"/>
        </w:rPr>
      </w:pPr>
    </w:p>
    <w:p w:rsidR="00C30AFB" w:rsidRDefault="00C30AFB" w:rsidP="00BF7CA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tab/>
      </w:r>
      <w:r w:rsidRPr="00BF7C35">
        <w:rPr>
          <w:lang w:val="fr-FR"/>
        </w:rPr>
        <w:tab/>
        <w:t>Représentation</w:t>
      </w:r>
    </w:p>
    <w:p w:rsidR="00BF7CAB" w:rsidRPr="00BF7CAB" w:rsidRDefault="00BF7CAB" w:rsidP="00BF7CAB">
      <w:pPr>
        <w:pStyle w:val="SingleTxt"/>
        <w:spacing w:after="0" w:line="120" w:lineRule="exact"/>
        <w:rPr>
          <w:sz w:val="10"/>
          <w:lang w:val="fr-FR"/>
        </w:rPr>
      </w:pPr>
    </w:p>
    <w:p w:rsidR="00BF7CAB" w:rsidRPr="00BF7CAB" w:rsidRDefault="00BF7CAB" w:rsidP="00BF7CAB">
      <w:pPr>
        <w:pStyle w:val="SingleTxt"/>
        <w:spacing w:after="0" w:line="120" w:lineRule="exact"/>
        <w:rPr>
          <w:sz w:val="10"/>
          <w:lang w:val="fr-FR"/>
        </w:rPr>
      </w:pPr>
    </w:p>
    <w:p w:rsidR="00C30AFB" w:rsidRDefault="00C30AFB" w:rsidP="00BF7CA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tab/>
      </w:r>
      <w:r w:rsidRPr="00BF7C35">
        <w:rPr>
          <w:lang w:val="fr-FR"/>
        </w:rPr>
        <w:tab/>
        <w:t>Article 9</w:t>
      </w:r>
    </w:p>
    <w:p w:rsidR="00BF7CAB" w:rsidRPr="00BF7CAB" w:rsidRDefault="00BF7CAB" w:rsidP="00BF7CAB">
      <w:pPr>
        <w:pStyle w:val="SingleTxt"/>
        <w:spacing w:after="0" w:line="120" w:lineRule="exact"/>
        <w:rPr>
          <w:sz w:val="10"/>
          <w:lang w:val="fr-FR"/>
        </w:rPr>
      </w:pPr>
    </w:p>
    <w:p w:rsidR="00C30AFB" w:rsidRDefault="00BF7CAB" w:rsidP="00BF7CAB">
      <w:pPr>
        <w:pStyle w:val="SingleTxt"/>
        <w:rPr>
          <w:lang w:val="fr-FR"/>
        </w:rPr>
      </w:pPr>
      <w:r>
        <w:rPr>
          <w:lang w:val="fr-FR"/>
        </w:rPr>
        <w:tab/>
      </w:r>
      <w:r w:rsidR="00C30AFB" w:rsidRPr="00BF7C35">
        <w:rPr>
          <w:lang w:val="fr-FR"/>
        </w:rPr>
        <w:t>Chaque participant, tel que défini à l</w:t>
      </w:r>
      <w:r w:rsidR="00C30AFB">
        <w:rPr>
          <w:lang w:val="fr-FR"/>
        </w:rPr>
        <w:t>’</w:t>
      </w:r>
      <w:r w:rsidR="00C30AFB" w:rsidRPr="00BF7C35">
        <w:rPr>
          <w:lang w:val="fr-FR"/>
        </w:rPr>
        <w:t>article premier, est représenté aux sessions du WP.30 par un(e) représentant(e) accrédité(e).</w:t>
      </w:r>
    </w:p>
    <w:p w:rsidR="001553DE" w:rsidRPr="001553DE" w:rsidRDefault="001553DE" w:rsidP="001553DE">
      <w:pPr>
        <w:pStyle w:val="SingleTxt"/>
        <w:spacing w:after="0" w:line="120" w:lineRule="exact"/>
        <w:rPr>
          <w:sz w:val="10"/>
          <w:lang w:val="fr-FR"/>
        </w:rPr>
      </w:pPr>
    </w:p>
    <w:p w:rsidR="00C30AFB" w:rsidRDefault="00C30AFB" w:rsidP="001553D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tab/>
      </w:r>
      <w:r w:rsidRPr="00BF7C35">
        <w:rPr>
          <w:lang w:val="fr-FR"/>
        </w:rPr>
        <w:tab/>
        <w:t>Article 10</w:t>
      </w:r>
    </w:p>
    <w:p w:rsidR="001553DE" w:rsidRPr="001553DE" w:rsidRDefault="001553DE" w:rsidP="001553DE">
      <w:pPr>
        <w:pStyle w:val="SingleTxt"/>
        <w:spacing w:after="0" w:line="120" w:lineRule="exact"/>
        <w:rPr>
          <w:sz w:val="10"/>
          <w:lang w:val="fr-FR"/>
        </w:rPr>
      </w:pPr>
    </w:p>
    <w:p w:rsidR="00C30AFB" w:rsidRDefault="001553DE" w:rsidP="001553DE">
      <w:pPr>
        <w:pStyle w:val="SingleTxt"/>
        <w:rPr>
          <w:lang w:val="fr-FR"/>
        </w:rPr>
      </w:pPr>
      <w:r>
        <w:rPr>
          <w:lang w:val="fr-FR"/>
        </w:rPr>
        <w:tab/>
      </w:r>
      <w:r w:rsidR="00C30AFB" w:rsidRPr="00BF7C35">
        <w:rPr>
          <w:lang w:val="fr-FR"/>
        </w:rPr>
        <w:t>Le (La) représentant(e) peut se faire accompagner par des représentants suppléants, des conseillers ou des experts. En cas d</w:t>
      </w:r>
      <w:r w:rsidR="00C30AFB">
        <w:rPr>
          <w:lang w:val="fr-FR"/>
        </w:rPr>
        <w:t>’</w:t>
      </w:r>
      <w:r w:rsidR="00C30AFB" w:rsidRPr="00BF7C35">
        <w:rPr>
          <w:lang w:val="fr-FR"/>
        </w:rPr>
        <w:t>absence, le (la) représentant(e) peut se faire remplacer par un(e) représentant(e) suppléant(e).</w:t>
      </w:r>
    </w:p>
    <w:p w:rsidR="001553DE" w:rsidRPr="001553DE" w:rsidRDefault="001553DE" w:rsidP="001553DE">
      <w:pPr>
        <w:pStyle w:val="SingleTxt"/>
        <w:spacing w:after="0" w:line="120" w:lineRule="exact"/>
        <w:rPr>
          <w:sz w:val="10"/>
          <w:lang w:val="fr-FR"/>
        </w:rPr>
      </w:pPr>
    </w:p>
    <w:p w:rsidR="00C30AFB" w:rsidRDefault="00C30AFB" w:rsidP="001553D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tab/>
      </w:r>
      <w:r w:rsidRPr="00BF7C35">
        <w:rPr>
          <w:lang w:val="fr-FR"/>
        </w:rPr>
        <w:tab/>
        <w:t>Article 11</w:t>
      </w:r>
    </w:p>
    <w:p w:rsidR="001553DE" w:rsidRPr="001553DE" w:rsidRDefault="001553DE" w:rsidP="001553DE">
      <w:pPr>
        <w:pStyle w:val="SingleTxt"/>
        <w:spacing w:after="0" w:line="120" w:lineRule="exact"/>
        <w:rPr>
          <w:sz w:val="10"/>
          <w:lang w:val="fr-FR"/>
        </w:rPr>
      </w:pPr>
    </w:p>
    <w:p w:rsidR="00C30AFB" w:rsidRPr="00BF7C35" w:rsidRDefault="001553DE" w:rsidP="001553DE">
      <w:pPr>
        <w:pStyle w:val="SingleTxt"/>
        <w:rPr>
          <w:lang w:val="fr-FR"/>
        </w:rPr>
      </w:pPr>
      <w:r>
        <w:rPr>
          <w:lang w:val="fr-FR"/>
        </w:rPr>
        <w:tab/>
      </w:r>
      <w:r w:rsidR="00C30AFB" w:rsidRPr="00BF7C35">
        <w:rPr>
          <w:lang w:val="fr-FR"/>
        </w:rPr>
        <w:t>a)</w:t>
      </w:r>
      <w:r w:rsidR="00C30AFB" w:rsidRPr="00BF7C35">
        <w:rPr>
          <w:lang w:val="fr-FR"/>
        </w:rPr>
        <w:tab/>
        <w:t>Chaque participant doit communiquer au secrétariat de la CEE les noms de ses représentants, représentants suppléants, conseillers et experts au plus tard une semaine avant l</w:t>
      </w:r>
      <w:r w:rsidR="00C30AFB">
        <w:rPr>
          <w:lang w:val="fr-FR"/>
        </w:rPr>
        <w:t>’</w:t>
      </w:r>
      <w:r w:rsidR="00C30AFB" w:rsidRPr="00BF7C35">
        <w:rPr>
          <w:lang w:val="fr-FR"/>
        </w:rPr>
        <w:t>ouverture de la session.</w:t>
      </w:r>
    </w:p>
    <w:p w:rsidR="00C30AFB" w:rsidRPr="00BF7C35" w:rsidRDefault="001553DE" w:rsidP="001553DE">
      <w:pPr>
        <w:pStyle w:val="SingleTxt"/>
        <w:rPr>
          <w:rFonts w:eastAsia="Times New Roman"/>
          <w:lang w:val="fr-FR"/>
        </w:rPr>
      </w:pPr>
      <w:r>
        <w:rPr>
          <w:rFonts w:eastAsia="Times New Roman"/>
          <w:lang w:val="fr-FR"/>
        </w:rPr>
        <w:tab/>
      </w:r>
      <w:r w:rsidR="00C30AFB" w:rsidRPr="00BF7C35">
        <w:rPr>
          <w:rFonts w:eastAsia="Times New Roman"/>
          <w:lang w:val="fr-FR"/>
        </w:rPr>
        <w:t>b)</w:t>
      </w:r>
      <w:r w:rsidR="00C30AFB" w:rsidRPr="00BF7C35">
        <w:rPr>
          <w:rFonts w:eastAsia="Times New Roman"/>
          <w:lang w:val="fr-FR"/>
        </w:rPr>
        <w:tab/>
        <w:t>Une liste provisoire des personnes devant participer à la session est établie par le secrétariat et communiquée aux missions permanentes des pays participants auprès de l</w:t>
      </w:r>
      <w:r w:rsidR="00C30AFB">
        <w:rPr>
          <w:rFonts w:eastAsia="Times New Roman"/>
          <w:lang w:val="fr-FR"/>
        </w:rPr>
        <w:t>’</w:t>
      </w:r>
      <w:r w:rsidR="00C30AFB" w:rsidRPr="00BF7C35">
        <w:rPr>
          <w:rFonts w:eastAsia="Times New Roman"/>
          <w:lang w:val="fr-FR"/>
        </w:rPr>
        <w:t>Office des Nations Unies à Genève deux jours ouvrables avant l</w:t>
      </w:r>
      <w:r w:rsidR="00C30AFB">
        <w:rPr>
          <w:rFonts w:eastAsia="Times New Roman"/>
          <w:lang w:val="fr-FR"/>
        </w:rPr>
        <w:t>’</w:t>
      </w:r>
      <w:r w:rsidR="00C30AFB" w:rsidRPr="00BF7C35">
        <w:rPr>
          <w:rFonts w:eastAsia="Times New Roman"/>
          <w:lang w:val="fr-FR"/>
        </w:rPr>
        <w:t>ouverture de la session.</w:t>
      </w:r>
    </w:p>
    <w:p w:rsidR="00C30AFB" w:rsidRDefault="001553DE" w:rsidP="001553DE">
      <w:pPr>
        <w:pStyle w:val="SingleTxt"/>
        <w:rPr>
          <w:rFonts w:eastAsia="Times New Roman"/>
          <w:lang w:val="fr-FR"/>
        </w:rPr>
      </w:pPr>
      <w:r>
        <w:rPr>
          <w:rFonts w:eastAsia="Times New Roman"/>
          <w:lang w:val="fr-FR"/>
        </w:rPr>
        <w:tab/>
      </w:r>
      <w:r w:rsidR="00C30AFB" w:rsidRPr="00BF7C35">
        <w:rPr>
          <w:rFonts w:eastAsia="Times New Roman"/>
          <w:lang w:val="fr-FR"/>
        </w:rPr>
        <w:t>c)</w:t>
      </w:r>
      <w:r w:rsidR="00C30AFB" w:rsidRPr="00BF7C35">
        <w:rPr>
          <w:rFonts w:eastAsia="Times New Roman"/>
          <w:lang w:val="fr-FR"/>
        </w:rPr>
        <w:tab/>
        <w:t>Une liste nominative de l</w:t>
      </w:r>
      <w:r w:rsidR="00C30AFB">
        <w:rPr>
          <w:rFonts w:eastAsia="Times New Roman"/>
          <w:lang w:val="fr-FR"/>
        </w:rPr>
        <w:t>’</w:t>
      </w:r>
      <w:r w:rsidR="00C30AFB" w:rsidRPr="00BF7C35">
        <w:rPr>
          <w:rFonts w:eastAsia="Times New Roman"/>
          <w:lang w:val="fr-FR"/>
        </w:rPr>
        <w:t>ensemble des personnes ayant participé à la session est établie par le secrétariat et communiquée aux intéressés à la fin de la session.</w:t>
      </w:r>
    </w:p>
    <w:p w:rsidR="001553DE" w:rsidRPr="001553DE" w:rsidRDefault="001553DE" w:rsidP="001553DE">
      <w:pPr>
        <w:pStyle w:val="SingleTxt"/>
        <w:spacing w:after="0" w:line="120" w:lineRule="exact"/>
        <w:rPr>
          <w:rFonts w:eastAsia="Times New Roman"/>
          <w:sz w:val="10"/>
          <w:lang w:val="fr-FR"/>
        </w:rPr>
      </w:pPr>
    </w:p>
    <w:p w:rsidR="001553DE" w:rsidRPr="001553DE" w:rsidRDefault="001553DE" w:rsidP="001553DE">
      <w:pPr>
        <w:pStyle w:val="SingleTxt"/>
        <w:spacing w:after="0" w:line="120" w:lineRule="exact"/>
        <w:rPr>
          <w:rFonts w:eastAsia="Times New Roman"/>
          <w:sz w:val="10"/>
          <w:lang w:val="fr-FR"/>
        </w:rPr>
      </w:pPr>
    </w:p>
    <w:p w:rsidR="00C30AFB" w:rsidRDefault="00C30AFB" w:rsidP="001553DE">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BF7C35">
        <w:rPr>
          <w:lang w:val="fr-FR"/>
        </w:rPr>
        <w:tab/>
      </w:r>
      <w:r w:rsidRPr="00BF7C35">
        <w:rPr>
          <w:lang w:val="fr-FR"/>
        </w:rPr>
        <w:tab/>
        <w:t>Chapitre V</w:t>
      </w:r>
    </w:p>
    <w:p w:rsidR="001553DE" w:rsidRPr="001553DE" w:rsidRDefault="001553DE" w:rsidP="001553DE">
      <w:pPr>
        <w:pStyle w:val="SingleTxt"/>
        <w:spacing w:after="0" w:line="120" w:lineRule="exact"/>
        <w:rPr>
          <w:sz w:val="10"/>
          <w:lang w:val="fr-FR"/>
        </w:rPr>
      </w:pPr>
    </w:p>
    <w:p w:rsidR="001553DE" w:rsidRPr="001553DE" w:rsidRDefault="001553DE" w:rsidP="001553DE">
      <w:pPr>
        <w:pStyle w:val="SingleTxt"/>
        <w:spacing w:after="0" w:line="120" w:lineRule="exact"/>
        <w:rPr>
          <w:sz w:val="10"/>
          <w:lang w:val="fr-FR"/>
        </w:rPr>
      </w:pPr>
    </w:p>
    <w:p w:rsidR="00C30AFB" w:rsidRDefault="00C30AFB" w:rsidP="001553D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tab/>
      </w:r>
      <w:r w:rsidRPr="00BF7C35">
        <w:rPr>
          <w:lang w:val="fr-FR"/>
        </w:rPr>
        <w:tab/>
        <w:t>Bureau</w:t>
      </w:r>
    </w:p>
    <w:p w:rsidR="001553DE" w:rsidRPr="001553DE" w:rsidRDefault="001553DE" w:rsidP="001553DE">
      <w:pPr>
        <w:pStyle w:val="SingleTxt"/>
        <w:spacing w:after="0" w:line="120" w:lineRule="exact"/>
        <w:rPr>
          <w:sz w:val="10"/>
          <w:lang w:val="fr-FR"/>
        </w:rPr>
      </w:pPr>
    </w:p>
    <w:p w:rsidR="001553DE" w:rsidRPr="001553DE" w:rsidRDefault="001553DE" w:rsidP="001553DE">
      <w:pPr>
        <w:pStyle w:val="SingleTxt"/>
        <w:spacing w:after="0" w:line="120" w:lineRule="exact"/>
        <w:rPr>
          <w:sz w:val="10"/>
          <w:lang w:val="fr-FR"/>
        </w:rPr>
      </w:pPr>
    </w:p>
    <w:p w:rsidR="00C30AFB" w:rsidRDefault="00C30AFB" w:rsidP="001553D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tab/>
      </w:r>
      <w:r w:rsidRPr="00BF7C35">
        <w:rPr>
          <w:lang w:val="fr-FR"/>
        </w:rPr>
        <w:tab/>
        <w:t>Article 12</w:t>
      </w:r>
    </w:p>
    <w:p w:rsidR="001553DE" w:rsidRPr="001553DE" w:rsidRDefault="001553DE" w:rsidP="001553DE">
      <w:pPr>
        <w:pStyle w:val="SingleTxt"/>
        <w:spacing w:after="0" w:line="120" w:lineRule="exact"/>
        <w:rPr>
          <w:sz w:val="10"/>
          <w:lang w:val="fr-FR"/>
        </w:rPr>
      </w:pPr>
    </w:p>
    <w:p w:rsidR="00C30AFB" w:rsidRDefault="001553DE" w:rsidP="001553DE">
      <w:pPr>
        <w:pStyle w:val="SingleTxt"/>
        <w:rPr>
          <w:rFonts w:eastAsia="Times New Roman"/>
          <w:lang w:val="fr-FR"/>
        </w:rPr>
      </w:pPr>
      <w:r>
        <w:rPr>
          <w:rFonts w:eastAsia="Times New Roman"/>
          <w:lang w:val="fr-FR"/>
        </w:rPr>
        <w:tab/>
      </w:r>
      <w:r w:rsidR="00C30AFB" w:rsidRPr="00BF7C35">
        <w:rPr>
          <w:rFonts w:eastAsia="Times New Roman"/>
          <w:lang w:val="fr-FR"/>
        </w:rPr>
        <w:t>À la première réunion qu</w:t>
      </w:r>
      <w:r w:rsidR="00C30AFB">
        <w:rPr>
          <w:rFonts w:eastAsia="Times New Roman"/>
          <w:lang w:val="fr-FR"/>
        </w:rPr>
        <w:t>’</w:t>
      </w:r>
      <w:r w:rsidR="00C30AFB" w:rsidRPr="00BF7C35">
        <w:rPr>
          <w:rFonts w:eastAsia="Times New Roman"/>
          <w:lang w:val="fr-FR"/>
        </w:rPr>
        <w:t>il tient chaque année, le WP.30 élit un (une) Président(e) choisi(e) parmi les représentants des participants de plein droit définis à l</w:t>
      </w:r>
      <w:r w:rsidR="00C30AFB">
        <w:rPr>
          <w:rFonts w:eastAsia="Times New Roman"/>
          <w:lang w:val="fr-FR"/>
        </w:rPr>
        <w:t>’</w:t>
      </w:r>
      <w:r w:rsidR="00C30AFB" w:rsidRPr="00BF7C35">
        <w:rPr>
          <w:rFonts w:eastAsia="Times New Roman"/>
          <w:lang w:val="fr-FR"/>
        </w:rPr>
        <w:t>article premier. Cette personne reste en fonction jusqu</w:t>
      </w:r>
      <w:r w:rsidR="00C30AFB">
        <w:rPr>
          <w:rFonts w:eastAsia="Times New Roman"/>
          <w:lang w:val="fr-FR"/>
        </w:rPr>
        <w:t>’</w:t>
      </w:r>
      <w:r w:rsidR="00C30AFB" w:rsidRPr="00BF7C35">
        <w:rPr>
          <w:rFonts w:eastAsia="Times New Roman"/>
          <w:lang w:val="fr-FR"/>
        </w:rPr>
        <w:t>à l</w:t>
      </w:r>
      <w:r w:rsidR="00C30AFB">
        <w:rPr>
          <w:rFonts w:eastAsia="Times New Roman"/>
          <w:lang w:val="fr-FR"/>
        </w:rPr>
        <w:t>’</w:t>
      </w:r>
      <w:r w:rsidR="00C30AFB" w:rsidRPr="00BF7C35">
        <w:rPr>
          <w:rFonts w:eastAsia="Times New Roman"/>
          <w:lang w:val="fr-FR"/>
        </w:rPr>
        <w:t>élection de son successeur. Le WP.30 peut toutefois décider d</w:t>
      </w:r>
      <w:r w:rsidR="00C30AFB">
        <w:rPr>
          <w:rFonts w:eastAsia="Times New Roman"/>
          <w:lang w:val="fr-FR"/>
        </w:rPr>
        <w:t>’</w:t>
      </w:r>
      <w:r w:rsidR="00C30AFB" w:rsidRPr="00BF7C35">
        <w:rPr>
          <w:rFonts w:eastAsia="Times New Roman"/>
          <w:lang w:val="fr-FR"/>
        </w:rPr>
        <w:t xml:space="preserve">élire lors de sa dernière </w:t>
      </w:r>
      <w:r w:rsidR="00C30AFB" w:rsidRPr="001553DE">
        <w:rPr>
          <w:lang w:val="fr-FR"/>
        </w:rPr>
        <w:t>session</w:t>
      </w:r>
      <w:r w:rsidR="00C30AFB" w:rsidRPr="00BF7C35">
        <w:rPr>
          <w:rFonts w:eastAsia="Times New Roman"/>
          <w:lang w:val="fr-FR"/>
        </w:rPr>
        <w:t xml:space="preserve"> de l</w:t>
      </w:r>
      <w:r w:rsidR="00C30AFB">
        <w:rPr>
          <w:rFonts w:eastAsia="Times New Roman"/>
          <w:lang w:val="fr-FR"/>
        </w:rPr>
        <w:t>’</w:t>
      </w:r>
      <w:r w:rsidR="00C30AFB" w:rsidRPr="00BF7C35">
        <w:rPr>
          <w:rFonts w:eastAsia="Times New Roman"/>
          <w:lang w:val="fr-FR"/>
        </w:rPr>
        <w:t>année un(e) Président(e) pour ses sessions de l</w:t>
      </w:r>
      <w:r w:rsidR="00C30AFB">
        <w:rPr>
          <w:rFonts w:eastAsia="Times New Roman"/>
          <w:lang w:val="fr-FR"/>
        </w:rPr>
        <w:t>’</w:t>
      </w:r>
      <w:r w:rsidR="00C30AFB" w:rsidRPr="00BF7C35">
        <w:rPr>
          <w:rFonts w:eastAsia="Times New Roman"/>
          <w:lang w:val="fr-FR"/>
        </w:rPr>
        <w:t>année suivante. Le WP.30 peut aussi élire un(e) Vice-Président(e) parmi les représentants des participants de plein droit définis à l</w:t>
      </w:r>
      <w:r w:rsidR="00C30AFB">
        <w:rPr>
          <w:rFonts w:eastAsia="Times New Roman"/>
          <w:lang w:val="fr-FR"/>
        </w:rPr>
        <w:t>’</w:t>
      </w:r>
      <w:r w:rsidR="00C30AFB" w:rsidRPr="00BF7C35">
        <w:rPr>
          <w:rFonts w:eastAsia="Times New Roman"/>
          <w:lang w:val="fr-FR"/>
        </w:rPr>
        <w:t>article premier. Les memb</w:t>
      </w:r>
      <w:r>
        <w:rPr>
          <w:rFonts w:eastAsia="Times New Roman"/>
          <w:lang w:val="fr-FR"/>
        </w:rPr>
        <w:t>res du Bureau sont rééligibles.</w:t>
      </w:r>
    </w:p>
    <w:p w:rsidR="001553DE" w:rsidRPr="001553DE" w:rsidRDefault="001553DE" w:rsidP="001553DE">
      <w:pPr>
        <w:pStyle w:val="SingleTxt"/>
        <w:spacing w:after="0" w:line="120" w:lineRule="exact"/>
        <w:rPr>
          <w:rFonts w:eastAsia="Times New Roman"/>
          <w:sz w:val="10"/>
          <w:lang w:val="fr-FR"/>
        </w:rPr>
      </w:pPr>
    </w:p>
    <w:p w:rsidR="00C30AFB" w:rsidRDefault="00C30AFB" w:rsidP="001553D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lastRenderedPageBreak/>
        <w:tab/>
      </w:r>
      <w:r w:rsidRPr="00BF7C35">
        <w:rPr>
          <w:lang w:val="fr-FR"/>
        </w:rPr>
        <w:tab/>
        <w:t>Article 13</w:t>
      </w:r>
    </w:p>
    <w:p w:rsidR="001553DE" w:rsidRPr="001553DE" w:rsidRDefault="001553DE" w:rsidP="001553DE">
      <w:pPr>
        <w:pStyle w:val="SingleTxt"/>
        <w:spacing w:after="0" w:line="120" w:lineRule="exact"/>
        <w:rPr>
          <w:sz w:val="10"/>
          <w:lang w:val="fr-FR"/>
        </w:rPr>
      </w:pPr>
    </w:p>
    <w:p w:rsidR="00C30AFB" w:rsidRDefault="001553DE" w:rsidP="001553DE">
      <w:pPr>
        <w:pStyle w:val="SingleTxt"/>
        <w:rPr>
          <w:rFonts w:eastAsia="Times New Roman"/>
          <w:lang w:val="fr-FR"/>
        </w:rPr>
      </w:pPr>
      <w:r>
        <w:rPr>
          <w:rFonts w:eastAsia="Times New Roman"/>
          <w:lang w:val="fr-FR"/>
        </w:rPr>
        <w:tab/>
      </w:r>
      <w:r w:rsidR="00C30AFB" w:rsidRPr="00BF7C35">
        <w:rPr>
          <w:rFonts w:eastAsia="Times New Roman"/>
          <w:lang w:val="fr-FR"/>
        </w:rPr>
        <w:t>Si le (la) Président(e) est absent(e) d</w:t>
      </w:r>
      <w:r w:rsidR="00C30AFB">
        <w:rPr>
          <w:rFonts w:eastAsia="Times New Roman"/>
          <w:lang w:val="fr-FR"/>
        </w:rPr>
        <w:t>’</w:t>
      </w:r>
      <w:r w:rsidR="00C30AFB" w:rsidRPr="00BF7C35">
        <w:rPr>
          <w:rFonts w:eastAsia="Times New Roman"/>
          <w:lang w:val="fr-FR"/>
        </w:rPr>
        <w:t>à une session ou d</w:t>
      </w:r>
      <w:r w:rsidR="00C30AFB">
        <w:rPr>
          <w:rFonts w:eastAsia="Times New Roman"/>
          <w:lang w:val="fr-FR"/>
        </w:rPr>
        <w:t>’</w:t>
      </w:r>
      <w:r w:rsidR="00C30AFB" w:rsidRPr="00BF7C35">
        <w:rPr>
          <w:rFonts w:eastAsia="Times New Roman"/>
          <w:lang w:val="fr-FR"/>
        </w:rPr>
        <w:t>à une partie de la session, ou s</w:t>
      </w:r>
      <w:r w:rsidR="00C30AFB">
        <w:rPr>
          <w:rFonts w:eastAsia="Times New Roman"/>
          <w:lang w:val="fr-FR"/>
        </w:rPr>
        <w:t>’</w:t>
      </w:r>
      <w:r w:rsidR="00C30AFB" w:rsidRPr="00BF7C35">
        <w:rPr>
          <w:rFonts w:eastAsia="Times New Roman"/>
          <w:lang w:val="fr-FR"/>
        </w:rPr>
        <w:t>il (si elle) le demande, la présidence est assumée par le (la) Vice-Président(e).</w:t>
      </w:r>
    </w:p>
    <w:p w:rsidR="001553DE" w:rsidRPr="001553DE" w:rsidRDefault="001553DE" w:rsidP="001553DE">
      <w:pPr>
        <w:pStyle w:val="SingleTxt"/>
        <w:spacing w:after="0" w:line="120" w:lineRule="exact"/>
        <w:rPr>
          <w:rFonts w:eastAsia="Times New Roman"/>
          <w:sz w:val="10"/>
          <w:lang w:val="fr-FR"/>
        </w:rPr>
      </w:pPr>
    </w:p>
    <w:p w:rsidR="00C30AFB" w:rsidRDefault="00C30AFB" w:rsidP="001553DE">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BF7C35">
        <w:rPr>
          <w:lang w:val="fr-FR"/>
        </w:rPr>
        <w:tab/>
      </w:r>
      <w:r w:rsidRPr="00BF7C35">
        <w:rPr>
          <w:lang w:val="fr-FR"/>
        </w:rPr>
        <w:tab/>
        <w:t>Article 14</w:t>
      </w:r>
    </w:p>
    <w:p w:rsidR="001553DE" w:rsidRPr="001553DE" w:rsidRDefault="001553DE" w:rsidP="001553DE">
      <w:pPr>
        <w:keepNext/>
        <w:spacing w:line="120" w:lineRule="exact"/>
        <w:rPr>
          <w:sz w:val="10"/>
          <w:lang w:val="fr-FR"/>
        </w:rPr>
      </w:pPr>
    </w:p>
    <w:p w:rsidR="00C30AFB" w:rsidRDefault="001553DE" w:rsidP="001553DE">
      <w:pPr>
        <w:pStyle w:val="SingleTxt"/>
        <w:rPr>
          <w:rFonts w:eastAsia="Times New Roman"/>
          <w:lang w:val="fr-FR"/>
        </w:rPr>
      </w:pPr>
      <w:r>
        <w:rPr>
          <w:rFonts w:eastAsia="Times New Roman"/>
          <w:lang w:val="fr-FR"/>
        </w:rPr>
        <w:tab/>
      </w:r>
      <w:r w:rsidR="00C30AFB" w:rsidRPr="00BF7C35">
        <w:rPr>
          <w:rFonts w:eastAsia="Times New Roman"/>
          <w:lang w:val="fr-FR"/>
        </w:rPr>
        <w:t>Si le (la) Président(e) cesse de représenter un pays participant ou n</w:t>
      </w:r>
      <w:r w:rsidR="00C30AFB">
        <w:rPr>
          <w:rFonts w:eastAsia="Times New Roman"/>
          <w:lang w:val="fr-FR"/>
        </w:rPr>
        <w:t>’</w:t>
      </w:r>
      <w:r w:rsidR="00C30AFB" w:rsidRPr="00BF7C35">
        <w:rPr>
          <w:rFonts w:eastAsia="Times New Roman"/>
          <w:lang w:val="fr-FR"/>
        </w:rPr>
        <w:t>est plus en mesure de continuer à exercer ses fonctions, le (la) Vice-Président(e), désigné(e) conformément à l</w:t>
      </w:r>
      <w:r w:rsidR="00C30AFB">
        <w:rPr>
          <w:rFonts w:eastAsia="Times New Roman"/>
          <w:lang w:val="fr-FR"/>
        </w:rPr>
        <w:t>’</w:t>
      </w:r>
      <w:r w:rsidR="00C30AFB" w:rsidRPr="00BF7C35">
        <w:rPr>
          <w:rFonts w:eastAsia="Times New Roman"/>
          <w:lang w:val="fr-FR"/>
        </w:rPr>
        <w:t>article 12, assume la présidence jusqu</w:t>
      </w:r>
      <w:r w:rsidR="00C30AFB">
        <w:rPr>
          <w:rFonts w:eastAsia="Times New Roman"/>
          <w:lang w:val="fr-FR"/>
        </w:rPr>
        <w:t>’</w:t>
      </w:r>
      <w:r w:rsidR="00C30AFB" w:rsidRPr="00BF7C35">
        <w:rPr>
          <w:rFonts w:eastAsia="Times New Roman"/>
          <w:lang w:val="fr-FR"/>
        </w:rPr>
        <w:t>au terme de la période en cours. Dans ce cas, le WP.30 élit un (une) autre Vice-Président(e) pour la période de temps restant à courir.</w:t>
      </w:r>
    </w:p>
    <w:p w:rsidR="001553DE" w:rsidRPr="001553DE" w:rsidRDefault="001553DE" w:rsidP="001553DE">
      <w:pPr>
        <w:pStyle w:val="SingleTxt"/>
        <w:spacing w:after="0" w:line="120" w:lineRule="exact"/>
        <w:rPr>
          <w:sz w:val="10"/>
          <w:lang w:val="fr-FR"/>
        </w:rPr>
      </w:pPr>
    </w:p>
    <w:p w:rsidR="00C30AFB" w:rsidRDefault="00C30AFB" w:rsidP="001553DE">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BF7C35">
        <w:rPr>
          <w:lang w:val="fr-FR"/>
        </w:rPr>
        <w:tab/>
      </w:r>
      <w:r w:rsidRPr="00BF7C35">
        <w:rPr>
          <w:lang w:val="fr-FR"/>
        </w:rPr>
        <w:tab/>
        <w:t>Article 15</w:t>
      </w:r>
    </w:p>
    <w:p w:rsidR="001553DE" w:rsidRPr="001553DE" w:rsidRDefault="001553DE" w:rsidP="001553DE">
      <w:pPr>
        <w:pStyle w:val="SingleTxt"/>
        <w:spacing w:after="0" w:line="120" w:lineRule="exact"/>
        <w:rPr>
          <w:sz w:val="10"/>
          <w:lang w:val="fr-FR"/>
        </w:rPr>
      </w:pPr>
    </w:p>
    <w:p w:rsidR="00C30AFB" w:rsidRDefault="001553DE" w:rsidP="001553DE">
      <w:pPr>
        <w:pStyle w:val="SingleTxt"/>
        <w:rPr>
          <w:lang w:val="fr-FR"/>
        </w:rPr>
      </w:pPr>
      <w:r>
        <w:rPr>
          <w:lang w:val="fr-FR"/>
        </w:rPr>
        <w:tab/>
      </w:r>
      <w:r w:rsidR="00C30AFB" w:rsidRPr="00BF7C35">
        <w:rPr>
          <w:lang w:val="fr-FR"/>
        </w:rPr>
        <w:t>Le (La) Vice-Président(e) agissant en qualité de Président(e) a les mêmes pouvoirs et exerce les mêmes fonctions que le (la) Président(e).</w:t>
      </w:r>
    </w:p>
    <w:p w:rsidR="001553DE" w:rsidRPr="001553DE" w:rsidRDefault="001553DE" w:rsidP="001553DE">
      <w:pPr>
        <w:pStyle w:val="SingleTxt"/>
        <w:spacing w:after="0" w:line="120" w:lineRule="exact"/>
        <w:rPr>
          <w:sz w:val="10"/>
          <w:lang w:val="fr-FR"/>
        </w:rPr>
      </w:pPr>
    </w:p>
    <w:p w:rsidR="00C30AFB" w:rsidRDefault="00C30AFB" w:rsidP="001553D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tab/>
      </w:r>
      <w:r w:rsidRPr="00BF7C35">
        <w:rPr>
          <w:lang w:val="fr-FR"/>
        </w:rPr>
        <w:tab/>
        <w:t>Article 16</w:t>
      </w:r>
    </w:p>
    <w:p w:rsidR="001553DE" w:rsidRPr="001553DE" w:rsidRDefault="001553DE" w:rsidP="001553DE">
      <w:pPr>
        <w:pStyle w:val="SingleTxt"/>
        <w:spacing w:after="0" w:line="120" w:lineRule="exact"/>
        <w:rPr>
          <w:sz w:val="10"/>
          <w:lang w:val="fr-FR"/>
        </w:rPr>
      </w:pPr>
    </w:p>
    <w:p w:rsidR="00C30AFB" w:rsidRDefault="001553DE" w:rsidP="001553DE">
      <w:pPr>
        <w:pStyle w:val="SingleTxt"/>
        <w:rPr>
          <w:rFonts w:eastAsia="Times New Roman"/>
          <w:lang w:val="fr-FR"/>
        </w:rPr>
      </w:pPr>
      <w:r>
        <w:rPr>
          <w:rFonts w:eastAsia="Times New Roman"/>
          <w:lang w:val="fr-FR"/>
        </w:rPr>
        <w:tab/>
      </w:r>
      <w:r w:rsidR="00C30AFB" w:rsidRPr="00BF7C35">
        <w:rPr>
          <w:rFonts w:eastAsia="Times New Roman"/>
          <w:lang w:val="fr-FR"/>
        </w:rPr>
        <w:t>Le (La) Président(e) prend part au WP.30 en tant que tel (telle) et non en tant que représentant(e) de son pays. Le WP.30 admet alors qu</w:t>
      </w:r>
      <w:r w:rsidR="00C30AFB">
        <w:rPr>
          <w:rFonts w:eastAsia="Times New Roman"/>
          <w:lang w:val="fr-FR"/>
        </w:rPr>
        <w:t>’</w:t>
      </w:r>
      <w:r w:rsidR="00C30AFB" w:rsidRPr="00BF7C35">
        <w:rPr>
          <w:rFonts w:eastAsia="Times New Roman"/>
          <w:lang w:val="fr-FR"/>
        </w:rPr>
        <w:t xml:space="preserve">un(e) représentant(e) suppléant(e) représente ce participant et exerce son </w:t>
      </w:r>
      <w:r w:rsidR="00C30AFB" w:rsidRPr="001553DE">
        <w:rPr>
          <w:lang w:val="fr-FR"/>
        </w:rPr>
        <w:t>droit</w:t>
      </w:r>
      <w:r w:rsidR="00C30AFB" w:rsidRPr="00BF7C35">
        <w:rPr>
          <w:rFonts w:eastAsia="Times New Roman"/>
          <w:lang w:val="fr-FR"/>
        </w:rPr>
        <w:t xml:space="preserve"> de vote. Néanmoins, s</w:t>
      </w:r>
      <w:r w:rsidR="00C30AFB">
        <w:rPr>
          <w:rFonts w:eastAsia="Times New Roman"/>
          <w:lang w:val="fr-FR"/>
        </w:rPr>
        <w:t>’</w:t>
      </w:r>
      <w:r w:rsidR="00C30AFB" w:rsidRPr="00BF7C35">
        <w:rPr>
          <w:rFonts w:eastAsia="Times New Roman"/>
          <w:lang w:val="fr-FR"/>
        </w:rPr>
        <w:t>il n</w:t>
      </w:r>
      <w:r w:rsidR="00C30AFB">
        <w:rPr>
          <w:rFonts w:eastAsia="Times New Roman"/>
          <w:lang w:val="fr-FR"/>
        </w:rPr>
        <w:t>’</w:t>
      </w:r>
      <w:r w:rsidR="00C30AFB" w:rsidRPr="00BF7C35">
        <w:rPr>
          <w:rFonts w:eastAsia="Times New Roman"/>
          <w:lang w:val="fr-FR"/>
        </w:rPr>
        <w:t>y a pas de représentant(e) suppléant(e) ou s</w:t>
      </w:r>
      <w:r w:rsidR="00C30AFB">
        <w:rPr>
          <w:rFonts w:eastAsia="Times New Roman"/>
          <w:lang w:val="fr-FR"/>
        </w:rPr>
        <w:t>’</w:t>
      </w:r>
      <w:r w:rsidR="00C30AFB" w:rsidRPr="00BF7C35">
        <w:rPr>
          <w:rFonts w:eastAsia="Times New Roman"/>
          <w:lang w:val="fr-FR"/>
        </w:rPr>
        <w:t>il (si elle) est absent(e), le (la) Président(e) peut exercer son droit de vote en tant que représentant(e) de son pays.</w:t>
      </w:r>
    </w:p>
    <w:p w:rsidR="001553DE" w:rsidRPr="001553DE" w:rsidRDefault="001553DE" w:rsidP="001553DE">
      <w:pPr>
        <w:pStyle w:val="SingleTxt"/>
        <w:spacing w:after="0" w:line="120" w:lineRule="exact"/>
        <w:rPr>
          <w:rFonts w:eastAsia="Times New Roman"/>
          <w:sz w:val="10"/>
          <w:lang w:val="fr-FR"/>
        </w:rPr>
      </w:pPr>
    </w:p>
    <w:p w:rsidR="001553DE" w:rsidRPr="001553DE" w:rsidRDefault="001553DE" w:rsidP="001553DE">
      <w:pPr>
        <w:pStyle w:val="SingleTxt"/>
        <w:spacing w:after="0" w:line="120" w:lineRule="exact"/>
        <w:rPr>
          <w:rFonts w:eastAsia="Times New Roman"/>
          <w:sz w:val="10"/>
          <w:lang w:val="fr-FR"/>
        </w:rPr>
      </w:pPr>
    </w:p>
    <w:p w:rsidR="00C30AFB" w:rsidRDefault="00C30AFB" w:rsidP="001553DE">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BF7C35">
        <w:rPr>
          <w:lang w:val="fr-FR"/>
        </w:rPr>
        <w:tab/>
      </w:r>
      <w:r w:rsidRPr="00BF7C35">
        <w:rPr>
          <w:lang w:val="fr-FR"/>
        </w:rPr>
        <w:tab/>
        <w:t>Chapitre VI</w:t>
      </w:r>
    </w:p>
    <w:p w:rsidR="001553DE" w:rsidRPr="001553DE" w:rsidRDefault="001553DE" w:rsidP="001553DE">
      <w:pPr>
        <w:pStyle w:val="SingleTxt"/>
        <w:spacing w:after="0" w:line="120" w:lineRule="exact"/>
        <w:rPr>
          <w:sz w:val="10"/>
          <w:lang w:val="fr-FR"/>
        </w:rPr>
      </w:pPr>
    </w:p>
    <w:p w:rsidR="001553DE" w:rsidRPr="001553DE" w:rsidRDefault="001553DE" w:rsidP="001553DE">
      <w:pPr>
        <w:pStyle w:val="SingleTxt"/>
        <w:spacing w:after="0" w:line="120" w:lineRule="exact"/>
        <w:rPr>
          <w:sz w:val="10"/>
          <w:lang w:val="fr-FR"/>
        </w:rPr>
      </w:pPr>
    </w:p>
    <w:p w:rsidR="00C30AFB" w:rsidRDefault="00C30AFB" w:rsidP="001553DE">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BF7C35">
        <w:rPr>
          <w:lang w:val="fr-FR"/>
        </w:rPr>
        <w:tab/>
      </w:r>
      <w:r w:rsidRPr="00BF7C35">
        <w:rPr>
          <w:lang w:val="fr-FR"/>
        </w:rPr>
        <w:tab/>
        <w:t>Secrétariat</w:t>
      </w:r>
    </w:p>
    <w:p w:rsidR="001553DE" w:rsidRPr="001553DE" w:rsidRDefault="001553DE" w:rsidP="001553DE">
      <w:pPr>
        <w:pStyle w:val="SingleTxt"/>
        <w:spacing w:after="0" w:line="120" w:lineRule="exact"/>
        <w:rPr>
          <w:sz w:val="10"/>
          <w:lang w:val="fr-FR"/>
        </w:rPr>
      </w:pPr>
    </w:p>
    <w:p w:rsidR="001553DE" w:rsidRPr="001553DE" w:rsidRDefault="001553DE" w:rsidP="001553DE">
      <w:pPr>
        <w:pStyle w:val="SingleTxt"/>
        <w:spacing w:after="0" w:line="120" w:lineRule="exact"/>
        <w:rPr>
          <w:sz w:val="10"/>
          <w:lang w:val="fr-FR"/>
        </w:rPr>
      </w:pPr>
    </w:p>
    <w:p w:rsidR="00C30AFB" w:rsidRDefault="00C30AFB" w:rsidP="001553DE">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BF7C35">
        <w:rPr>
          <w:lang w:val="fr-FR"/>
        </w:rPr>
        <w:tab/>
      </w:r>
      <w:r w:rsidRPr="00BF7C35">
        <w:rPr>
          <w:lang w:val="fr-FR"/>
        </w:rPr>
        <w:tab/>
        <w:t>Article 17</w:t>
      </w:r>
    </w:p>
    <w:p w:rsidR="001553DE" w:rsidRPr="001553DE" w:rsidRDefault="001553DE" w:rsidP="001553DE">
      <w:pPr>
        <w:pStyle w:val="SingleTxt"/>
        <w:spacing w:after="0" w:line="120" w:lineRule="exact"/>
        <w:rPr>
          <w:sz w:val="10"/>
          <w:lang w:val="fr-FR"/>
        </w:rPr>
      </w:pPr>
    </w:p>
    <w:p w:rsidR="00C30AFB" w:rsidRDefault="001553DE" w:rsidP="001553DE">
      <w:pPr>
        <w:pStyle w:val="SingleTxt"/>
        <w:rPr>
          <w:rFonts w:eastAsia="Times New Roman"/>
          <w:lang w:val="fr-FR"/>
        </w:rPr>
      </w:pPr>
      <w:r>
        <w:rPr>
          <w:rFonts w:eastAsia="Times New Roman"/>
          <w:lang w:val="fr-FR"/>
        </w:rPr>
        <w:tab/>
      </w:r>
      <w:r w:rsidR="00C30AFB" w:rsidRPr="00BF7C35">
        <w:rPr>
          <w:rFonts w:eastAsia="Times New Roman"/>
          <w:lang w:val="fr-FR"/>
        </w:rPr>
        <w:t>Le (La) Secrétaire exécutif (exécutive) de la CEE agit ès qualités à toutes les sessions du WP.30. Il (Elle) peut désigner un autre membre du secrétariat de la CEE pour le (la) remplacer.</w:t>
      </w:r>
    </w:p>
    <w:p w:rsidR="001553DE" w:rsidRPr="001553DE" w:rsidRDefault="001553DE" w:rsidP="001553DE">
      <w:pPr>
        <w:pStyle w:val="SingleTxt"/>
        <w:spacing w:after="0" w:line="120" w:lineRule="exact"/>
        <w:rPr>
          <w:rFonts w:eastAsia="Times New Roman"/>
          <w:sz w:val="10"/>
          <w:lang w:val="fr-FR"/>
        </w:rPr>
      </w:pPr>
    </w:p>
    <w:p w:rsidR="00C30AFB" w:rsidRDefault="00C30AFB" w:rsidP="001553D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tab/>
      </w:r>
      <w:r w:rsidRPr="00BF7C35">
        <w:rPr>
          <w:lang w:val="fr-FR"/>
        </w:rPr>
        <w:tab/>
        <w:t>Article 18</w:t>
      </w:r>
    </w:p>
    <w:p w:rsidR="001553DE" w:rsidRPr="001553DE" w:rsidRDefault="001553DE" w:rsidP="001553DE">
      <w:pPr>
        <w:pStyle w:val="SingleTxt"/>
        <w:spacing w:after="0" w:line="120" w:lineRule="exact"/>
        <w:rPr>
          <w:sz w:val="10"/>
          <w:lang w:val="fr-FR"/>
        </w:rPr>
      </w:pPr>
    </w:p>
    <w:p w:rsidR="00C30AFB" w:rsidRDefault="001553DE" w:rsidP="001553DE">
      <w:pPr>
        <w:pStyle w:val="SingleTxt"/>
        <w:rPr>
          <w:rFonts w:eastAsia="Times New Roman"/>
          <w:lang w:val="fr-FR"/>
        </w:rPr>
      </w:pPr>
      <w:r>
        <w:rPr>
          <w:rFonts w:eastAsia="Times New Roman"/>
          <w:lang w:val="fr-FR"/>
        </w:rPr>
        <w:tab/>
      </w:r>
      <w:r w:rsidR="00C30AFB" w:rsidRPr="00BF7C35">
        <w:rPr>
          <w:rFonts w:eastAsia="Times New Roman"/>
          <w:lang w:val="fr-FR"/>
        </w:rPr>
        <w:t>Le secrétariat prend toutes les dispositions nécessaires en vue de l</w:t>
      </w:r>
      <w:r w:rsidR="00C30AFB">
        <w:rPr>
          <w:rFonts w:eastAsia="Times New Roman"/>
          <w:lang w:val="fr-FR"/>
        </w:rPr>
        <w:t>’</w:t>
      </w:r>
      <w:r w:rsidR="00C30AFB" w:rsidRPr="00BF7C35">
        <w:rPr>
          <w:rFonts w:eastAsia="Times New Roman"/>
          <w:lang w:val="fr-FR"/>
        </w:rPr>
        <w:t>organisation et de la tenue des sessions.</w:t>
      </w:r>
    </w:p>
    <w:p w:rsidR="004668FF" w:rsidRPr="004668FF" w:rsidRDefault="004668FF" w:rsidP="004668FF">
      <w:pPr>
        <w:pStyle w:val="SingleTxt"/>
        <w:spacing w:after="0" w:line="120" w:lineRule="exact"/>
        <w:rPr>
          <w:rFonts w:eastAsia="Times New Roman"/>
          <w:sz w:val="10"/>
          <w:lang w:val="fr-FR"/>
        </w:rPr>
      </w:pPr>
    </w:p>
    <w:p w:rsidR="00C30AFB" w:rsidRDefault="00C30AFB" w:rsidP="004668F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tab/>
      </w:r>
      <w:r w:rsidRPr="00BF7C35">
        <w:rPr>
          <w:lang w:val="fr-FR"/>
        </w:rPr>
        <w:tab/>
        <w:t>Article 19</w:t>
      </w:r>
    </w:p>
    <w:p w:rsidR="004668FF" w:rsidRPr="004668FF" w:rsidRDefault="004668FF" w:rsidP="004668FF">
      <w:pPr>
        <w:pStyle w:val="SingleTxt"/>
        <w:spacing w:after="0" w:line="120" w:lineRule="exact"/>
        <w:rPr>
          <w:sz w:val="10"/>
          <w:lang w:val="fr-FR"/>
        </w:rPr>
      </w:pPr>
    </w:p>
    <w:p w:rsidR="00C30AFB" w:rsidRDefault="004668FF" w:rsidP="004668FF">
      <w:pPr>
        <w:pStyle w:val="SingleTxt"/>
        <w:rPr>
          <w:lang w:val="fr-FR"/>
        </w:rPr>
      </w:pPr>
      <w:r>
        <w:rPr>
          <w:lang w:val="fr-FR"/>
        </w:rPr>
        <w:tab/>
      </w:r>
      <w:r w:rsidR="00C30AFB" w:rsidRPr="00BF7C35">
        <w:rPr>
          <w:lang w:val="fr-FR"/>
        </w:rPr>
        <w:t>Pendant les sessions, le secrétariat aide le WP.30 à se conformer au présent Règlement intérieur.</w:t>
      </w:r>
    </w:p>
    <w:p w:rsidR="004668FF" w:rsidRPr="004668FF" w:rsidRDefault="004668FF" w:rsidP="004668FF">
      <w:pPr>
        <w:pStyle w:val="SingleTxt"/>
        <w:spacing w:after="0" w:line="120" w:lineRule="exact"/>
        <w:rPr>
          <w:sz w:val="10"/>
          <w:lang w:val="fr-FR"/>
        </w:rPr>
      </w:pPr>
    </w:p>
    <w:p w:rsidR="00C30AFB" w:rsidRDefault="00C30AFB" w:rsidP="004668F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tab/>
      </w:r>
      <w:r w:rsidRPr="00BF7C35">
        <w:rPr>
          <w:lang w:val="fr-FR"/>
        </w:rPr>
        <w:tab/>
        <w:t>Article 20</w:t>
      </w:r>
    </w:p>
    <w:p w:rsidR="004668FF" w:rsidRPr="004668FF" w:rsidRDefault="004668FF" w:rsidP="004668FF">
      <w:pPr>
        <w:pStyle w:val="SingleTxt"/>
        <w:spacing w:after="0" w:line="120" w:lineRule="exact"/>
        <w:rPr>
          <w:sz w:val="10"/>
          <w:lang w:val="fr-FR"/>
        </w:rPr>
      </w:pPr>
    </w:p>
    <w:p w:rsidR="00C30AFB" w:rsidRDefault="004668FF" w:rsidP="004668FF">
      <w:pPr>
        <w:pStyle w:val="SingleTxt"/>
        <w:rPr>
          <w:rFonts w:eastAsia="Times New Roman"/>
          <w:lang w:val="fr-FR"/>
        </w:rPr>
      </w:pPr>
      <w:r>
        <w:rPr>
          <w:rFonts w:eastAsia="Times New Roman"/>
          <w:lang w:val="fr-FR"/>
        </w:rPr>
        <w:tab/>
      </w:r>
      <w:r w:rsidR="00C30AFB" w:rsidRPr="00BF7C35">
        <w:rPr>
          <w:rFonts w:eastAsia="Times New Roman"/>
          <w:lang w:val="fr-FR"/>
        </w:rPr>
        <w:t xml:space="preserve">Le secrétariat peut </w:t>
      </w:r>
      <w:r w:rsidR="00C30AFB" w:rsidRPr="004668FF">
        <w:rPr>
          <w:lang w:val="fr-FR"/>
        </w:rPr>
        <w:t>présenter</w:t>
      </w:r>
      <w:r w:rsidR="00C30AFB" w:rsidRPr="00BF7C35">
        <w:rPr>
          <w:rFonts w:eastAsia="Times New Roman"/>
          <w:lang w:val="fr-FR"/>
        </w:rPr>
        <w:t xml:space="preserve"> des exposés oraux ou écrits sur toute question examinée.</w:t>
      </w:r>
    </w:p>
    <w:p w:rsidR="004668FF" w:rsidRPr="004668FF" w:rsidRDefault="004668FF" w:rsidP="004668FF">
      <w:pPr>
        <w:pStyle w:val="SingleTxt"/>
        <w:spacing w:after="0" w:line="120" w:lineRule="exact"/>
        <w:rPr>
          <w:rFonts w:eastAsia="Times New Roman"/>
          <w:sz w:val="10"/>
          <w:lang w:val="fr-FR"/>
        </w:rPr>
      </w:pPr>
    </w:p>
    <w:p w:rsidR="004668FF" w:rsidRPr="004668FF" w:rsidRDefault="004668FF" w:rsidP="004668FF">
      <w:pPr>
        <w:pStyle w:val="SingleTxt"/>
        <w:spacing w:after="0" w:line="120" w:lineRule="exact"/>
        <w:rPr>
          <w:rFonts w:eastAsia="Times New Roman"/>
          <w:sz w:val="10"/>
          <w:lang w:val="fr-FR"/>
        </w:rPr>
      </w:pPr>
    </w:p>
    <w:p w:rsidR="00C30AFB" w:rsidRDefault="00C30AFB" w:rsidP="00C9716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lastRenderedPageBreak/>
        <w:tab/>
      </w:r>
      <w:r w:rsidRPr="00BF7C35">
        <w:rPr>
          <w:lang w:val="fr-FR"/>
        </w:rPr>
        <w:tab/>
        <w:t>Chapitre VII</w:t>
      </w:r>
    </w:p>
    <w:p w:rsidR="004668FF" w:rsidRPr="004668FF" w:rsidRDefault="004668FF" w:rsidP="00C97168">
      <w:pPr>
        <w:pStyle w:val="SingleTxt"/>
        <w:keepNext/>
        <w:spacing w:after="0" w:line="120" w:lineRule="exact"/>
        <w:rPr>
          <w:sz w:val="10"/>
          <w:lang w:val="fr-FR"/>
        </w:rPr>
      </w:pPr>
    </w:p>
    <w:p w:rsidR="004668FF" w:rsidRPr="004668FF" w:rsidRDefault="004668FF" w:rsidP="00C97168">
      <w:pPr>
        <w:pStyle w:val="SingleTxt"/>
        <w:keepNext/>
        <w:spacing w:after="0" w:line="120" w:lineRule="exact"/>
        <w:rPr>
          <w:sz w:val="10"/>
          <w:lang w:val="fr-FR"/>
        </w:rPr>
      </w:pPr>
    </w:p>
    <w:p w:rsidR="00C30AFB" w:rsidRDefault="00C30AFB" w:rsidP="00C9716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tab/>
      </w:r>
      <w:r w:rsidRPr="00BF7C35">
        <w:rPr>
          <w:lang w:val="fr-FR"/>
        </w:rPr>
        <w:tab/>
        <w:t>Conduite des débats</w:t>
      </w:r>
    </w:p>
    <w:p w:rsidR="004668FF" w:rsidRPr="004668FF" w:rsidRDefault="004668FF" w:rsidP="00C97168">
      <w:pPr>
        <w:pStyle w:val="SingleTxt"/>
        <w:keepNext/>
        <w:spacing w:after="0" w:line="120" w:lineRule="exact"/>
        <w:rPr>
          <w:sz w:val="10"/>
          <w:lang w:val="fr-FR"/>
        </w:rPr>
      </w:pPr>
    </w:p>
    <w:p w:rsidR="004668FF" w:rsidRPr="004668FF" w:rsidRDefault="004668FF" w:rsidP="00C97168">
      <w:pPr>
        <w:pStyle w:val="SingleTxt"/>
        <w:keepNext/>
        <w:spacing w:after="0" w:line="120" w:lineRule="exact"/>
        <w:rPr>
          <w:sz w:val="10"/>
          <w:lang w:val="fr-FR"/>
        </w:rPr>
      </w:pPr>
    </w:p>
    <w:p w:rsidR="00C30AFB" w:rsidRDefault="00C30AFB" w:rsidP="00C97168">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BF7C35">
        <w:rPr>
          <w:lang w:val="fr-FR"/>
        </w:rPr>
        <w:tab/>
      </w:r>
      <w:r w:rsidRPr="00BF7C35">
        <w:rPr>
          <w:lang w:val="fr-FR"/>
        </w:rPr>
        <w:tab/>
        <w:t>Article 21</w:t>
      </w:r>
    </w:p>
    <w:p w:rsidR="004668FF" w:rsidRPr="004668FF" w:rsidRDefault="004668FF" w:rsidP="004668FF">
      <w:pPr>
        <w:pStyle w:val="SingleTxt"/>
        <w:spacing w:after="0" w:line="120" w:lineRule="exact"/>
        <w:rPr>
          <w:sz w:val="10"/>
          <w:lang w:val="fr-FR"/>
        </w:rPr>
      </w:pPr>
    </w:p>
    <w:p w:rsidR="00C30AFB" w:rsidRDefault="004668FF" w:rsidP="004668FF">
      <w:pPr>
        <w:pStyle w:val="SingleTxt"/>
        <w:rPr>
          <w:lang w:val="fr-FR"/>
        </w:rPr>
      </w:pPr>
      <w:r>
        <w:rPr>
          <w:lang w:val="fr-FR"/>
        </w:rPr>
        <w:tab/>
      </w:r>
      <w:r w:rsidR="00C30AFB" w:rsidRPr="00BF7C35">
        <w:rPr>
          <w:lang w:val="fr-FR"/>
        </w:rPr>
        <w:t>À moins qu</w:t>
      </w:r>
      <w:r w:rsidR="00C30AFB">
        <w:rPr>
          <w:lang w:val="fr-FR"/>
        </w:rPr>
        <w:t>’</w:t>
      </w:r>
      <w:r w:rsidR="00C30AFB" w:rsidRPr="00BF7C35">
        <w:rPr>
          <w:lang w:val="fr-FR"/>
        </w:rPr>
        <w:t>il n</w:t>
      </w:r>
      <w:r w:rsidR="00C30AFB">
        <w:rPr>
          <w:lang w:val="fr-FR"/>
        </w:rPr>
        <w:t>’</w:t>
      </w:r>
      <w:r w:rsidR="00C30AFB" w:rsidRPr="00BF7C35">
        <w:rPr>
          <w:lang w:val="fr-FR"/>
        </w:rPr>
        <w:t>en décide autrement, le WP.30 se réunit en séance privée.</w:t>
      </w:r>
    </w:p>
    <w:p w:rsidR="00814A7D" w:rsidRPr="00814A7D" w:rsidRDefault="00814A7D" w:rsidP="00814A7D">
      <w:pPr>
        <w:pStyle w:val="SingleTxt"/>
        <w:spacing w:after="0" w:line="120" w:lineRule="exact"/>
        <w:rPr>
          <w:sz w:val="10"/>
          <w:lang w:val="fr-FR"/>
        </w:rPr>
      </w:pPr>
    </w:p>
    <w:p w:rsidR="00C30AFB" w:rsidRDefault="00C30AFB" w:rsidP="00814A7D">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BF7C35">
        <w:rPr>
          <w:lang w:val="fr-FR"/>
        </w:rPr>
        <w:tab/>
      </w:r>
      <w:r w:rsidRPr="00BF7C35">
        <w:rPr>
          <w:lang w:val="fr-FR"/>
        </w:rPr>
        <w:tab/>
        <w:t>Article 22</w:t>
      </w:r>
    </w:p>
    <w:p w:rsidR="00814A7D" w:rsidRPr="00814A7D" w:rsidRDefault="00814A7D" w:rsidP="00814A7D">
      <w:pPr>
        <w:pStyle w:val="SingleTxt"/>
        <w:keepNext/>
        <w:spacing w:after="0" w:line="120" w:lineRule="exact"/>
        <w:rPr>
          <w:sz w:val="10"/>
          <w:lang w:val="fr-FR"/>
        </w:rPr>
      </w:pPr>
    </w:p>
    <w:p w:rsidR="00C30AFB" w:rsidRDefault="00814A7D" w:rsidP="00814A7D">
      <w:pPr>
        <w:pStyle w:val="SingleTxt"/>
        <w:rPr>
          <w:rFonts w:eastAsia="Times New Roman"/>
          <w:lang w:val="fr-FR"/>
        </w:rPr>
      </w:pPr>
      <w:r>
        <w:rPr>
          <w:rFonts w:eastAsia="Times New Roman"/>
          <w:lang w:val="fr-FR"/>
        </w:rPr>
        <w:tab/>
      </w:r>
      <w:r w:rsidR="00C30AFB" w:rsidRPr="00BF7C35">
        <w:rPr>
          <w:rFonts w:eastAsia="Times New Roman"/>
          <w:lang w:val="fr-FR"/>
        </w:rPr>
        <w:t>Le (La) Président(e) prononce l</w:t>
      </w:r>
      <w:r w:rsidR="00C30AFB">
        <w:rPr>
          <w:rFonts w:eastAsia="Times New Roman"/>
          <w:lang w:val="fr-FR"/>
        </w:rPr>
        <w:t>’</w:t>
      </w:r>
      <w:r w:rsidR="00C30AFB" w:rsidRPr="00BF7C35">
        <w:rPr>
          <w:rFonts w:eastAsia="Times New Roman"/>
          <w:lang w:val="fr-FR"/>
        </w:rPr>
        <w:t>ouverture et la clôture de chaque session, dirige les débats, assure l</w:t>
      </w:r>
      <w:r w:rsidR="00C30AFB">
        <w:rPr>
          <w:rFonts w:eastAsia="Times New Roman"/>
          <w:lang w:val="fr-FR"/>
        </w:rPr>
        <w:t>’</w:t>
      </w:r>
      <w:r w:rsidR="00C30AFB" w:rsidRPr="00BF7C35">
        <w:rPr>
          <w:rFonts w:eastAsia="Times New Roman"/>
          <w:lang w:val="fr-FR"/>
        </w:rPr>
        <w:t xml:space="preserve">application du présent Règlement, donne la parole, met les questions aux voix et proclame les décisions. Le (La) </w:t>
      </w:r>
      <w:r w:rsidR="00C30AFB" w:rsidRPr="00814A7D">
        <w:rPr>
          <w:lang w:val="fr-FR"/>
        </w:rPr>
        <w:t>Président</w:t>
      </w:r>
      <w:r w:rsidR="00C30AFB" w:rsidRPr="00BF7C35">
        <w:rPr>
          <w:rFonts w:eastAsia="Times New Roman"/>
          <w:lang w:val="fr-FR"/>
        </w:rPr>
        <w:t>(e) peut également rappeler à l</w:t>
      </w:r>
      <w:r w:rsidR="00C30AFB">
        <w:rPr>
          <w:rFonts w:eastAsia="Times New Roman"/>
          <w:lang w:val="fr-FR"/>
        </w:rPr>
        <w:t>’</w:t>
      </w:r>
      <w:r w:rsidR="00C30AFB" w:rsidRPr="00BF7C35">
        <w:rPr>
          <w:rFonts w:eastAsia="Times New Roman"/>
          <w:lang w:val="fr-FR"/>
        </w:rPr>
        <w:t>ordre un orateur qui s</w:t>
      </w:r>
      <w:r w:rsidR="00C30AFB">
        <w:rPr>
          <w:rFonts w:eastAsia="Times New Roman"/>
          <w:lang w:val="fr-FR"/>
        </w:rPr>
        <w:t>’</w:t>
      </w:r>
      <w:r w:rsidR="00C30AFB" w:rsidRPr="00BF7C35">
        <w:rPr>
          <w:rFonts w:eastAsia="Times New Roman"/>
          <w:lang w:val="fr-FR"/>
        </w:rPr>
        <w:t>écarte du sujet de la discussion. Il (Elle) peut limiter le temps de parole de chaque orateur.</w:t>
      </w:r>
    </w:p>
    <w:p w:rsidR="00814A7D" w:rsidRPr="00814A7D" w:rsidRDefault="00814A7D" w:rsidP="00814A7D">
      <w:pPr>
        <w:pStyle w:val="SingleTxt"/>
        <w:spacing w:after="0" w:line="120" w:lineRule="exact"/>
        <w:rPr>
          <w:rFonts w:eastAsia="Times New Roman"/>
          <w:sz w:val="10"/>
          <w:lang w:val="fr-FR"/>
        </w:rPr>
      </w:pPr>
    </w:p>
    <w:p w:rsidR="00C30AFB" w:rsidRDefault="00C30AFB" w:rsidP="00814A7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tab/>
      </w:r>
      <w:r w:rsidRPr="00BF7C35">
        <w:rPr>
          <w:lang w:val="fr-FR"/>
        </w:rPr>
        <w:tab/>
        <w:t>Article 23</w:t>
      </w:r>
    </w:p>
    <w:p w:rsidR="00814A7D" w:rsidRPr="00814A7D" w:rsidRDefault="00814A7D" w:rsidP="00814A7D">
      <w:pPr>
        <w:pStyle w:val="SingleTxt"/>
        <w:spacing w:after="0" w:line="120" w:lineRule="exact"/>
        <w:rPr>
          <w:sz w:val="10"/>
          <w:lang w:val="fr-FR"/>
        </w:rPr>
      </w:pPr>
    </w:p>
    <w:p w:rsidR="00C30AFB" w:rsidRDefault="00814A7D" w:rsidP="00814A7D">
      <w:pPr>
        <w:pStyle w:val="SingleTxt"/>
        <w:rPr>
          <w:lang w:val="fr-FR"/>
        </w:rPr>
      </w:pPr>
      <w:r>
        <w:rPr>
          <w:lang w:val="fr-FR"/>
        </w:rPr>
        <w:tab/>
      </w:r>
      <w:r w:rsidR="00C30AFB" w:rsidRPr="00BF7C35">
        <w:rPr>
          <w:lang w:val="fr-FR"/>
        </w:rPr>
        <w:t>Le (La) Président(e) peut décider, en concertation avec le secrétariat, de réduire la durée d</w:t>
      </w:r>
      <w:r w:rsidR="00C30AFB">
        <w:rPr>
          <w:lang w:val="fr-FR"/>
        </w:rPr>
        <w:t>’</w:t>
      </w:r>
      <w:r w:rsidR="00C30AFB" w:rsidRPr="00BF7C35">
        <w:rPr>
          <w:lang w:val="fr-FR"/>
        </w:rPr>
        <w:t>une session ou de la reporter en cas de force majeure.</w:t>
      </w:r>
    </w:p>
    <w:p w:rsidR="00814A7D" w:rsidRPr="00814A7D" w:rsidRDefault="00814A7D" w:rsidP="00814A7D">
      <w:pPr>
        <w:pStyle w:val="SingleTxt"/>
        <w:spacing w:after="0" w:line="120" w:lineRule="exact"/>
        <w:rPr>
          <w:sz w:val="10"/>
          <w:lang w:val="fr-FR"/>
        </w:rPr>
      </w:pPr>
    </w:p>
    <w:p w:rsidR="00C30AFB" w:rsidRDefault="00C30AFB" w:rsidP="00814A7D">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BF7C35">
        <w:rPr>
          <w:lang w:val="fr-FR"/>
        </w:rPr>
        <w:tab/>
      </w:r>
      <w:r w:rsidRPr="00BF7C35">
        <w:rPr>
          <w:lang w:val="fr-FR"/>
        </w:rPr>
        <w:tab/>
        <w:t>Article 24</w:t>
      </w:r>
    </w:p>
    <w:p w:rsidR="00814A7D" w:rsidRPr="00814A7D" w:rsidRDefault="00814A7D" w:rsidP="00814A7D">
      <w:pPr>
        <w:pStyle w:val="SingleTxt"/>
        <w:spacing w:after="0" w:line="120" w:lineRule="exact"/>
        <w:rPr>
          <w:sz w:val="10"/>
          <w:lang w:val="fr-FR"/>
        </w:rPr>
      </w:pPr>
    </w:p>
    <w:p w:rsidR="00C30AFB" w:rsidRDefault="00814A7D" w:rsidP="00814A7D">
      <w:pPr>
        <w:pStyle w:val="SingleTxt"/>
        <w:rPr>
          <w:rFonts w:eastAsia="Times New Roman"/>
          <w:lang w:val="fr-FR"/>
        </w:rPr>
      </w:pPr>
      <w:r>
        <w:rPr>
          <w:rFonts w:eastAsia="Times New Roman"/>
          <w:lang w:val="fr-FR"/>
        </w:rPr>
        <w:tab/>
      </w:r>
      <w:r w:rsidR="00C30AFB" w:rsidRPr="00BF7C35">
        <w:rPr>
          <w:rFonts w:eastAsia="Times New Roman"/>
          <w:lang w:val="fr-FR"/>
        </w:rPr>
        <w:t>Au cours de la discussion de toute question, un(e) représentant(e) peut introduire une motion d</w:t>
      </w:r>
      <w:r w:rsidR="00C30AFB">
        <w:rPr>
          <w:rFonts w:eastAsia="Times New Roman"/>
          <w:lang w:val="fr-FR"/>
        </w:rPr>
        <w:t>’</w:t>
      </w:r>
      <w:r w:rsidR="00C30AFB" w:rsidRPr="00BF7C35">
        <w:rPr>
          <w:rFonts w:eastAsia="Times New Roman"/>
          <w:lang w:val="fr-FR"/>
        </w:rPr>
        <w:t>ordre. Dans ce cas, le (la) Président(e) prend immédiatement une décision. Si elle est contestée, le (la) Président(e) la soumet aussitôt au vote. La décision est maintenue sauf si elle est contestée par une majorité des votants.</w:t>
      </w:r>
    </w:p>
    <w:p w:rsidR="00814A7D" w:rsidRPr="00814A7D" w:rsidRDefault="00814A7D" w:rsidP="00814A7D">
      <w:pPr>
        <w:pStyle w:val="SingleTxt"/>
        <w:spacing w:after="0" w:line="120" w:lineRule="exact"/>
        <w:rPr>
          <w:rFonts w:eastAsia="Times New Roman"/>
          <w:sz w:val="10"/>
          <w:lang w:val="fr-FR"/>
        </w:rPr>
      </w:pPr>
    </w:p>
    <w:p w:rsidR="00C30AFB" w:rsidRDefault="00C30AFB" w:rsidP="00814A7D">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BF7C35">
        <w:rPr>
          <w:lang w:val="fr-FR"/>
        </w:rPr>
        <w:tab/>
      </w:r>
      <w:r w:rsidRPr="00BF7C35">
        <w:rPr>
          <w:lang w:val="fr-FR"/>
        </w:rPr>
        <w:tab/>
        <w:t>Article 25</w:t>
      </w:r>
    </w:p>
    <w:p w:rsidR="00814A7D" w:rsidRPr="00814A7D" w:rsidRDefault="00814A7D" w:rsidP="00814A7D">
      <w:pPr>
        <w:pStyle w:val="SingleTxt"/>
        <w:spacing w:after="0" w:line="120" w:lineRule="exact"/>
        <w:rPr>
          <w:sz w:val="10"/>
          <w:lang w:val="fr-FR"/>
        </w:rPr>
      </w:pPr>
    </w:p>
    <w:p w:rsidR="00C30AFB" w:rsidRDefault="00D36060" w:rsidP="00D36060">
      <w:pPr>
        <w:pStyle w:val="SingleTxt"/>
        <w:rPr>
          <w:lang w:val="fr-FR"/>
        </w:rPr>
      </w:pPr>
      <w:r>
        <w:rPr>
          <w:lang w:val="fr-FR"/>
        </w:rPr>
        <w:tab/>
      </w:r>
      <w:r w:rsidR="00C30AFB" w:rsidRPr="00BF7C35">
        <w:rPr>
          <w:lang w:val="fr-FR"/>
        </w:rPr>
        <w:t>Au cours de la discussion de toute question, un(e) représentant(e) peut demander le renvoi du débat. Cette motion a priorité. Outre son auteur, un(e) représentant(e) est autorisé(e) à prendre la parole pour l</w:t>
      </w:r>
      <w:r w:rsidR="00C30AFB">
        <w:rPr>
          <w:lang w:val="fr-FR"/>
        </w:rPr>
        <w:t>’</w:t>
      </w:r>
      <w:r w:rsidR="00C30AFB" w:rsidRPr="00BF7C35">
        <w:rPr>
          <w:lang w:val="fr-FR"/>
        </w:rPr>
        <w:t>appuyer et un(e) autre pour en demander le rejet.</w:t>
      </w:r>
    </w:p>
    <w:p w:rsidR="00D36060" w:rsidRPr="00D36060" w:rsidRDefault="00D36060" w:rsidP="00D36060">
      <w:pPr>
        <w:pStyle w:val="SingleTxt"/>
        <w:spacing w:after="0" w:line="120" w:lineRule="exact"/>
        <w:rPr>
          <w:sz w:val="10"/>
          <w:lang w:val="fr-FR"/>
        </w:rPr>
      </w:pPr>
    </w:p>
    <w:p w:rsidR="00C30AFB" w:rsidRDefault="00C30AFB" w:rsidP="00D36060">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BF7C35">
        <w:rPr>
          <w:lang w:val="fr-FR"/>
        </w:rPr>
        <w:tab/>
      </w:r>
      <w:r w:rsidRPr="00BF7C35">
        <w:rPr>
          <w:lang w:val="fr-FR"/>
        </w:rPr>
        <w:tab/>
        <w:t>Article 26</w:t>
      </w:r>
    </w:p>
    <w:p w:rsidR="00D36060" w:rsidRPr="00D36060" w:rsidRDefault="00D36060" w:rsidP="00D36060">
      <w:pPr>
        <w:pStyle w:val="SingleTxt"/>
        <w:spacing w:after="0" w:line="120" w:lineRule="exact"/>
        <w:rPr>
          <w:sz w:val="10"/>
          <w:lang w:val="fr-FR"/>
        </w:rPr>
      </w:pPr>
    </w:p>
    <w:p w:rsidR="00C30AFB" w:rsidRDefault="00D36060" w:rsidP="00D36060">
      <w:pPr>
        <w:pStyle w:val="SingleTxt"/>
        <w:rPr>
          <w:lang w:val="fr-FR"/>
        </w:rPr>
      </w:pPr>
      <w:r>
        <w:rPr>
          <w:lang w:val="fr-FR"/>
        </w:rPr>
        <w:tab/>
      </w:r>
      <w:r w:rsidR="00C30AFB" w:rsidRPr="00BF7C35">
        <w:rPr>
          <w:lang w:val="fr-FR"/>
        </w:rPr>
        <w:t>Un(e) représentant(e) peut à tout moment demander la clôture du débat, même si un(e) autre représentant(e) a manifesté le désir de prendre la parole. Deux autres représentant(e)s peuvent être autorisé(e)s à intervenir pour s</w:t>
      </w:r>
      <w:r w:rsidR="00C30AFB">
        <w:rPr>
          <w:lang w:val="fr-FR"/>
        </w:rPr>
        <w:t>’</w:t>
      </w:r>
      <w:r w:rsidR="00C30AFB" w:rsidRPr="00BF7C35">
        <w:rPr>
          <w:lang w:val="fr-FR"/>
        </w:rPr>
        <w:t>opposer à la clôture.</w:t>
      </w:r>
    </w:p>
    <w:p w:rsidR="00D36060" w:rsidRPr="00D36060" w:rsidRDefault="00D36060" w:rsidP="00D36060">
      <w:pPr>
        <w:pStyle w:val="SingleTxt"/>
        <w:spacing w:after="0" w:line="120" w:lineRule="exact"/>
        <w:rPr>
          <w:sz w:val="10"/>
          <w:lang w:val="fr-FR"/>
        </w:rPr>
      </w:pPr>
    </w:p>
    <w:p w:rsidR="00C30AFB" w:rsidRDefault="00C30AFB" w:rsidP="00D36060">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BF7C35">
        <w:rPr>
          <w:lang w:val="fr-FR"/>
        </w:rPr>
        <w:tab/>
      </w:r>
      <w:r w:rsidRPr="00BF7C35">
        <w:rPr>
          <w:lang w:val="fr-FR"/>
        </w:rPr>
        <w:tab/>
        <w:t>Article 27</w:t>
      </w:r>
    </w:p>
    <w:p w:rsidR="00D36060" w:rsidRPr="00D36060" w:rsidRDefault="00D36060" w:rsidP="00D36060">
      <w:pPr>
        <w:pStyle w:val="SingleTxt"/>
        <w:spacing w:after="0" w:line="120" w:lineRule="exact"/>
        <w:rPr>
          <w:sz w:val="10"/>
          <w:lang w:val="fr-FR"/>
        </w:rPr>
      </w:pPr>
    </w:p>
    <w:p w:rsidR="00C30AFB" w:rsidRDefault="00D36060" w:rsidP="00D36060">
      <w:pPr>
        <w:pStyle w:val="SingleTxt"/>
        <w:rPr>
          <w:lang w:val="fr-FR"/>
        </w:rPr>
      </w:pPr>
      <w:r>
        <w:rPr>
          <w:lang w:val="fr-FR"/>
        </w:rPr>
        <w:tab/>
      </w:r>
      <w:r w:rsidR="00C30AFB" w:rsidRPr="00BF7C35">
        <w:rPr>
          <w:lang w:val="fr-FR"/>
        </w:rPr>
        <w:t>Le (La) Président(e) consulte le WP.30 sur la motion de clôture. Si le WP.30 approuve la motion, le (la) Président(e) prononce la clôture du débat.</w:t>
      </w:r>
    </w:p>
    <w:p w:rsidR="00D36060" w:rsidRPr="00D36060" w:rsidRDefault="00D36060" w:rsidP="00D36060">
      <w:pPr>
        <w:pStyle w:val="SingleTxt"/>
        <w:spacing w:after="0" w:line="120" w:lineRule="exact"/>
        <w:rPr>
          <w:sz w:val="10"/>
          <w:lang w:val="fr-FR"/>
        </w:rPr>
      </w:pPr>
    </w:p>
    <w:p w:rsidR="00C30AFB" w:rsidRDefault="00C30AFB" w:rsidP="00D3606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tab/>
      </w:r>
      <w:r w:rsidRPr="00BF7C35">
        <w:rPr>
          <w:lang w:val="fr-FR"/>
        </w:rPr>
        <w:tab/>
        <w:t>Article 28</w:t>
      </w:r>
    </w:p>
    <w:p w:rsidR="00D36060" w:rsidRPr="00D36060" w:rsidRDefault="00D36060" w:rsidP="00D36060">
      <w:pPr>
        <w:pStyle w:val="SingleTxt"/>
        <w:spacing w:after="0" w:line="120" w:lineRule="exact"/>
        <w:rPr>
          <w:sz w:val="10"/>
          <w:lang w:val="fr-FR"/>
        </w:rPr>
      </w:pPr>
    </w:p>
    <w:p w:rsidR="00C30AFB" w:rsidRDefault="00D36060" w:rsidP="00D36060">
      <w:pPr>
        <w:pStyle w:val="SingleTxt"/>
        <w:rPr>
          <w:lang w:val="fr-FR"/>
        </w:rPr>
      </w:pPr>
      <w:r>
        <w:rPr>
          <w:lang w:val="fr-FR"/>
        </w:rPr>
        <w:tab/>
      </w:r>
      <w:r w:rsidR="00C30AFB" w:rsidRPr="00BF7C35">
        <w:rPr>
          <w:lang w:val="fr-FR"/>
        </w:rPr>
        <w:t>Les motions et résolutions importantes sont mises aux voix dans l</w:t>
      </w:r>
      <w:r w:rsidR="00C30AFB">
        <w:rPr>
          <w:lang w:val="fr-FR"/>
        </w:rPr>
        <w:t>’</w:t>
      </w:r>
      <w:r w:rsidR="00C30AFB" w:rsidRPr="00BF7C35">
        <w:rPr>
          <w:lang w:val="fr-FR"/>
        </w:rPr>
        <w:t>ordre où elles ont été présentées, à moins que le WP.30 n</w:t>
      </w:r>
      <w:r w:rsidR="00C30AFB">
        <w:rPr>
          <w:lang w:val="fr-FR"/>
        </w:rPr>
        <w:t>’</w:t>
      </w:r>
      <w:r w:rsidR="00C30AFB" w:rsidRPr="00BF7C35">
        <w:rPr>
          <w:lang w:val="fr-FR"/>
        </w:rPr>
        <w:t>en décide autrement.</w:t>
      </w:r>
    </w:p>
    <w:p w:rsidR="00D36060" w:rsidRPr="00D36060" w:rsidRDefault="00D36060" w:rsidP="00D36060">
      <w:pPr>
        <w:pStyle w:val="SingleTxt"/>
        <w:spacing w:after="0" w:line="120" w:lineRule="exact"/>
        <w:rPr>
          <w:sz w:val="10"/>
          <w:lang w:val="fr-FR"/>
        </w:rPr>
      </w:pPr>
    </w:p>
    <w:p w:rsidR="00C30AFB" w:rsidRDefault="00C30AFB" w:rsidP="00D3606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tab/>
      </w:r>
      <w:r w:rsidRPr="00BF7C35">
        <w:rPr>
          <w:lang w:val="fr-FR"/>
        </w:rPr>
        <w:tab/>
        <w:t>Article 29</w:t>
      </w:r>
    </w:p>
    <w:p w:rsidR="00D36060" w:rsidRPr="00D36060" w:rsidRDefault="00D36060" w:rsidP="00D36060">
      <w:pPr>
        <w:pStyle w:val="SingleTxt"/>
        <w:spacing w:after="0" w:line="120" w:lineRule="exact"/>
        <w:rPr>
          <w:sz w:val="10"/>
          <w:lang w:val="fr-FR"/>
        </w:rPr>
      </w:pPr>
    </w:p>
    <w:p w:rsidR="00C30AFB" w:rsidRDefault="00D36060" w:rsidP="00D36060">
      <w:pPr>
        <w:pStyle w:val="SingleTxt"/>
        <w:rPr>
          <w:lang w:val="fr-FR"/>
        </w:rPr>
      </w:pPr>
      <w:r>
        <w:rPr>
          <w:lang w:val="fr-FR"/>
        </w:rPr>
        <w:tab/>
      </w:r>
      <w:r w:rsidR="00C30AFB" w:rsidRPr="00BF7C35">
        <w:rPr>
          <w:lang w:val="fr-FR"/>
        </w:rPr>
        <w:t>Lorsqu</w:t>
      </w:r>
      <w:r w:rsidR="00C30AFB">
        <w:rPr>
          <w:lang w:val="fr-FR"/>
        </w:rPr>
        <w:t>’</w:t>
      </w:r>
      <w:r w:rsidR="00C30AFB" w:rsidRPr="00BF7C35">
        <w:rPr>
          <w:lang w:val="fr-FR"/>
        </w:rPr>
        <w:t>un amendement comporte une révision, un ajout ou une suppression intéressant une proposition, le WP.30 vote d</w:t>
      </w:r>
      <w:r w:rsidR="00C30AFB">
        <w:rPr>
          <w:lang w:val="fr-FR"/>
        </w:rPr>
        <w:t>’</w:t>
      </w:r>
      <w:r w:rsidR="00C30AFB" w:rsidRPr="00BF7C35">
        <w:rPr>
          <w:lang w:val="fr-FR"/>
        </w:rPr>
        <w:t>abord sur cet amendement et, s</w:t>
      </w:r>
      <w:r w:rsidR="00C30AFB">
        <w:rPr>
          <w:lang w:val="fr-FR"/>
        </w:rPr>
        <w:t>’</w:t>
      </w:r>
      <w:r w:rsidR="00C30AFB" w:rsidRPr="00BF7C35">
        <w:rPr>
          <w:lang w:val="fr-FR"/>
        </w:rPr>
        <w:t>il est adopté, vote ensuite sur la proposition modifiée.</w:t>
      </w:r>
    </w:p>
    <w:p w:rsidR="00D36060" w:rsidRPr="00D36060" w:rsidRDefault="00D36060" w:rsidP="00D36060">
      <w:pPr>
        <w:pStyle w:val="SingleTxt"/>
        <w:spacing w:after="0" w:line="120" w:lineRule="exact"/>
        <w:rPr>
          <w:sz w:val="10"/>
          <w:lang w:val="fr-FR"/>
        </w:rPr>
      </w:pPr>
    </w:p>
    <w:p w:rsidR="00C30AFB" w:rsidRDefault="00C30AFB" w:rsidP="003B27E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lastRenderedPageBreak/>
        <w:tab/>
      </w:r>
      <w:r w:rsidRPr="00BF7C35">
        <w:rPr>
          <w:lang w:val="fr-FR"/>
        </w:rPr>
        <w:tab/>
        <w:t>Article 30</w:t>
      </w:r>
    </w:p>
    <w:p w:rsidR="00D36060" w:rsidRPr="00D36060" w:rsidRDefault="00D36060" w:rsidP="003B27E3">
      <w:pPr>
        <w:pStyle w:val="SingleTxt"/>
        <w:keepNext/>
        <w:spacing w:after="0" w:line="120" w:lineRule="exact"/>
        <w:rPr>
          <w:sz w:val="10"/>
          <w:lang w:val="fr-FR"/>
        </w:rPr>
      </w:pPr>
    </w:p>
    <w:p w:rsidR="00C30AFB" w:rsidRDefault="00D36060" w:rsidP="003B27E3">
      <w:pPr>
        <w:pStyle w:val="SingleTxt"/>
        <w:keepNext/>
        <w:rPr>
          <w:rFonts w:eastAsia="Times New Roman"/>
          <w:lang w:val="fr-FR"/>
        </w:rPr>
      </w:pPr>
      <w:r>
        <w:rPr>
          <w:rFonts w:eastAsia="Times New Roman"/>
          <w:lang w:val="fr-FR"/>
        </w:rPr>
        <w:tab/>
      </w:r>
      <w:r w:rsidR="00C30AFB" w:rsidRPr="00BF7C35">
        <w:rPr>
          <w:rFonts w:eastAsia="Times New Roman"/>
          <w:lang w:val="fr-FR"/>
        </w:rPr>
        <w:t>Si deux ou plusieurs amendements à une proposition sont présentés, le WP.30 vote d</w:t>
      </w:r>
      <w:r w:rsidR="00C30AFB">
        <w:rPr>
          <w:rFonts w:eastAsia="Times New Roman"/>
          <w:lang w:val="fr-FR"/>
        </w:rPr>
        <w:t>’</w:t>
      </w:r>
      <w:r w:rsidR="00C30AFB" w:rsidRPr="00BF7C35">
        <w:rPr>
          <w:rFonts w:eastAsia="Times New Roman"/>
          <w:lang w:val="fr-FR"/>
        </w:rPr>
        <w:t>abord sur celui qui s</w:t>
      </w:r>
      <w:r w:rsidR="00C30AFB">
        <w:rPr>
          <w:rFonts w:eastAsia="Times New Roman"/>
          <w:lang w:val="fr-FR"/>
        </w:rPr>
        <w:t>’</w:t>
      </w:r>
      <w:r w:rsidR="00C30AFB" w:rsidRPr="00BF7C35">
        <w:rPr>
          <w:rFonts w:eastAsia="Times New Roman"/>
          <w:lang w:val="fr-FR"/>
        </w:rPr>
        <w:t>éloigne le plus, quant au fond, de la proposition primitive. Il vote ensuite, s</w:t>
      </w:r>
      <w:r w:rsidR="00C30AFB">
        <w:rPr>
          <w:rFonts w:eastAsia="Times New Roman"/>
          <w:lang w:val="fr-FR"/>
        </w:rPr>
        <w:t>’</w:t>
      </w:r>
      <w:r w:rsidR="00C30AFB" w:rsidRPr="00BF7C35">
        <w:rPr>
          <w:rFonts w:eastAsia="Times New Roman"/>
          <w:lang w:val="fr-FR"/>
        </w:rPr>
        <w:t>il y a lieu, sur celui des amendements restants qui s</w:t>
      </w:r>
      <w:r w:rsidR="00C30AFB">
        <w:rPr>
          <w:rFonts w:eastAsia="Times New Roman"/>
          <w:lang w:val="fr-FR"/>
        </w:rPr>
        <w:t>’</w:t>
      </w:r>
      <w:r w:rsidR="00C30AFB" w:rsidRPr="00BF7C35">
        <w:rPr>
          <w:rFonts w:eastAsia="Times New Roman"/>
          <w:lang w:val="fr-FR"/>
        </w:rPr>
        <w:t>en éloigne le plus, et ainsi de suite jusqu</w:t>
      </w:r>
      <w:r w:rsidR="00C30AFB">
        <w:rPr>
          <w:rFonts w:eastAsia="Times New Roman"/>
          <w:lang w:val="fr-FR"/>
        </w:rPr>
        <w:t>’</w:t>
      </w:r>
      <w:r w:rsidR="00C30AFB" w:rsidRPr="00BF7C35">
        <w:rPr>
          <w:rFonts w:eastAsia="Times New Roman"/>
          <w:lang w:val="fr-FR"/>
        </w:rPr>
        <w:t>à ce que tous les amendements aient été mis aux voix.</w:t>
      </w:r>
    </w:p>
    <w:p w:rsidR="009B4015" w:rsidRPr="009B4015" w:rsidRDefault="009B4015" w:rsidP="009B4015">
      <w:pPr>
        <w:pStyle w:val="SingleTxt"/>
        <w:spacing w:after="0" w:line="120" w:lineRule="exact"/>
        <w:rPr>
          <w:rFonts w:eastAsia="Times New Roman"/>
          <w:sz w:val="10"/>
          <w:lang w:val="fr-FR"/>
        </w:rPr>
      </w:pPr>
    </w:p>
    <w:p w:rsidR="00C30AFB" w:rsidRDefault="00C30AFB" w:rsidP="009B4015">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BF7C35">
        <w:rPr>
          <w:lang w:val="fr-FR"/>
        </w:rPr>
        <w:tab/>
      </w:r>
      <w:r w:rsidRPr="00BF7C35">
        <w:rPr>
          <w:lang w:val="fr-FR"/>
        </w:rPr>
        <w:tab/>
        <w:t>Article 31</w:t>
      </w:r>
    </w:p>
    <w:p w:rsidR="009B4015" w:rsidRPr="009B4015" w:rsidRDefault="009B4015" w:rsidP="009B4015">
      <w:pPr>
        <w:pStyle w:val="SingleTxt"/>
        <w:keepNext/>
        <w:spacing w:after="0" w:line="120" w:lineRule="exact"/>
        <w:rPr>
          <w:sz w:val="10"/>
          <w:lang w:val="fr-FR"/>
        </w:rPr>
      </w:pPr>
    </w:p>
    <w:p w:rsidR="00C30AFB" w:rsidRDefault="009B4015" w:rsidP="009B4015">
      <w:pPr>
        <w:pStyle w:val="SingleTxt"/>
        <w:rPr>
          <w:rFonts w:eastAsia="Times New Roman"/>
          <w:lang w:val="fr-FR"/>
        </w:rPr>
      </w:pPr>
      <w:r>
        <w:rPr>
          <w:rFonts w:eastAsia="Times New Roman"/>
          <w:lang w:val="fr-FR"/>
        </w:rPr>
        <w:tab/>
      </w:r>
      <w:r w:rsidR="00C30AFB" w:rsidRPr="00BF7C35">
        <w:rPr>
          <w:rFonts w:eastAsia="Times New Roman"/>
          <w:lang w:val="fr-FR"/>
        </w:rPr>
        <w:t>Le WP.30 peut décider, à la demande d</w:t>
      </w:r>
      <w:r w:rsidR="00C30AFB">
        <w:rPr>
          <w:rFonts w:eastAsia="Times New Roman"/>
          <w:lang w:val="fr-FR"/>
        </w:rPr>
        <w:t>’</w:t>
      </w:r>
      <w:r w:rsidR="00C30AFB" w:rsidRPr="00BF7C35">
        <w:rPr>
          <w:rFonts w:eastAsia="Times New Roman"/>
          <w:lang w:val="fr-FR"/>
        </w:rPr>
        <w:t>un(e) représentant(e), qu</w:t>
      </w:r>
      <w:r w:rsidR="00C30AFB">
        <w:rPr>
          <w:rFonts w:eastAsia="Times New Roman"/>
          <w:lang w:val="fr-FR"/>
        </w:rPr>
        <w:t>’</w:t>
      </w:r>
      <w:r w:rsidR="00C30AFB" w:rsidRPr="00BF7C35">
        <w:rPr>
          <w:rFonts w:eastAsia="Times New Roman"/>
          <w:lang w:val="fr-FR"/>
        </w:rPr>
        <w:t>une motion ou résolution sera mise aux voix section par section. Dans ce cas, le texte constitué par l</w:t>
      </w:r>
      <w:r w:rsidR="00C30AFB">
        <w:rPr>
          <w:rFonts w:eastAsia="Times New Roman"/>
          <w:lang w:val="fr-FR"/>
        </w:rPr>
        <w:t>’</w:t>
      </w:r>
      <w:r w:rsidR="00C30AFB" w:rsidRPr="00BF7C35">
        <w:rPr>
          <w:rFonts w:eastAsia="Times New Roman"/>
          <w:lang w:val="fr-FR"/>
        </w:rPr>
        <w:t>ensemble des sections adoptées est ensuite mis aux voix dans son ensemble.</w:t>
      </w:r>
    </w:p>
    <w:p w:rsidR="009B4015" w:rsidRPr="009B4015" w:rsidRDefault="009B4015" w:rsidP="009B4015">
      <w:pPr>
        <w:pStyle w:val="SingleTxt"/>
        <w:spacing w:after="0" w:line="120" w:lineRule="exact"/>
        <w:rPr>
          <w:rFonts w:eastAsia="Times New Roman"/>
          <w:sz w:val="10"/>
          <w:lang w:val="fr-FR"/>
        </w:rPr>
      </w:pPr>
    </w:p>
    <w:p w:rsidR="00C30AFB" w:rsidRDefault="00C30AFB" w:rsidP="009B401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tab/>
      </w:r>
      <w:r w:rsidRPr="00BF7C35">
        <w:rPr>
          <w:lang w:val="fr-FR"/>
        </w:rPr>
        <w:tab/>
        <w:t>Article 32</w:t>
      </w:r>
    </w:p>
    <w:p w:rsidR="009B4015" w:rsidRPr="009B4015" w:rsidRDefault="009B4015" w:rsidP="009B4015">
      <w:pPr>
        <w:pStyle w:val="SingleTxt"/>
        <w:spacing w:after="0" w:line="120" w:lineRule="exact"/>
        <w:rPr>
          <w:sz w:val="10"/>
          <w:lang w:val="fr-FR"/>
        </w:rPr>
      </w:pPr>
    </w:p>
    <w:p w:rsidR="00C30AFB" w:rsidRDefault="009B4015" w:rsidP="009B4015">
      <w:pPr>
        <w:pStyle w:val="SingleTxt"/>
        <w:rPr>
          <w:rFonts w:eastAsia="Times New Roman"/>
          <w:lang w:val="fr-FR"/>
        </w:rPr>
      </w:pPr>
      <w:r>
        <w:rPr>
          <w:rFonts w:eastAsia="Times New Roman"/>
          <w:lang w:val="fr-FR"/>
        </w:rPr>
        <w:tab/>
      </w:r>
      <w:r w:rsidR="00C30AFB" w:rsidRPr="00BF7C35">
        <w:rPr>
          <w:rFonts w:eastAsia="Times New Roman"/>
          <w:lang w:val="fr-FR"/>
        </w:rPr>
        <w:t>Tout représentant a le droit de faire connaître sa position et peut demander qu</w:t>
      </w:r>
      <w:r w:rsidR="00C30AFB">
        <w:rPr>
          <w:rFonts w:eastAsia="Times New Roman"/>
          <w:lang w:val="fr-FR"/>
        </w:rPr>
        <w:t>’</w:t>
      </w:r>
      <w:r w:rsidR="00C30AFB" w:rsidRPr="00BF7C35">
        <w:rPr>
          <w:rFonts w:eastAsia="Times New Roman"/>
          <w:lang w:val="fr-FR"/>
        </w:rPr>
        <w:t>elle soit consignée, sous une forme résumée, dans le rapport de la session.</w:t>
      </w:r>
    </w:p>
    <w:p w:rsidR="009B4015" w:rsidRPr="009B4015" w:rsidRDefault="009B4015" w:rsidP="009B4015">
      <w:pPr>
        <w:pStyle w:val="SingleTxt"/>
        <w:spacing w:after="0" w:line="120" w:lineRule="exact"/>
        <w:rPr>
          <w:rFonts w:eastAsia="Times New Roman"/>
          <w:sz w:val="10"/>
          <w:lang w:val="fr-FR"/>
        </w:rPr>
      </w:pPr>
    </w:p>
    <w:p w:rsidR="00C30AFB" w:rsidRDefault="00C30AFB" w:rsidP="009B4015">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BF7C35">
        <w:rPr>
          <w:lang w:val="fr-FR"/>
        </w:rPr>
        <w:tab/>
      </w:r>
      <w:r w:rsidRPr="00BF7C35">
        <w:rPr>
          <w:lang w:val="fr-FR"/>
        </w:rPr>
        <w:tab/>
        <w:t>Article 33</w:t>
      </w:r>
    </w:p>
    <w:p w:rsidR="009B4015" w:rsidRPr="009B4015" w:rsidRDefault="009B4015" w:rsidP="009B4015">
      <w:pPr>
        <w:pStyle w:val="SingleTxt"/>
        <w:spacing w:after="0" w:line="120" w:lineRule="exact"/>
        <w:rPr>
          <w:sz w:val="10"/>
          <w:lang w:val="fr-FR"/>
        </w:rPr>
      </w:pPr>
    </w:p>
    <w:p w:rsidR="00C30AFB" w:rsidRDefault="009B4015" w:rsidP="009B4015">
      <w:pPr>
        <w:pStyle w:val="SingleTxt"/>
        <w:rPr>
          <w:rFonts w:eastAsia="Times New Roman"/>
          <w:lang w:val="fr-FR"/>
        </w:rPr>
      </w:pPr>
      <w:r>
        <w:rPr>
          <w:rFonts w:eastAsia="Times New Roman"/>
          <w:lang w:val="fr-FR"/>
        </w:rPr>
        <w:tab/>
      </w:r>
      <w:r w:rsidR="00C30AFB" w:rsidRPr="00BF7C35">
        <w:rPr>
          <w:rFonts w:eastAsia="Times New Roman"/>
          <w:lang w:val="fr-FR"/>
        </w:rPr>
        <w:t>À la fin de chaque session, le WP.30 adopte un rapport sur la base d</w:t>
      </w:r>
      <w:r w:rsidR="00C30AFB">
        <w:rPr>
          <w:rFonts w:eastAsia="Times New Roman"/>
          <w:lang w:val="fr-FR"/>
        </w:rPr>
        <w:t>’</w:t>
      </w:r>
      <w:r w:rsidR="00C30AFB" w:rsidRPr="00BF7C35">
        <w:rPr>
          <w:rFonts w:eastAsia="Times New Roman"/>
          <w:lang w:val="fr-FR"/>
        </w:rPr>
        <w:t>un projet élaboré par le secrétariat.</w:t>
      </w:r>
    </w:p>
    <w:p w:rsidR="009B4015" w:rsidRPr="009B4015" w:rsidRDefault="009B4015" w:rsidP="009B4015">
      <w:pPr>
        <w:pStyle w:val="SingleTxt"/>
        <w:spacing w:after="0" w:line="120" w:lineRule="exact"/>
        <w:rPr>
          <w:rFonts w:eastAsia="Times New Roman"/>
          <w:sz w:val="10"/>
          <w:lang w:val="fr-FR"/>
        </w:rPr>
      </w:pPr>
    </w:p>
    <w:p w:rsidR="009B4015" w:rsidRPr="009B4015" w:rsidRDefault="009B4015" w:rsidP="009B4015">
      <w:pPr>
        <w:pStyle w:val="SingleTxt"/>
        <w:spacing w:after="0" w:line="120" w:lineRule="exact"/>
        <w:rPr>
          <w:rFonts w:eastAsia="Times New Roman"/>
          <w:sz w:val="10"/>
          <w:lang w:val="fr-FR"/>
        </w:rPr>
      </w:pPr>
    </w:p>
    <w:p w:rsidR="00C30AFB" w:rsidRDefault="00C30AFB" w:rsidP="009B401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tab/>
      </w:r>
      <w:r w:rsidRPr="00BF7C35">
        <w:rPr>
          <w:lang w:val="fr-FR"/>
        </w:rPr>
        <w:tab/>
        <w:t>Chapitre VIII</w:t>
      </w:r>
    </w:p>
    <w:p w:rsidR="009B4015" w:rsidRPr="009B4015" w:rsidRDefault="009B4015" w:rsidP="009B4015">
      <w:pPr>
        <w:pStyle w:val="SingleTxt"/>
        <w:spacing w:after="0" w:line="120" w:lineRule="exact"/>
        <w:rPr>
          <w:sz w:val="10"/>
          <w:lang w:val="fr-FR"/>
        </w:rPr>
      </w:pPr>
    </w:p>
    <w:p w:rsidR="009B4015" w:rsidRPr="009B4015" w:rsidRDefault="009B4015" w:rsidP="009B4015">
      <w:pPr>
        <w:pStyle w:val="SingleTxt"/>
        <w:spacing w:after="0" w:line="120" w:lineRule="exact"/>
        <w:rPr>
          <w:sz w:val="10"/>
          <w:lang w:val="fr-FR"/>
        </w:rPr>
      </w:pPr>
    </w:p>
    <w:p w:rsidR="00C30AFB" w:rsidRDefault="00C30AFB" w:rsidP="009B401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tab/>
      </w:r>
      <w:r w:rsidRPr="00BF7C35">
        <w:rPr>
          <w:lang w:val="fr-FR"/>
        </w:rPr>
        <w:tab/>
        <w:t>Vote</w:t>
      </w:r>
    </w:p>
    <w:p w:rsidR="009B4015" w:rsidRPr="009B4015" w:rsidRDefault="009B4015" w:rsidP="009B4015">
      <w:pPr>
        <w:pStyle w:val="SingleTxt"/>
        <w:spacing w:after="0" w:line="120" w:lineRule="exact"/>
        <w:rPr>
          <w:sz w:val="10"/>
          <w:lang w:val="fr-FR"/>
        </w:rPr>
      </w:pPr>
    </w:p>
    <w:p w:rsidR="009B4015" w:rsidRPr="009B4015" w:rsidRDefault="009B4015" w:rsidP="009B4015">
      <w:pPr>
        <w:pStyle w:val="SingleTxt"/>
        <w:spacing w:after="0" w:line="120" w:lineRule="exact"/>
        <w:rPr>
          <w:sz w:val="10"/>
          <w:lang w:val="fr-FR"/>
        </w:rPr>
      </w:pPr>
    </w:p>
    <w:p w:rsidR="00C30AFB" w:rsidRDefault="00C30AFB" w:rsidP="009B4015">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BF7C35">
        <w:rPr>
          <w:lang w:val="fr-FR"/>
        </w:rPr>
        <w:tab/>
      </w:r>
      <w:r w:rsidRPr="00BF7C35">
        <w:rPr>
          <w:lang w:val="fr-FR"/>
        </w:rPr>
        <w:tab/>
        <w:t>Article 34</w:t>
      </w:r>
    </w:p>
    <w:p w:rsidR="009B4015" w:rsidRPr="009B4015" w:rsidRDefault="009B4015" w:rsidP="009B4015">
      <w:pPr>
        <w:pStyle w:val="SingleTxt"/>
        <w:spacing w:after="0" w:line="120" w:lineRule="exact"/>
        <w:rPr>
          <w:sz w:val="10"/>
          <w:lang w:val="fr-FR"/>
        </w:rPr>
      </w:pPr>
    </w:p>
    <w:p w:rsidR="00C30AFB" w:rsidRDefault="009B4015" w:rsidP="009B4015">
      <w:pPr>
        <w:pStyle w:val="SingleTxt"/>
        <w:rPr>
          <w:lang w:val="fr-FR"/>
        </w:rPr>
      </w:pPr>
      <w:r>
        <w:rPr>
          <w:lang w:val="fr-FR"/>
        </w:rPr>
        <w:tab/>
      </w:r>
      <w:r w:rsidR="00C30AFB" w:rsidRPr="00BF7C35">
        <w:rPr>
          <w:lang w:val="fr-FR"/>
        </w:rPr>
        <w:t>Chaque participant de plein droit dispose d</w:t>
      </w:r>
      <w:r w:rsidR="00C30AFB">
        <w:rPr>
          <w:lang w:val="fr-FR"/>
        </w:rPr>
        <w:t>’</w:t>
      </w:r>
      <w:r w:rsidR="00C30AFB" w:rsidRPr="00BF7C35">
        <w:rPr>
          <w:lang w:val="fr-FR"/>
        </w:rPr>
        <w:t>une voix au sein du WP.30.</w:t>
      </w:r>
    </w:p>
    <w:p w:rsidR="009B4015" w:rsidRPr="009B4015" w:rsidRDefault="009B4015" w:rsidP="009B4015">
      <w:pPr>
        <w:pStyle w:val="SingleTxt"/>
        <w:spacing w:after="0" w:line="120" w:lineRule="exact"/>
        <w:rPr>
          <w:sz w:val="10"/>
          <w:lang w:val="fr-FR"/>
        </w:rPr>
      </w:pPr>
    </w:p>
    <w:p w:rsidR="00C30AFB" w:rsidRDefault="00C30AFB" w:rsidP="009B4015">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BF7C35">
        <w:rPr>
          <w:lang w:val="fr-FR"/>
        </w:rPr>
        <w:tab/>
      </w:r>
      <w:r w:rsidRPr="00BF7C35">
        <w:rPr>
          <w:lang w:val="fr-FR"/>
        </w:rPr>
        <w:tab/>
        <w:t>Article 35</w:t>
      </w:r>
    </w:p>
    <w:p w:rsidR="009B4015" w:rsidRPr="009B4015" w:rsidRDefault="009B4015" w:rsidP="009B4015">
      <w:pPr>
        <w:pStyle w:val="SingleTxt"/>
        <w:spacing w:after="0" w:line="120" w:lineRule="exact"/>
        <w:rPr>
          <w:sz w:val="10"/>
          <w:lang w:val="fr-FR"/>
        </w:rPr>
      </w:pPr>
    </w:p>
    <w:p w:rsidR="00C30AFB" w:rsidRDefault="009B4015" w:rsidP="009B4015">
      <w:pPr>
        <w:pStyle w:val="SingleTxt"/>
        <w:rPr>
          <w:lang w:val="fr-FR"/>
        </w:rPr>
      </w:pPr>
      <w:r>
        <w:rPr>
          <w:lang w:val="fr-FR"/>
        </w:rPr>
        <w:tab/>
      </w:r>
      <w:r w:rsidR="00C30AFB" w:rsidRPr="00BF7C35">
        <w:rPr>
          <w:lang w:val="fr-FR"/>
        </w:rPr>
        <w:t>Les décisions du WP.30 sont normalement prises par consensus. À défaut, elles le sont à la majorité des participants de plein droit présents et votants. Les décisions relatives à un instrument juridique en vigueur ne doivent être prises qu</w:t>
      </w:r>
      <w:r w:rsidR="00C30AFB">
        <w:rPr>
          <w:lang w:val="fr-FR"/>
        </w:rPr>
        <w:t>’</w:t>
      </w:r>
      <w:r w:rsidR="00C30AFB" w:rsidRPr="00BF7C35">
        <w:rPr>
          <w:lang w:val="fr-FR"/>
        </w:rPr>
        <w:t>en présence d</w:t>
      </w:r>
      <w:r w:rsidR="00C30AFB">
        <w:rPr>
          <w:lang w:val="fr-FR"/>
        </w:rPr>
        <w:t>’</w:t>
      </w:r>
      <w:r w:rsidR="00C30AFB" w:rsidRPr="00BF7C35">
        <w:rPr>
          <w:lang w:val="fr-FR"/>
        </w:rPr>
        <w:t>au moins un tiers du total des Parties contractantes.</w:t>
      </w:r>
    </w:p>
    <w:p w:rsidR="0065714B" w:rsidRPr="0065714B" w:rsidRDefault="0065714B" w:rsidP="0065714B">
      <w:pPr>
        <w:pStyle w:val="SingleTxt"/>
        <w:spacing w:after="0" w:line="120" w:lineRule="exact"/>
        <w:rPr>
          <w:sz w:val="10"/>
          <w:lang w:val="fr-FR"/>
        </w:rPr>
      </w:pPr>
    </w:p>
    <w:p w:rsidR="00C30AFB" w:rsidRDefault="00C30AFB" w:rsidP="0065714B">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BF7C35">
        <w:rPr>
          <w:lang w:val="fr-FR"/>
        </w:rPr>
        <w:tab/>
      </w:r>
      <w:r w:rsidRPr="00BF7C35">
        <w:rPr>
          <w:lang w:val="fr-FR"/>
        </w:rPr>
        <w:tab/>
        <w:t>Article 36</w:t>
      </w:r>
    </w:p>
    <w:p w:rsidR="0065714B" w:rsidRPr="0065714B" w:rsidRDefault="0065714B" w:rsidP="0065714B">
      <w:pPr>
        <w:pStyle w:val="SingleTxt"/>
        <w:spacing w:after="0" w:line="120" w:lineRule="exact"/>
        <w:rPr>
          <w:sz w:val="10"/>
          <w:lang w:val="fr-FR"/>
        </w:rPr>
      </w:pPr>
    </w:p>
    <w:p w:rsidR="00C30AFB" w:rsidRDefault="0065714B" w:rsidP="0065714B">
      <w:pPr>
        <w:pStyle w:val="SingleTxt"/>
        <w:rPr>
          <w:rFonts w:eastAsia="Times New Roman"/>
          <w:lang w:val="fr-FR"/>
        </w:rPr>
      </w:pPr>
      <w:r>
        <w:rPr>
          <w:rFonts w:eastAsia="Times New Roman"/>
          <w:lang w:val="fr-FR"/>
        </w:rPr>
        <w:tab/>
      </w:r>
      <w:r w:rsidR="00C30AFB" w:rsidRPr="00BF7C35">
        <w:rPr>
          <w:rFonts w:eastAsia="Times New Roman"/>
          <w:lang w:val="fr-FR"/>
        </w:rPr>
        <w:t>Les votes du WP.30 ont lieu normalement à main levée. Si un(e) représentant(e) demande qu</w:t>
      </w:r>
      <w:r w:rsidR="00C30AFB">
        <w:rPr>
          <w:rFonts w:eastAsia="Times New Roman"/>
          <w:lang w:val="fr-FR"/>
        </w:rPr>
        <w:t>’</w:t>
      </w:r>
      <w:r w:rsidR="00C30AFB" w:rsidRPr="00BF7C35">
        <w:rPr>
          <w:rFonts w:eastAsia="Times New Roman"/>
          <w:lang w:val="fr-FR"/>
        </w:rPr>
        <w:t>il soit procédé à un scrutin par appel nominal, il en sera ainsi fait, et les noms des participants en droit de voter conformément au présent Règlement seront appelés dans l</w:t>
      </w:r>
      <w:r w:rsidR="00C30AFB">
        <w:rPr>
          <w:rFonts w:eastAsia="Times New Roman"/>
          <w:lang w:val="fr-FR"/>
        </w:rPr>
        <w:t>’</w:t>
      </w:r>
      <w:r w:rsidR="00C30AFB" w:rsidRPr="00BF7C35">
        <w:rPr>
          <w:rFonts w:eastAsia="Times New Roman"/>
          <w:lang w:val="fr-FR"/>
        </w:rPr>
        <w:t>ordre alphabétique anglais.</w:t>
      </w:r>
    </w:p>
    <w:p w:rsidR="0065714B" w:rsidRPr="0065714B" w:rsidRDefault="0065714B" w:rsidP="0065714B">
      <w:pPr>
        <w:pStyle w:val="SingleTxt"/>
        <w:spacing w:after="0" w:line="120" w:lineRule="exact"/>
        <w:rPr>
          <w:rFonts w:eastAsia="Times New Roman"/>
          <w:sz w:val="10"/>
          <w:lang w:val="fr-FR"/>
        </w:rPr>
      </w:pPr>
    </w:p>
    <w:p w:rsidR="00C30AFB" w:rsidRDefault="00C30AFB" w:rsidP="0065714B">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BF7C35">
        <w:rPr>
          <w:lang w:val="fr-FR"/>
        </w:rPr>
        <w:tab/>
      </w:r>
      <w:r w:rsidRPr="00BF7C35">
        <w:rPr>
          <w:lang w:val="fr-FR"/>
        </w:rPr>
        <w:tab/>
        <w:t>Article 37</w:t>
      </w:r>
    </w:p>
    <w:p w:rsidR="0065714B" w:rsidRPr="0065714B" w:rsidRDefault="0065714B" w:rsidP="0065714B">
      <w:pPr>
        <w:pStyle w:val="SingleTxt"/>
        <w:spacing w:after="0" w:line="120" w:lineRule="exact"/>
        <w:rPr>
          <w:sz w:val="10"/>
          <w:lang w:val="fr-FR"/>
        </w:rPr>
      </w:pPr>
    </w:p>
    <w:p w:rsidR="00C30AFB" w:rsidRDefault="0065714B" w:rsidP="0065714B">
      <w:pPr>
        <w:pStyle w:val="SingleTxt"/>
        <w:rPr>
          <w:lang w:val="fr-FR"/>
        </w:rPr>
      </w:pPr>
      <w:r>
        <w:rPr>
          <w:lang w:val="fr-FR"/>
        </w:rPr>
        <w:tab/>
      </w:r>
      <w:r w:rsidR="00C30AFB" w:rsidRPr="00BF7C35">
        <w:rPr>
          <w:lang w:val="fr-FR"/>
        </w:rPr>
        <w:t>Toutes les élections ont lieu au scrutin secret à moins que le WP.30 ne décide, en l</w:t>
      </w:r>
      <w:r w:rsidR="00C30AFB">
        <w:rPr>
          <w:lang w:val="fr-FR"/>
        </w:rPr>
        <w:t>’</w:t>
      </w:r>
      <w:r w:rsidR="00C30AFB" w:rsidRPr="00BF7C35">
        <w:rPr>
          <w:lang w:val="fr-FR"/>
        </w:rPr>
        <w:t>absence d</w:t>
      </w:r>
      <w:r w:rsidR="00C30AFB">
        <w:rPr>
          <w:lang w:val="fr-FR"/>
        </w:rPr>
        <w:t>’</w:t>
      </w:r>
      <w:r w:rsidR="00C30AFB" w:rsidRPr="00BF7C35">
        <w:rPr>
          <w:lang w:val="fr-FR"/>
        </w:rPr>
        <w:t>objection, de nommer sans vote un candidat ou une liste de candidats ayant fait l</w:t>
      </w:r>
      <w:r w:rsidR="00C30AFB">
        <w:rPr>
          <w:lang w:val="fr-FR"/>
        </w:rPr>
        <w:t>’</w:t>
      </w:r>
      <w:r w:rsidR="00C30AFB" w:rsidRPr="00BF7C35">
        <w:rPr>
          <w:lang w:val="fr-FR"/>
        </w:rPr>
        <w:t>objet d</w:t>
      </w:r>
      <w:r w:rsidR="00C30AFB">
        <w:rPr>
          <w:lang w:val="fr-FR"/>
        </w:rPr>
        <w:t>’</w:t>
      </w:r>
      <w:r w:rsidR="00C30AFB" w:rsidRPr="00BF7C35">
        <w:rPr>
          <w:lang w:val="fr-FR"/>
        </w:rPr>
        <w:t>un accord.</w:t>
      </w:r>
    </w:p>
    <w:p w:rsidR="0065714B" w:rsidRPr="0065714B" w:rsidRDefault="0065714B" w:rsidP="0065714B">
      <w:pPr>
        <w:pStyle w:val="SingleTxt"/>
        <w:spacing w:after="0" w:line="120" w:lineRule="exact"/>
        <w:rPr>
          <w:sz w:val="10"/>
          <w:lang w:val="fr-FR"/>
        </w:rPr>
      </w:pPr>
    </w:p>
    <w:p w:rsidR="00C30AFB" w:rsidRDefault="00C30AFB" w:rsidP="0065714B">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BF7C35">
        <w:rPr>
          <w:lang w:val="fr-FR"/>
        </w:rPr>
        <w:tab/>
      </w:r>
      <w:r w:rsidRPr="00BF7C35">
        <w:rPr>
          <w:lang w:val="fr-FR"/>
        </w:rPr>
        <w:tab/>
        <w:t>Article 38</w:t>
      </w:r>
    </w:p>
    <w:p w:rsidR="0065714B" w:rsidRPr="0065714B" w:rsidRDefault="0065714B" w:rsidP="0065714B">
      <w:pPr>
        <w:pStyle w:val="SingleTxt"/>
        <w:spacing w:after="0" w:line="120" w:lineRule="exact"/>
        <w:rPr>
          <w:sz w:val="10"/>
          <w:lang w:val="fr-FR"/>
        </w:rPr>
      </w:pPr>
    </w:p>
    <w:p w:rsidR="00C30AFB" w:rsidRDefault="0065714B" w:rsidP="0065714B">
      <w:pPr>
        <w:pStyle w:val="SingleTxt"/>
        <w:rPr>
          <w:rFonts w:eastAsia="Times New Roman"/>
          <w:lang w:val="fr-FR"/>
        </w:rPr>
      </w:pPr>
      <w:r>
        <w:rPr>
          <w:rFonts w:eastAsia="Times New Roman"/>
          <w:lang w:val="fr-FR"/>
        </w:rPr>
        <w:tab/>
      </w:r>
      <w:r w:rsidR="00C30AFB" w:rsidRPr="00BF7C35">
        <w:rPr>
          <w:rFonts w:eastAsia="Times New Roman"/>
          <w:lang w:val="fr-FR"/>
        </w:rPr>
        <w:t>Si, lors d</w:t>
      </w:r>
      <w:r w:rsidR="00C30AFB">
        <w:rPr>
          <w:rFonts w:eastAsia="Times New Roman"/>
          <w:lang w:val="fr-FR"/>
        </w:rPr>
        <w:t>’</w:t>
      </w:r>
      <w:r w:rsidR="00C30AFB" w:rsidRPr="00BF7C35">
        <w:rPr>
          <w:rFonts w:eastAsia="Times New Roman"/>
          <w:lang w:val="fr-FR"/>
        </w:rPr>
        <w:t>un vote relatif à une question autre qu</w:t>
      </w:r>
      <w:r w:rsidR="00C30AFB">
        <w:rPr>
          <w:rFonts w:eastAsia="Times New Roman"/>
          <w:lang w:val="fr-FR"/>
        </w:rPr>
        <w:t>’</w:t>
      </w:r>
      <w:r w:rsidR="00C30AFB" w:rsidRPr="00BF7C35">
        <w:rPr>
          <w:rFonts w:eastAsia="Times New Roman"/>
          <w:lang w:val="fr-FR"/>
        </w:rPr>
        <w:t>une élection, il y a partage égal des voix, le WP.30 procède à un second vote à la séance suivante. S</w:t>
      </w:r>
      <w:r w:rsidR="00C30AFB">
        <w:rPr>
          <w:rFonts w:eastAsia="Times New Roman"/>
          <w:lang w:val="fr-FR"/>
        </w:rPr>
        <w:t>’</w:t>
      </w:r>
      <w:r w:rsidR="00C30AFB" w:rsidRPr="00BF7C35">
        <w:rPr>
          <w:rFonts w:eastAsia="Times New Roman"/>
          <w:lang w:val="fr-FR"/>
        </w:rPr>
        <w:t xml:space="preserve">il y a de nouveau partage égal des voix, la </w:t>
      </w:r>
      <w:r w:rsidR="00C30AFB" w:rsidRPr="0065714B">
        <w:rPr>
          <w:lang w:val="fr-FR"/>
        </w:rPr>
        <w:t>proposition</w:t>
      </w:r>
      <w:r w:rsidR="00C30AFB" w:rsidRPr="00BF7C35">
        <w:rPr>
          <w:rFonts w:eastAsia="Times New Roman"/>
          <w:lang w:val="fr-FR"/>
        </w:rPr>
        <w:t xml:space="preserve"> est considérée comme rejetée.</w:t>
      </w:r>
    </w:p>
    <w:p w:rsidR="0060644F" w:rsidRPr="0060644F" w:rsidRDefault="0060644F" w:rsidP="0060644F">
      <w:pPr>
        <w:pStyle w:val="SingleTxt"/>
        <w:spacing w:after="0" w:line="120" w:lineRule="exact"/>
        <w:rPr>
          <w:rFonts w:eastAsia="Times New Roman"/>
          <w:sz w:val="10"/>
          <w:lang w:val="fr-FR"/>
        </w:rPr>
      </w:pPr>
    </w:p>
    <w:p w:rsidR="0060644F" w:rsidRPr="0060644F" w:rsidRDefault="0060644F" w:rsidP="0060644F">
      <w:pPr>
        <w:pStyle w:val="SingleTxt"/>
        <w:spacing w:after="0" w:line="120" w:lineRule="exact"/>
        <w:rPr>
          <w:rFonts w:eastAsia="Times New Roman"/>
          <w:sz w:val="10"/>
          <w:lang w:val="fr-FR"/>
        </w:rPr>
      </w:pPr>
    </w:p>
    <w:p w:rsidR="00C30AFB" w:rsidRDefault="00C30AFB" w:rsidP="0060644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lastRenderedPageBreak/>
        <w:tab/>
      </w:r>
      <w:r w:rsidRPr="00BF7C35">
        <w:rPr>
          <w:lang w:val="fr-FR"/>
        </w:rPr>
        <w:tab/>
        <w:t>Chapitre IX</w:t>
      </w:r>
    </w:p>
    <w:p w:rsidR="0060644F" w:rsidRPr="0060644F" w:rsidRDefault="0060644F" w:rsidP="0060644F">
      <w:pPr>
        <w:pStyle w:val="SingleTxt"/>
        <w:keepNext/>
        <w:spacing w:after="0" w:line="120" w:lineRule="exact"/>
        <w:rPr>
          <w:sz w:val="10"/>
          <w:lang w:val="fr-FR"/>
        </w:rPr>
      </w:pPr>
    </w:p>
    <w:p w:rsidR="0060644F" w:rsidRPr="0060644F" w:rsidRDefault="0060644F" w:rsidP="0060644F">
      <w:pPr>
        <w:pStyle w:val="SingleTxt"/>
        <w:keepNext/>
        <w:spacing w:after="0" w:line="120" w:lineRule="exact"/>
        <w:rPr>
          <w:sz w:val="10"/>
          <w:lang w:val="fr-FR"/>
        </w:rPr>
      </w:pPr>
    </w:p>
    <w:p w:rsidR="00C30AFB" w:rsidRDefault="00C30AFB" w:rsidP="0060644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tab/>
      </w:r>
      <w:r w:rsidRPr="00BF7C35">
        <w:rPr>
          <w:lang w:val="fr-FR"/>
        </w:rPr>
        <w:tab/>
        <w:t>Langues</w:t>
      </w:r>
    </w:p>
    <w:p w:rsidR="0060644F" w:rsidRPr="0060644F" w:rsidRDefault="0060644F" w:rsidP="0060644F">
      <w:pPr>
        <w:pStyle w:val="SingleTxt"/>
        <w:keepNext/>
        <w:spacing w:after="0" w:line="120" w:lineRule="exact"/>
        <w:rPr>
          <w:sz w:val="10"/>
          <w:lang w:val="fr-FR"/>
        </w:rPr>
      </w:pPr>
    </w:p>
    <w:p w:rsidR="0060644F" w:rsidRPr="0060644F" w:rsidRDefault="0060644F" w:rsidP="0060644F">
      <w:pPr>
        <w:pStyle w:val="SingleTxt"/>
        <w:keepNext/>
        <w:spacing w:after="0" w:line="120" w:lineRule="exact"/>
        <w:rPr>
          <w:sz w:val="10"/>
          <w:lang w:val="fr-FR"/>
        </w:rPr>
      </w:pPr>
    </w:p>
    <w:p w:rsidR="00C30AFB" w:rsidRDefault="00C30AFB" w:rsidP="0060644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tab/>
      </w:r>
      <w:r w:rsidRPr="00BF7C35">
        <w:rPr>
          <w:lang w:val="fr-FR"/>
        </w:rPr>
        <w:tab/>
        <w:t>Article 39</w:t>
      </w:r>
    </w:p>
    <w:p w:rsidR="0060644F" w:rsidRPr="0060644F" w:rsidRDefault="0060644F" w:rsidP="0060644F">
      <w:pPr>
        <w:pStyle w:val="SingleTxt"/>
        <w:keepNext/>
        <w:spacing w:after="0" w:line="120" w:lineRule="exact"/>
        <w:rPr>
          <w:sz w:val="10"/>
          <w:lang w:val="fr-FR"/>
        </w:rPr>
      </w:pPr>
    </w:p>
    <w:p w:rsidR="00C30AFB" w:rsidRDefault="0060644F" w:rsidP="0060644F">
      <w:pPr>
        <w:pStyle w:val="SingleTxt"/>
        <w:rPr>
          <w:rFonts w:eastAsia="Times New Roman"/>
          <w:lang w:val="fr-FR"/>
        </w:rPr>
      </w:pPr>
      <w:r>
        <w:rPr>
          <w:rFonts w:eastAsia="Times New Roman"/>
          <w:lang w:val="fr-FR"/>
        </w:rPr>
        <w:tab/>
      </w:r>
      <w:r w:rsidR="00C30AFB" w:rsidRPr="00BF7C35">
        <w:rPr>
          <w:rFonts w:eastAsia="Times New Roman"/>
          <w:lang w:val="fr-FR"/>
        </w:rPr>
        <w:t>L</w:t>
      </w:r>
      <w:r w:rsidR="00C30AFB">
        <w:rPr>
          <w:rFonts w:eastAsia="Times New Roman"/>
          <w:lang w:val="fr-FR"/>
        </w:rPr>
        <w:t>’</w:t>
      </w:r>
      <w:r w:rsidR="00C30AFB" w:rsidRPr="00BF7C35">
        <w:rPr>
          <w:rFonts w:eastAsia="Times New Roman"/>
          <w:lang w:val="fr-FR"/>
        </w:rPr>
        <w:t>anglais, le français et le russe sont les langues de travail du WP.30. Les interventions faites dans l</w:t>
      </w:r>
      <w:r w:rsidR="00C30AFB">
        <w:rPr>
          <w:rFonts w:eastAsia="Times New Roman"/>
          <w:lang w:val="fr-FR"/>
        </w:rPr>
        <w:t>’</w:t>
      </w:r>
      <w:r w:rsidR="00C30AFB" w:rsidRPr="00BF7C35">
        <w:rPr>
          <w:rFonts w:eastAsia="Times New Roman"/>
          <w:lang w:val="fr-FR"/>
        </w:rPr>
        <w:t>une des langues de travail sont interprétées dans les deux autres langues.</w:t>
      </w:r>
    </w:p>
    <w:p w:rsidR="0060644F" w:rsidRPr="0060644F" w:rsidRDefault="0060644F" w:rsidP="0060644F">
      <w:pPr>
        <w:pStyle w:val="SingleTxt"/>
        <w:spacing w:after="0" w:line="120" w:lineRule="exact"/>
        <w:rPr>
          <w:rFonts w:eastAsia="Times New Roman"/>
          <w:sz w:val="10"/>
          <w:lang w:val="fr-FR"/>
        </w:rPr>
      </w:pPr>
    </w:p>
    <w:p w:rsidR="0060644F" w:rsidRPr="0060644F" w:rsidRDefault="0060644F" w:rsidP="0060644F">
      <w:pPr>
        <w:pStyle w:val="SingleTxt"/>
        <w:spacing w:after="0" w:line="120" w:lineRule="exact"/>
        <w:rPr>
          <w:rFonts w:eastAsia="Times New Roman"/>
          <w:sz w:val="10"/>
          <w:lang w:val="fr-FR"/>
        </w:rPr>
      </w:pPr>
    </w:p>
    <w:p w:rsidR="00C30AFB" w:rsidRDefault="00C30AFB" w:rsidP="0060644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tab/>
      </w:r>
      <w:r w:rsidRPr="00BF7C35">
        <w:rPr>
          <w:lang w:val="fr-FR"/>
        </w:rPr>
        <w:tab/>
        <w:t>Chapitre X</w:t>
      </w:r>
    </w:p>
    <w:p w:rsidR="0060644F" w:rsidRPr="0060644F" w:rsidRDefault="0060644F" w:rsidP="0060644F">
      <w:pPr>
        <w:pStyle w:val="SingleTxt"/>
        <w:spacing w:after="0" w:line="120" w:lineRule="exact"/>
        <w:rPr>
          <w:sz w:val="10"/>
          <w:lang w:val="fr-FR"/>
        </w:rPr>
      </w:pPr>
    </w:p>
    <w:p w:rsidR="0060644F" w:rsidRPr="0060644F" w:rsidRDefault="0060644F" w:rsidP="0060644F">
      <w:pPr>
        <w:pStyle w:val="SingleTxt"/>
        <w:spacing w:after="0" w:line="120" w:lineRule="exact"/>
        <w:rPr>
          <w:sz w:val="10"/>
          <w:lang w:val="fr-FR"/>
        </w:rPr>
      </w:pPr>
    </w:p>
    <w:p w:rsidR="00C30AFB" w:rsidRDefault="00C30AFB" w:rsidP="0060644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tab/>
      </w:r>
      <w:r w:rsidRPr="00BF7C35">
        <w:rPr>
          <w:lang w:val="fr-FR"/>
        </w:rPr>
        <w:tab/>
        <w:t>Groupes spéciaux</w:t>
      </w:r>
    </w:p>
    <w:p w:rsidR="0060644F" w:rsidRPr="0060644F" w:rsidRDefault="0060644F" w:rsidP="0060644F">
      <w:pPr>
        <w:pStyle w:val="SingleTxt"/>
        <w:spacing w:after="0" w:line="120" w:lineRule="exact"/>
        <w:rPr>
          <w:sz w:val="10"/>
          <w:lang w:val="fr-FR"/>
        </w:rPr>
      </w:pPr>
    </w:p>
    <w:p w:rsidR="0060644F" w:rsidRPr="0060644F" w:rsidRDefault="0060644F" w:rsidP="0060644F">
      <w:pPr>
        <w:pStyle w:val="SingleTxt"/>
        <w:spacing w:after="0" w:line="120" w:lineRule="exact"/>
        <w:rPr>
          <w:sz w:val="10"/>
          <w:lang w:val="fr-FR"/>
        </w:rPr>
      </w:pPr>
    </w:p>
    <w:p w:rsidR="00C30AFB" w:rsidRDefault="00C30AFB" w:rsidP="0060644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tab/>
      </w:r>
      <w:r w:rsidRPr="00BF7C35">
        <w:rPr>
          <w:lang w:val="fr-FR"/>
        </w:rPr>
        <w:tab/>
        <w:t>Article 40</w:t>
      </w:r>
    </w:p>
    <w:p w:rsidR="0060644F" w:rsidRPr="0060644F" w:rsidRDefault="0060644F" w:rsidP="0060644F">
      <w:pPr>
        <w:pStyle w:val="SingleTxt"/>
        <w:spacing w:after="0" w:line="120" w:lineRule="exact"/>
        <w:rPr>
          <w:sz w:val="10"/>
          <w:lang w:val="fr-FR"/>
        </w:rPr>
      </w:pPr>
    </w:p>
    <w:p w:rsidR="00C30AFB" w:rsidRPr="00BF7C35" w:rsidRDefault="0060644F" w:rsidP="0060644F">
      <w:pPr>
        <w:pStyle w:val="SingleTxt"/>
        <w:rPr>
          <w:rFonts w:eastAsia="Times New Roman"/>
          <w:lang w:val="fr-FR"/>
        </w:rPr>
      </w:pPr>
      <w:r>
        <w:rPr>
          <w:rFonts w:eastAsia="Times New Roman"/>
          <w:lang w:val="fr-FR"/>
        </w:rPr>
        <w:tab/>
      </w:r>
      <w:r w:rsidR="00C30AFB" w:rsidRPr="00BF7C35">
        <w:rPr>
          <w:rFonts w:eastAsia="Times New Roman"/>
          <w:lang w:val="fr-FR"/>
        </w:rPr>
        <w:t>Entre les sessions, le WP.30 peut se faire assister dans ses tâches par des groupes spéciaux. La création et le mandat de ces groupes doivent être approuvés par le Comité des transports intérieurs et le Comité exécutif de la CEE.</w:t>
      </w:r>
    </w:p>
    <w:p w:rsidR="00C30AFB" w:rsidRPr="00BF7C35" w:rsidRDefault="0060644F" w:rsidP="0060644F">
      <w:pPr>
        <w:pStyle w:val="SingleTxt"/>
        <w:rPr>
          <w:rFonts w:eastAsia="Times New Roman"/>
          <w:lang w:val="fr-FR"/>
        </w:rPr>
      </w:pPr>
      <w:r>
        <w:rPr>
          <w:rFonts w:eastAsia="Times New Roman"/>
          <w:lang w:val="fr-FR"/>
        </w:rPr>
        <w:tab/>
      </w:r>
      <w:r w:rsidR="00C30AFB" w:rsidRPr="00BF7C35">
        <w:rPr>
          <w:rFonts w:eastAsia="Times New Roman"/>
          <w:lang w:val="fr-FR"/>
        </w:rPr>
        <w:t>Le présent Règlement s</w:t>
      </w:r>
      <w:r w:rsidR="00C30AFB">
        <w:rPr>
          <w:rFonts w:eastAsia="Times New Roman"/>
          <w:lang w:val="fr-FR"/>
        </w:rPr>
        <w:t>’</w:t>
      </w:r>
      <w:r w:rsidR="00C30AFB" w:rsidRPr="00BF7C35">
        <w:rPr>
          <w:rFonts w:eastAsia="Times New Roman"/>
          <w:lang w:val="fr-FR"/>
        </w:rPr>
        <w:t xml:space="preserve">applique </w:t>
      </w:r>
      <w:r w:rsidR="00C30AFB" w:rsidRPr="00BF7C35">
        <w:rPr>
          <w:rFonts w:eastAsia="Times New Roman"/>
          <w:i/>
          <w:lang w:val="fr-FR"/>
        </w:rPr>
        <w:t>mutatis mutandis</w:t>
      </w:r>
      <w:r w:rsidR="00C30AFB" w:rsidRPr="00BF7C35">
        <w:rPr>
          <w:rFonts w:eastAsia="Times New Roman"/>
          <w:lang w:val="fr-FR"/>
        </w:rPr>
        <w:t xml:space="preserve"> à ces groupes spéciaux, à l</w:t>
      </w:r>
      <w:r w:rsidR="00C30AFB">
        <w:rPr>
          <w:rFonts w:eastAsia="Times New Roman"/>
          <w:lang w:val="fr-FR"/>
        </w:rPr>
        <w:t>’</w:t>
      </w:r>
      <w:r w:rsidR="00C30AFB" w:rsidRPr="00BF7C35">
        <w:rPr>
          <w:rFonts w:eastAsia="Times New Roman"/>
          <w:lang w:val="fr-FR"/>
        </w:rPr>
        <w:t>exception des articles 3, 4, 9 à 11 et 23 à 34. Les règles particulières ci-après s</w:t>
      </w:r>
      <w:r w:rsidR="00C30AFB">
        <w:rPr>
          <w:rFonts w:eastAsia="Times New Roman"/>
          <w:lang w:val="fr-FR"/>
        </w:rPr>
        <w:t>’</w:t>
      </w:r>
      <w:r w:rsidR="00C30AFB" w:rsidRPr="00BF7C35">
        <w:rPr>
          <w:rFonts w:eastAsia="Times New Roman"/>
          <w:lang w:val="fr-FR"/>
        </w:rPr>
        <w:t>appliquent</w:t>
      </w:r>
      <w:r>
        <w:rPr>
          <w:rFonts w:eastAsia="Times New Roman"/>
          <w:lang w:val="fr-FR"/>
        </w:rPr>
        <w:t> </w:t>
      </w:r>
      <w:r w:rsidR="00C30AFB" w:rsidRPr="00BF7C35">
        <w:rPr>
          <w:rFonts w:eastAsia="Times New Roman"/>
          <w:lang w:val="fr-FR"/>
        </w:rPr>
        <w:t>:</w:t>
      </w:r>
    </w:p>
    <w:p w:rsidR="00C30AFB" w:rsidRPr="00BF7C35" w:rsidRDefault="0060644F" w:rsidP="0060644F">
      <w:pPr>
        <w:pStyle w:val="SingleTxt"/>
        <w:rPr>
          <w:rFonts w:eastAsia="Times New Roman"/>
          <w:lang w:val="fr-FR"/>
        </w:rPr>
      </w:pPr>
      <w:r>
        <w:rPr>
          <w:rFonts w:eastAsia="Times New Roman"/>
          <w:lang w:val="fr-FR"/>
        </w:rPr>
        <w:tab/>
      </w:r>
      <w:r w:rsidR="00C30AFB" w:rsidRPr="00BF7C35">
        <w:rPr>
          <w:rFonts w:eastAsia="Times New Roman"/>
          <w:lang w:val="fr-FR"/>
        </w:rPr>
        <w:t>a)</w:t>
      </w:r>
      <w:r w:rsidR="00C30AFB" w:rsidRPr="00BF7C35">
        <w:rPr>
          <w:rFonts w:eastAsia="Times New Roman"/>
          <w:lang w:val="fr-FR"/>
        </w:rPr>
        <w:tab/>
        <w:t>Le secrétariat établit l</w:t>
      </w:r>
      <w:r w:rsidR="00C30AFB">
        <w:rPr>
          <w:rFonts w:eastAsia="Times New Roman"/>
          <w:lang w:val="fr-FR"/>
        </w:rPr>
        <w:t>’</w:t>
      </w:r>
      <w:r w:rsidR="00C30AFB" w:rsidRPr="00BF7C35">
        <w:rPr>
          <w:rFonts w:eastAsia="Times New Roman"/>
          <w:lang w:val="fr-FR"/>
        </w:rPr>
        <w:t>ordre du jour provisoire en tenant compte des directives ou du mandat que le groupe spécial a reçus du WP.30;</w:t>
      </w:r>
    </w:p>
    <w:p w:rsidR="00C30AFB" w:rsidRPr="00BF7C35" w:rsidRDefault="0060644F" w:rsidP="0060644F">
      <w:pPr>
        <w:pStyle w:val="SingleTxt"/>
        <w:rPr>
          <w:rFonts w:eastAsia="Times New Roman"/>
          <w:lang w:val="fr-FR"/>
        </w:rPr>
      </w:pPr>
      <w:r>
        <w:rPr>
          <w:rFonts w:eastAsia="Times New Roman"/>
          <w:lang w:val="fr-FR"/>
        </w:rPr>
        <w:tab/>
      </w:r>
      <w:r w:rsidR="00C30AFB" w:rsidRPr="00BF7C35">
        <w:rPr>
          <w:rFonts w:eastAsia="Times New Roman"/>
          <w:lang w:val="fr-FR"/>
        </w:rPr>
        <w:t>c)</w:t>
      </w:r>
      <w:r w:rsidR="00C30AFB" w:rsidRPr="00BF7C35">
        <w:rPr>
          <w:rFonts w:eastAsia="Times New Roman"/>
          <w:lang w:val="fr-FR"/>
        </w:rPr>
        <w:tab/>
        <w:t>L</w:t>
      </w:r>
      <w:r w:rsidR="00C30AFB">
        <w:rPr>
          <w:rFonts w:eastAsia="Times New Roman"/>
          <w:lang w:val="fr-FR"/>
        </w:rPr>
        <w:t>’</w:t>
      </w:r>
      <w:r w:rsidR="00C30AFB" w:rsidRPr="00BF7C35">
        <w:rPr>
          <w:rFonts w:eastAsia="Times New Roman"/>
          <w:lang w:val="fr-FR"/>
        </w:rPr>
        <w:t>ordre du jour provisoire et les documents de base sont distribués au moins trois semaines avant la réunion;</w:t>
      </w:r>
    </w:p>
    <w:p w:rsidR="00C30AFB" w:rsidRPr="00BF7C35" w:rsidRDefault="0060644F" w:rsidP="0060644F">
      <w:pPr>
        <w:pStyle w:val="SingleTxt"/>
        <w:rPr>
          <w:rFonts w:eastAsia="Times New Roman"/>
          <w:lang w:val="fr-FR"/>
        </w:rPr>
      </w:pPr>
      <w:r>
        <w:rPr>
          <w:rFonts w:eastAsia="Times New Roman"/>
          <w:lang w:val="fr-FR"/>
        </w:rPr>
        <w:tab/>
      </w:r>
      <w:r w:rsidR="00C30AFB" w:rsidRPr="00BF7C35">
        <w:rPr>
          <w:rFonts w:eastAsia="Times New Roman"/>
          <w:lang w:val="fr-FR"/>
        </w:rPr>
        <w:t>f)</w:t>
      </w:r>
      <w:r w:rsidR="00C30AFB" w:rsidRPr="00BF7C35">
        <w:rPr>
          <w:rFonts w:eastAsia="Times New Roman"/>
          <w:lang w:val="fr-FR"/>
        </w:rPr>
        <w:tab/>
        <w:t>Les décisions du groupe spécial se prennent par consensus. À défaut, la question est soumise au WP.30 pour examen;</w:t>
      </w:r>
    </w:p>
    <w:p w:rsidR="00C30AFB" w:rsidRDefault="0060644F" w:rsidP="0060644F">
      <w:pPr>
        <w:pStyle w:val="SingleTxt"/>
        <w:rPr>
          <w:rFonts w:eastAsia="Times New Roman"/>
          <w:lang w:val="fr-FR"/>
        </w:rPr>
      </w:pPr>
      <w:r>
        <w:rPr>
          <w:rFonts w:eastAsia="Times New Roman"/>
          <w:lang w:val="fr-FR"/>
        </w:rPr>
        <w:tab/>
      </w:r>
      <w:r w:rsidR="00C30AFB" w:rsidRPr="00BF7C35">
        <w:rPr>
          <w:rFonts w:eastAsia="Times New Roman"/>
          <w:lang w:val="fr-FR"/>
        </w:rPr>
        <w:t>g)</w:t>
      </w:r>
      <w:r w:rsidR="00C30AFB" w:rsidRPr="00BF7C35">
        <w:rPr>
          <w:rFonts w:eastAsia="Times New Roman"/>
          <w:lang w:val="fr-FR"/>
        </w:rPr>
        <w:tab/>
        <w:t>Le rapport de la réunion est établi par le secrétariat et soumis pour adoption au WP.30 dans toutes les</w:t>
      </w:r>
      <w:r>
        <w:rPr>
          <w:rFonts w:eastAsia="Times New Roman"/>
          <w:lang w:val="fr-FR"/>
        </w:rPr>
        <w:t xml:space="preserve"> langues officielles de la CEE.</w:t>
      </w:r>
    </w:p>
    <w:p w:rsidR="0060644F" w:rsidRPr="0060644F" w:rsidRDefault="0060644F" w:rsidP="0060644F">
      <w:pPr>
        <w:pStyle w:val="SingleTxt"/>
        <w:spacing w:after="0" w:line="120" w:lineRule="exact"/>
        <w:rPr>
          <w:rFonts w:eastAsia="Times New Roman"/>
          <w:sz w:val="10"/>
          <w:lang w:val="fr-FR"/>
        </w:rPr>
      </w:pPr>
    </w:p>
    <w:p w:rsidR="0060644F" w:rsidRPr="0060644F" w:rsidRDefault="0060644F" w:rsidP="0060644F">
      <w:pPr>
        <w:pStyle w:val="SingleTxt"/>
        <w:spacing w:after="0" w:line="120" w:lineRule="exact"/>
        <w:rPr>
          <w:rFonts w:eastAsia="Times New Roman"/>
          <w:sz w:val="10"/>
          <w:lang w:val="fr-FR"/>
        </w:rPr>
      </w:pPr>
    </w:p>
    <w:p w:rsidR="00C30AFB" w:rsidRDefault="00C30AFB" w:rsidP="0060644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7C35">
        <w:rPr>
          <w:lang w:val="fr-FR"/>
        </w:rPr>
        <w:tab/>
      </w:r>
      <w:r w:rsidRPr="00BF7C35">
        <w:rPr>
          <w:lang w:val="fr-FR"/>
        </w:rPr>
        <w:tab/>
        <w:t>Chapitre XI</w:t>
      </w:r>
    </w:p>
    <w:p w:rsidR="0060644F" w:rsidRPr="0060644F" w:rsidRDefault="0060644F" w:rsidP="0060644F">
      <w:pPr>
        <w:pStyle w:val="SingleTxt"/>
        <w:spacing w:after="0" w:line="120" w:lineRule="exact"/>
        <w:rPr>
          <w:sz w:val="10"/>
          <w:lang w:val="fr-FR"/>
        </w:rPr>
      </w:pPr>
    </w:p>
    <w:p w:rsidR="0060644F" w:rsidRPr="0060644F" w:rsidRDefault="0060644F" w:rsidP="0060644F">
      <w:pPr>
        <w:pStyle w:val="SingleTxt"/>
        <w:spacing w:after="0" w:line="120" w:lineRule="exact"/>
        <w:rPr>
          <w:sz w:val="10"/>
          <w:lang w:val="fr-FR"/>
        </w:rPr>
      </w:pPr>
    </w:p>
    <w:p w:rsidR="00C30AFB" w:rsidRDefault="00C30AFB" w:rsidP="0060644F">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BF7C35">
        <w:rPr>
          <w:lang w:val="fr-FR"/>
        </w:rPr>
        <w:tab/>
      </w:r>
      <w:r w:rsidRPr="00BF7C35">
        <w:rPr>
          <w:lang w:val="fr-FR"/>
        </w:rPr>
        <w:tab/>
        <w:t>Amendements</w:t>
      </w:r>
    </w:p>
    <w:p w:rsidR="0060644F" w:rsidRPr="0060644F" w:rsidRDefault="0060644F" w:rsidP="0060644F">
      <w:pPr>
        <w:pStyle w:val="SingleTxt"/>
        <w:spacing w:after="0" w:line="120" w:lineRule="exact"/>
        <w:rPr>
          <w:sz w:val="10"/>
          <w:lang w:val="fr-FR"/>
        </w:rPr>
      </w:pPr>
    </w:p>
    <w:p w:rsidR="0060644F" w:rsidRPr="0060644F" w:rsidRDefault="0060644F" w:rsidP="0060644F">
      <w:pPr>
        <w:pStyle w:val="SingleTxt"/>
        <w:spacing w:after="0" w:line="120" w:lineRule="exact"/>
        <w:rPr>
          <w:sz w:val="10"/>
          <w:lang w:val="fr-FR"/>
        </w:rPr>
      </w:pPr>
    </w:p>
    <w:p w:rsidR="00C30AFB" w:rsidRDefault="00C30AFB" w:rsidP="0060644F">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BF7C35">
        <w:rPr>
          <w:lang w:val="fr-FR"/>
        </w:rPr>
        <w:tab/>
      </w:r>
      <w:r w:rsidRPr="00BF7C35">
        <w:rPr>
          <w:lang w:val="fr-FR"/>
        </w:rPr>
        <w:tab/>
        <w:t>Article 41</w:t>
      </w:r>
    </w:p>
    <w:p w:rsidR="0060644F" w:rsidRPr="0060644F" w:rsidRDefault="0060644F" w:rsidP="0060644F">
      <w:pPr>
        <w:pStyle w:val="SingleTxt"/>
        <w:spacing w:after="0" w:line="120" w:lineRule="exact"/>
        <w:rPr>
          <w:sz w:val="10"/>
          <w:lang w:val="fr-FR"/>
        </w:rPr>
      </w:pPr>
    </w:p>
    <w:p w:rsidR="00C30AFB" w:rsidRDefault="0060644F" w:rsidP="00C30AFB">
      <w:pPr>
        <w:pStyle w:val="SingleTxt"/>
        <w:rPr>
          <w:rFonts w:eastAsia="Times New Roman"/>
          <w:lang w:val="fr-FR"/>
        </w:rPr>
      </w:pPr>
      <w:r>
        <w:rPr>
          <w:rFonts w:eastAsia="Times New Roman"/>
          <w:lang w:val="fr-FR"/>
        </w:rPr>
        <w:tab/>
      </w:r>
      <w:r w:rsidR="00C30AFB" w:rsidRPr="00BF7C35">
        <w:rPr>
          <w:rFonts w:eastAsia="Times New Roman"/>
          <w:lang w:val="fr-FR"/>
        </w:rPr>
        <w:t>Tout article du présent Règlement peut être modifié conformément à l</w:t>
      </w:r>
      <w:r w:rsidR="00C30AFB">
        <w:rPr>
          <w:rFonts w:eastAsia="Times New Roman"/>
          <w:lang w:val="fr-FR"/>
        </w:rPr>
        <w:t>’</w:t>
      </w:r>
      <w:r w:rsidR="00C30AFB" w:rsidRPr="00BF7C35">
        <w:rPr>
          <w:rFonts w:eastAsia="Times New Roman"/>
          <w:lang w:val="fr-FR"/>
        </w:rPr>
        <w:t>article 35. Toute modification doit cependant être approuvée par le Comité des transports intérieurs et entérinée par le Comité exécutif de la CEE.</w:t>
      </w:r>
    </w:p>
    <w:p w:rsidR="0060644F" w:rsidRPr="0060644F" w:rsidRDefault="0060644F" w:rsidP="0060644F">
      <w:pPr>
        <w:pStyle w:val="SingleTxt"/>
        <w:spacing w:after="0" w:line="240" w:lineRule="auto"/>
      </w:pPr>
      <w:r>
        <w:rPr>
          <w:noProof/>
          <w:w w:val="100"/>
          <w:lang w:val="en-US"/>
        </w:rPr>
        <mc:AlternateContent>
          <mc:Choice Requires="wps">
            <w:drawing>
              <wp:anchor distT="0" distB="0" distL="114300" distR="114300" simplePos="0" relativeHeight="251659264" behindDoc="0" locked="0" layoutInCell="1" allowOverlap="1">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60644F" w:rsidRPr="0060644F" w:rsidSect="00371D21">
      <w:type w:val="continuous"/>
      <w:pgSz w:w="11909" w:h="16834"/>
      <w:pgMar w:top="1742" w:right="936" w:bottom="1898" w:left="936" w:header="576" w:footer="103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CAB" w:rsidRDefault="00BF7CAB" w:rsidP="00F3330B">
      <w:pPr>
        <w:spacing w:line="240" w:lineRule="auto"/>
      </w:pPr>
      <w:r>
        <w:separator/>
      </w:r>
    </w:p>
  </w:endnote>
  <w:endnote w:type="continuationSeparator" w:id="0">
    <w:p w:rsidR="00BF7CAB" w:rsidRDefault="00BF7CAB"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altName w:val="Britannic Bold"/>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BF7CAB" w:rsidTr="00371D21">
      <w:trPr>
        <w:jc w:val="center"/>
      </w:trPr>
      <w:tc>
        <w:tcPr>
          <w:tcW w:w="5126" w:type="dxa"/>
          <w:shd w:val="clear" w:color="auto" w:fill="auto"/>
        </w:tcPr>
        <w:p w:rsidR="00BF7CAB" w:rsidRPr="00371D21" w:rsidRDefault="00BF7CAB" w:rsidP="00371D21">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AB54DF">
            <w:rPr>
              <w:b w:val="0"/>
              <w:w w:val="103"/>
              <w:sz w:val="14"/>
            </w:rPr>
            <w:t>GE.15-21966</w:t>
          </w:r>
          <w:r>
            <w:rPr>
              <w:b w:val="0"/>
              <w:w w:val="103"/>
              <w:sz w:val="14"/>
            </w:rPr>
            <w:fldChar w:fldCharType="end"/>
          </w:r>
        </w:p>
      </w:tc>
      <w:tc>
        <w:tcPr>
          <w:tcW w:w="5127" w:type="dxa"/>
          <w:shd w:val="clear" w:color="auto" w:fill="auto"/>
        </w:tcPr>
        <w:p w:rsidR="00BF7CAB" w:rsidRPr="00371D21" w:rsidRDefault="00BF7CAB" w:rsidP="00371D21">
          <w:pPr>
            <w:pStyle w:val="Footer"/>
            <w:rPr>
              <w:w w:val="103"/>
            </w:rPr>
          </w:pPr>
          <w:r>
            <w:rPr>
              <w:w w:val="103"/>
            </w:rPr>
            <w:fldChar w:fldCharType="begin"/>
          </w:r>
          <w:r>
            <w:rPr>
              <w:w w:val="103"/>
            </w:rPr>
            <w:instrText xml:space="preserve"> PAGE  \* Arabic  \* MERGEFORMAT </w:instrText>
          </w:r>
          <w:r>
            <w:rPr>
              <w:w w:val="103"/>
            </w:rPr>
            <w:fldChar w:fldCharType="separate"/>
          </w:r>
          <w:r w:rsidR="00A0365F">
            <w:rPr>
              <w:noProof/>
              <w:w w:val="103"/>
            </w:rPr>
            <w:t>22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A0365F">
            <w:rPr>
              <w:noProof/>
              <w:w w:val="103"/>
            </w:rPr>
            <w:t>22</w:t>
          </w:r>
          <w:r>
            <w:rPr>
              <w:w w:val="103"/>
            </w:rPr>
            <w:fldChar w:fldCharType="end"/>
          </w:r>
        </w:p>
      </w:tc>
    </w:tr>
  </w:tbl>
  <w:p w:rsidR="00BF7CAB" w:rsidRPr="00371D21" w:rsidRDefault="00BF7CAB" w:rsidP="00371D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BF7CAB" w:rsidTr="00371D21">
      <w:trPr>
        <w:jc w:val="center"/>
      </w:trPr>
      <w:tc>
        <w:tcPr>
          <w:tcW w:w="5126" w:type="dxa"/>
          <w:shd w:val="clear" w:color="auto" w:fill="auto"/>
        </w:tcPr>
        <w:p w:rsidR="00BF7CAB" w:rsidRPr="00371D21" w:rsidRDefault="00BF7CAB" w:rsidP="00371D21">
          <w:pPr>
            <w:pStyle w:val="Footer"/>
            <w:jc w:val="right"/>
            <w:rPr>
              <w:w w:val="103"/>
            </w:rPr>
          </w:pPr>
          <w:r>
            <w:rPr>
              <w:w w:val="103"/>
            </w:rPr>
            <w:fldChar w:fldCharType="begin"/>
          </w:r>
          <w:r>
            <w:rPr>
              <w:w w:val="103"/>
            </w:rPr>
            <w:instrText xml:space="preserve"> PAGE  \* Arabic  \* MERGEFORMAT </w:instrText>
          </w:r>
          <w:r>
            <w:rPr>
              <w:w w:val="103"/>
            </w:rPr>
            <w:fldChar w:fldCharType="separate"/>
          </w:r>
          <w:r w:rsidR="00A0365F">
            <w:rPr>
              <w:noProof/>
              <w:w w:val="103"/>
            </w:rPr>
            <w:t>23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A0365F">
            <w:rPr>
              <w:noProof/>
              <w:w w:val="103"/>
            </w:rPr>
            <w:t>23</w:t>
          </w:r>
          <w:r>
            <w:rPr>
              <w:w w:val="103"/>
            </w:rPr>
            <w:fldChar w:fldCharType="end"/>
          </w:r>
        </w:p>
      </w:tc>
      <w:tc>
        <w:tcPr>
          <w:tcW w:w="5127" w:type="dxa"/>
          <w:shd w:val="clear" w:color="auto" w:fill="auto"/>
        </w:tcPr>
        <w:p w:rsidR="00BF7CAB" w:rsidRPr="00371D21" w:rsidRDefault="00BF7CAB" w:rsidP="00371D21">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AB54DF">
            <w:rPr>
              <w:b w:val="0"/>
              <w:w w:val="103"/>
              <w:sz w:val="14"/>
            </w:rPr>
            <w:t>GE.15-21966</w:t>
          </w:r>
          <w:r>
            <w:rPr>
              <w:b w:val="0"/>
              <w:w w:val="103"/>
              <w:sz w:val="14"/>
            </w:rPr>
            <w:fldChar w:fldCharType="end"/>
          </w:r>
        </w:p>
      </w:tc>
    </w:tr>
  </w:tbl>
  <w:p w:rsidR="00BF7CAB" w:rsidRPr="00371D21" w:rsidRDefault="00BF7CAB" w:rsidP="00371D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CAB" w:rsidRDefault="00BF7CAB">
    <w:pPr>
      <w:pStyle w:val="Footer"/>
    </w:pPr>
    <w:r>
      <w:rPr>
        <w:noProof/>
      </w:rPr>
      <w:drawing>
        <wp:anchor distT="0" distB="0" distL="114300" distR="114300" simplePos="0" relativeHeight="251658240" behindDoc="0" locked="0" layoutInCell="1" allowOverlap="1" wp14:anchorId="6F7165E5" wp14:editId="6C5F0610">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ECE/TRANS/2016/22&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ECE/TRANS/2016/22&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BF7CAB" w:rsidTr="00371D21">
      <w:tc>
        <w:tcPr>
          <w:tcW w:w="3859" w:type="dxa"/>
        </w:tcPr>
        <w:p w:rsidR="00BF7CAB" w:rsidRDefault="00BF7CAB" w:rsidP="00371D21">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AB54DF">
            <w:rPr>
              <w:b w:val="0"/>
              <w:sz w:val="20"/>
            </w:rPr>
            <w:t>GE.15-21966 (F)</w:t>
          </w:r>
          <w:r>
            <w:rPr>
              <w:b w:val="0"/>
              <w:sz w:val="20"/>
            </w:rPr>
            <w:fldChar w:fldCharType="end"/>
          </w:r>
          <w:r w:rsidR="00CF75F7">
            <w:rPr>
              <w:b w:val="0"/>
              <w:sz w:val="20"/>
            </w:rPr>
            <w:t xml:space="preserve">    11</w:t>
          </w:r>
          <w:r>
            <w:rPr>
              <w:b w:val="0"/>
              <w:sz w:val="20"/>
            </w:rPr>
            <w:t>0216    120216</w:t>
          </w:r>
        </w:p>
        <w:p w:rsidR="00BF7CAB" w:rsidRPr="00371D21" w:rsidRDefault="00BF7CAB" w:rsidP="00371D21">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AB54DF">
            <w:rPr>
              <w:rFonts w:ascii="Barcode 3 of 9 by request" w:hAnsi="Barcode 3 of 9 by request"/>
              <w:b w:val="0"/>
              <w:spacing w:val="0"/>
              <w:w w:val="100"/>
              <w:sz w:val="24"/>
            </w:rPr>
            <w:t>*1521966*</w:t>
          </w:r>
          <w:r>
            <w:rPr>
              <w:rFonts w:ascii="Barcode 3 of 9 by request" w:hAnsi="Barcode 3 of 9 by request"/>
              <w:b w:val="0"/>
              <w:spacing w:val="0"/>
              <w:w w:val="100"/>
              <w:sz w:val="24"/>
            </w:rPr>
            <w:fldChar w:fldCharType="end"/>
          </w:r>
        </w:p>
      </w:tc>
      <w:tc>
        <w:tcPr>
          <w:tcW w:w="5127" w:type="dxa"/>
        </w:tcPr>
        <w:p w:rsidR="00BF7CAB" w:rsidRDefault="00BF7CAB" w:rsidP="00371D21">
          <w:pPr>
            <w:pStyle w:val="Footer"/>
            <w:spacing w:line="240" w:lineRule="atLeast"/>
            <w:jc w:val="right"/>
            <w:rPr>
              <w:b w:val="0"/>
              <w:sz w:val="20"/>
            </w:rPr>
          </w:pPr>
          <w:r>
            <w:rPr>
              <w:b w:val="0"/>
              <w:noProof/>
              <w:sz w:val="20"/>
            </w:rPr>
            <w:drawing>
              <wp:inline distT="0" distB="0" distL="0" distR="0" wp14:anchorId="14788807" wp14:editId="6F0743E4">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BF7CAB" w:rsidRPr="00371D21" w:rsidRDefault="00BF7CAB" w:rsidP="00371D21">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CAB" w:rsidRPr="00C97168" w:rsidRDefault="00C97168" w:rsidP="00C97168">
      <w:pPr>
        <w:pStyle w:val="Footer"/>
        <w:spacing w:after="80"/>
        <w:ind w:left="792"/>
        <w:rPr>
          <w:sz w:val="16"/>
        </w:rPr>
      </w:pPr>
      <w:r w:rsidRPr="00C97168">
        <w:rPr>
          <w:sz w:val="16"/>
        </w:rPr>
        <w:t>__________________</w:t>
      </w:r>
    </w:p>
  </w:footnote>
  <w:footnote w:type="continuationSeparator" w:id="0">
    <w:p w:rsidR="00BF7CAB" w:rsidRPr="00C97168" w:rsidRDefault="00C97168" w:rsidP="00C97168">
      <w:pPr>
        <w:pStyle w:val="Footer"/>
        <w:spacing w:after="80"/>
        <w:ind w:left="792"/>
        <w:rPr>
          <w:sz w:val="16"/>
        </w:rPr>
      </w:pPr>
      <w:r w:rsidRPr="00C97168">
        <w:rPr>
          <w:sz w:val="16"/>
        </w:rPr>
        <w:t>__________________</w:t>
      </w:r>
    </w:p>
  </w:footnote>
  <w:footnote w:id="1">
    <w:p w:rsidR="00BF7CAB" w:rsidRPr="00E3463F" w:rsidRDefault="00BF7CAB" w:rsidP="00C97168">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sidRPr="003F6C18">
        <w:rPr>
          <w:u w:val="single"/>
        </w:rPr>
        <w:t>Paragraphe 11</w:t>
      </w:r>
      <w:r>
        <w:rPr>
          <w:u w:val="single"/>
        </w:rPr>
        <w:t> </w:t>
      </w:r>
      <w:r>
        <w:t>: « </w:t>
      </w:r>
      <w:r w:rsidRPr="003F6C18">
        <w:t>La Commission invitera tout Membre de l</w:t>
      </w:r>
      <w:r>
        <w:t>’</w:t>
      </w:r>
      <w:r w:rsidRPr="003F6C18">
        <w:t>ONU qui n</w:t>
      </w:r>
      <w:r>
        <w:t>’</w:t>
      </w:r>
      <w:r w:rsidRPr="003F6C18">
        <w:t>est pas membre de la Commission à participer, à titre consultatif, à l</w:t>
      </w:r>
      <w:r>
        <w:t>’</w:t>
      </w:r>
      <w:r w:rsidRPr="003F6C18">
        <w:t>examen qu</w:t>
      </w:r>
      <w:r>
        <w:t>’</w:t>
      </w:r>
      <w:r w:rsidRPr="003F6C18">
        <w:t>elle pourra consacrer à toute question présentant un intérêt parti</w:t>
      </w:r>
      <w:r>
        <w:t>culier pour ce pays non membre. »</w:t>
      </w:r>
      <w:r w:rsidRPr="003F6C18">
        <w:t>.</w:t>
      </w:r>
    </w:p>
  </w:footnote>
  <w:footnote w:id="2">
    <w:p w:rsidR="00BF7CAB" w:rsidRPr="000A4F5A" w:rsidRDefault="00BF7CAB" w:rsidP="00C97168">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sidRPr="003F6C18">
        <w:rPr>
          <w:u w:val="single"/>
        </w:rPr>
        <w:t>Paragraphe 12</w:t>
      </w:r>
      <w:r>
        <w:rPr>
          <w:u w:val="single"/>
        </w:rPr>
        <w:t> </w:t>
      </w:r>
      <w:r>
        <w:t>: « </w:t>
      </w:r>
      <w:r w:rsidRPr="003F6C18">
        <w:t>La Commission invitera des représentants d</w:t>
      </w:r>
      <w:r>
        <w:t>’</w:t>
      </w:r>
      <w:r w:rsidRPr="003F6C18">
        <w:t>institutions spécialisées et pourra inviter les représentants de toute organisation intergouvernementale à participer, à titre consultatif, aux discussions qu</w:t>
      </w:r>
      <w:r>
        <w:t>’</w:t>
      </w:r>
      <w:r w:rsidRPr="003F6C18">
        <w:t>elle consacrera à toute question présentant un intérêt particulier pour ces institutions ou organisations, suivant la pratique d</w:t>
      </w:r>
      <w:r>
        <w:t>u Conseil économique et social. »</w:t>
      </w:r>
      <w:r w:rsidRPr="003F6C18">
        <w:t>.</w:t>
      </w:r>
    </w:p>
  </w:footnote>
  <w:footnote w:id="3">
    <w:p w:rsidR="00BF7CAB" w:rsidRPr="000A4F5A" w:rsidRDefault="00BF7CAB" w:rsidP="00C97168">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sidRPr="003F6C18">
        <w:rPr>
          <w:u w:val="single"/>
        </w:rPr>
        <w:t>Paragraphe 13</w:t>
      </w:r>
      <w:r w:rsidR="00125417">
        <w:rPr>
          <w:u w:val="single"/>
        </w:rPr>
        <w:t> </w:t>
      </w:r>
      <w:r>
        <w:t>: « </w:t>
      </w:r>
      <w:r w:rsidRPr="003F6C18">
        <w:t>La Commission prendra toutes mesures utiles pour instaurer un régime de consultations avec les organisations non gouvernementales qui ont été dotées du statut consultatif par le Conseil économique et social, conformément aux principes approuvés par le Conseil à cet effet et qu</w:t>
      </w:r>
      <w:r>
        <w:t>i sont énoncés dans les parties </w:t>
      </w:r>
      <w:r w:rsidRPr="003F6C18">
        <w:t>I et II de la résolut</w:t>
      </w:r>
      <w:r>
        <w:t>ion 1996/31 du Conseil. ».</w:t>
      </w:r>
    </w:p>
  </w:footnote>
  <w:footnote w:id="4">
    <w:p w:rsidR="00BF7CAB" w:rsidRPr="00BF7CAB" w:rsidRDefault="00BF7CAB" w:rsidP="00C97168">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sidRPr="00BB1BB5">
        <w:rPr>
          <w:lang w:val="en-US"/>
        </w:rPr>
        <w:t>www.unece.org/trans/bcf/welcome.html</w:t>
      </w:r>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BF7CAB" w:rsidTr="00371D21">
      <w:trPr>
        <w:trHeight w:hRule="exact" w:val="864"/>
        <w:jc w:val="center"/>
      </w:trPr>
      <w:tc>
        <w:tcPr>
          <w:tcW w:w="4882" w:type="dxa"/>
          <w:shd w:val="clear" w:color="auto" w:fill="auto"/>
          <w:vAlign w:val="bottom"/>
        </w:tcPr>
        <w:p w:rsidR="00BF7CAB" w:rsidRPr="00371D21" w:rsidRDefault="00BF7CAB" w:rsidP="00371D21">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AB54DF">
            <w:rPr>
              <w:b/>
              <w:color w:val="000000"/>
            </w:rPr>
            <w:t>ECE/TRANS/2016/22</w:t>
          </w:r>
          <w:r>
            <w:rPr>
              <w:b/>
              <w:color w:val="000000"/>
            </w:rPr>
            <w:fldChar w:fldCharType="end"/>
          </w:r>
        </w:p>
      </w:tc>
      <w:tc>
        <w:tcPr>
          <w:tcW w:w="5127" w:type="dxa"/>
          <w:shd w:val="clear" w:color="auto" w:fill="auto"/>
          <w:vAlign w:val="bottom"/>
        </w:tcPr>
        <w:p w:rsidR="00BF7CAB" w:rsidRDefault="00BF7CAB" w:rsidP="00371D21">
          <w:pPr>
            <w:pStyle w:val="Header"/>
          </w:pPr>
        </w:p>
      </w:tc>
    </w:tr>
  </w:tbl>
  <w:p w:rsidR="00BF7CAB" w:rsidRPr="00371D21" w:rsidRDefault="00BF7CAB" w:rsidP="00371D21">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BF7CAB" w:rsidTr="00371D21">
      <w:trPr>
        <w:trHeight w:hRule="exact" w:val="864"/>
        <w:jc w:val="center"/>
      </w:trPr>
      <w:tc>
        <w:tcPr>
          <w:tcW w:w="4882" w:type="dxa"/>
          <w:shd w:val="clear" w:color="auto" w:fill="auto"/>
          <w:vAlign w:val="bottom"/>
        </w:tcPr>
        <w:p w:rsidR="00BF7CAB" w:rsidRDefault="00BF7CAB" w:rsidP="00371D21">
          <w:pPr>
            <w:pStyle w:val="Header"/>
          </w:pPr>
        </w:p>
      </w:tc>
      <w:tc>
        <w:tcPr>
          <w:tcW w:w="5127" w:type="dxa"/>
          <w:shd w:val="clear" w:color="auto" w:fill="auto"/>
          <w:vAlign w:val="bottom"/>
        </w:tcPr>
        <w:p w:rsidR="00BF7CAB" w:rsidRPr="00371D21" w:rsidRDefault="00BF7CAB" w:rsidP="00371D21">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AB54DF">
            <w:rPr>
              <w:b/>
              <w:color w:val="000000"/>
            </w:rPr>
            <w:t>ECE/TRANS/2016/22</w:t>
          </w:r>
          <w:r>
            <w:rPr>
              <w:b/>
              <w:color w:val="000000"/>
            </w:rPr>
            <w:fldChar w:fldCharType="end"/>
          </w:r>
        </w:p>
      </w:tc>
    </w:tr>
  </w:tbl>
  <w:p w:rsidR="00BF7CAB" w:rsidRPr="00371D21" w:rsidRDefault="00BF7CAB" w:rsidP="00371D21">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BF7CAB" w:rsidTr="00371D21">
      <w:trPr>
        <w:trHeight w:hRule="exact" w:val="864"/>
      </w:trPr>
      <w:tc>
        <w:tcPr>
          <w:tcW w:w="1267" w:type="dxa"/>
          <w:tcBorders>
            <w:bottom w:val="single" w:sz="4" w:space="0" w:color="auto"/>
          </w:tcBorders>
          <w:shd w:val="clear" w:color="auto" w:fill="auto"/>
          <w:vAlign w:val="bottom"/>
        </w:tcPr>
        <w:p w:rsidR="00BF7CAB" w:rsidRDefault="00BF7CAB" w:rsidP="00371D21">
          <w:pPr>
            <w:pStyle w:val="Header"/>
            <w:spacing w:after="120"/>
          </w:pPr>
        </w:p>
      </w:tc>
      <w:tc>
        <w:tcPr>
          <w:tcW w:w="2059" w:type="dxa"/>
          <w:tcBorders>
            <w:bottom w:val="single" w:sz="4" w:space="0" w:color="auto"/>
          </w:tcBorders>
          <w:shd w:val="clear" w:color="auto" w:fill="auto"/>
          <w:vAlign w:val="bottom"/>
        </w:tcPr>
        <w:p w:rsidR="00BF7CAB" w:rsidRPr="00371D21" w:rsidRDefault="00BF7CAB" w:rsidP="00371D21">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BF7CAB" w:rsidRDefault="00BF7CAB" w:rsidP="00371D21">
          <w:pPr>
            <w:pStyle w:val="Header"/>
            <w:spacing w:after="120"/>
          </w:pPr>
        </w:p>
      </w:tc>
      <w:tc>
        <w:tcPr>
          <w:tcW w:w="6653" w:type="dxa"/>
          <w:gridSpan w:val="4"/>
          <w:tcBorders>
            <w:bottom w:val="single" w:sz="4" w:space="0" w:color="auto"/>
          </w:tcBorders>
          <w:shd w:val="clear" w:color="auto" w:fill="auto"/>
          <w:vAlign w:val="bottom"/>
        </w:tcPr>
        <w:p w:rsidR="00BF7CAB" w:rsidRPr="00371D21" w:rsidRDefault="00BF7CAB" w:rsidP="00371D21">
          <w:pPr>
            <w:spacing w:after="80" w:line="240" w:lineRule="auto"/>
            <w:jc w:val="right"/>
            <w:rPr>
              <w:position w:val="-4"/>
            </w:rPr>
          </w:pPr>
          <w:r>
            <w:rPr>
              <w:position w:val="-4"/>
              <w:sz w:val="40"/>
            </w:rPr>
            <w:t>ECE</w:t>
          </w:r>
          <w:r>
            <w:rPr>
              <w:position w:val="-4"/>
            </w:rPr>
            <w:t>/TRANS/2016/22</w:t>
          </w:r>
        </w:p>
      </w:tc>
    </w:tr>
    <w:tr w:rsidR="00BF7CAB" w:rsidRPr="00371D21" w:rsidTr="00371D21">
      <w:trPr>
        <w:gridAfter w:val="1"/>
        <w:wAfter w:w="18" w:type="dxa"/>
        <w:trHeight w:hRule="exact" w:val="2880"/>
      </w:trPr>
      <w:tc>
        <w:tcPr>
          <w:tcW w:w="1267" w:type="dxa"/>
          <w:tcBorders>
            <w:top w:val="single" w:sz="4" w:space="0" w:color="auto"/>
            <w:bottom w:val="single" w:sz="12" w:space="0" w:color="auto"/>
          </w:tcBorders>
          <w:shd w:val="clear" w:color="auto" w:fill="auto"/>
        </w:tcPr>
        <w:p w:rsidR="00BF7CAB" w:rsidRPr="00371D21" w:rsidRDefault="00BF7CAB" w:rsidP="00371D21">
          <w:pPr>
            <w:pStyle w:val="Header"/>
            <w:spacing w:before="120" w:line="240" w:lineRule="auto"/>
            <w:ind w:left="-72"/>
            <w:jc w:val="center"/>
          </w:pPr>
          <w:r>
            <w:t xml:space="preserve">  </w:t>
          </w:r>
          <w:r>
            <w:rPr>
              <w:noProof/>
            </w:rPr>
            <w:drawing>
              <wp:inline distT="0" distB="0" distL="0" distR="0" wp14:anchorId="5724D60E" wp14:editId="3B34B0DA">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BF7CAB" w:rsidRPr="00371D21" w:rsidRDefault="00BF7CAB" w:rsidP="00371D21">
          <w:pPr>
            <w:pStyle w:val="XLarge"/>
            <w:spacing w:before="109"/>
          </w:pPr>
          <w:r>
            <w:t>Conseil économique et social</w:t>
          </w:r>
        </w:p>
      </w:tc>
      <w:tc>
        <w:tcPr>
          <w:tcW w:w="245" w:type="dxa"/>
          <w:tcBorders>
            <w:top w:val="single" w:sz="4" w:space="0" w:color="auto"/>
            <w:bottom w:val="single" w:sz="12" w:space="0" w:color="auto"/>
          </w:tcBorders>
          <w:shd w:val="clear" w:color="auto" w:fill="auto"/>
        </w:tcPr>
        <w:p w:rsidR="00BF7CAB" w:rsidRPr="00371D21" w:rsidRDefault="00BF7CAB" w:rsidP="00371D21">
          <w:pPr>
            <w:pStyle w:val="Header"/>
            <w:spacing w:before="109"/>
          </w:pPr>
        </w:p>
      </w:tc>
      <w:tc>
        <w:tcPr>
          <w:tcW w:w="3280" w:type="dxa"/>
          <w:tcBorders>
            <w:top w:val="single" w:sz="4" w:space="0" w:color="auto"/>
            <w:bottom w:val="single" w:sz="12" w:space="0" w:color="auto"/>
          </w:tcBorders>
          <w:shd w:val="clear" w:color="auto" w:fill="auto"/>
        </w:tcPr>
        <w:p w:rsidR="00BF7CAB" w:rsidRDefault="00BF7CAB" w:rsidP="00371D21">
          <w:pPr>
            <w:pStyle w:val="Distribution"/>
            <w:rPr>
              <w:color w:val="000000"/>
            </w:rPr>
          </w:pPr>
          <w:r>
            <w:rPr>
              <w:color w:val="000000"/>
            </w:rPr>
            <w:t>Distr. générale</w:t>
          </w:r>
        </w:p>
        <w:p w:rsidR="00BF7CAB" w:rsidRDefault="00BF7CAB" w:rsidP="00371D21">
          <w:pPr>
            <w:pStyle w:val="Publication"/>
            <w:rPr>
              <w:color w:val="000000"/>
            </w:rPr>
          </w:pPr>
          <w:r>
            <w:rPr>
              <w:color w:val="000000"/>
            </w:rPr>
            <w:t>14 décembre 2015</w:t>
          </w:r>
        </w:p>
        <w:p w:rsidR="00BF7CAB" w:rsidRDefault="00BF7CAB" w:rsidP="00371D21">
          <w:pPr>
            <w:rPr>
              <w:lang w:val="en-US"/>
            </w:rPr>
          </w:pPr>
          <w:r>
            <w:rPr>
              <w:lang w:val="en-US"/>
            </w:rPr>
            <w:t>Français</w:t>
          </w:r>
        </w:p>
        <w:p w:rsidR="00BF7CAB" w:rsidRPr="00371D21" w:rsidRDefault="00BF7CAB" w:rsidP="00CF75F7">
          <w:pPr>
            <w:pStyle w:val="Original"/>
            <w:rPr>
              <w:color w:val="000000"/>
            </w:rPr>
          </w:pPr>
          <w:r>
            <w:rPr>
              <w:color w:val="000000"/>
            </w:rPr>
            <w:t xml:space="preserve">Original : </w:t>
          </w:r>
          <w:r w:rsidR="00CF75F7">
            <w:rPr>
              <w:color w:val="000000"/>
            </w:rPr>
            <w:t>anglais</w:t>
          </w:r>
        </w:p>
      </w:tc>
    </w:tr>
  </w:tbl>
  <w:p w:rsidR="00BF7CAB" w:rsidRPr="00371D21" w:rsidRDefault="00BF7CAB" w:rsidP="00371D21">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273CD2"/>
    <w:multiLevelType w:val="multilevel"/>
    <w:tmpl w:val="880CB0AC"/>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38677CCA"/>
    <w:multiLevelType w:val="singleLevel"/>
    <w:tmpl w:val="F87404AC"/>
    <w:lvl w:ilvl="0">
      <w:start w:val="1"/>
      <w:numFmt w:val="decimal"/>
      <w:lvlRestart w:val="0"/>
      <w:lvlText w:val="%1."/>
      <w:lvlJc w:val="left"/>
      <w:pPr>
        <w:tabs>
          <w:tab w:val="num" w:pos="475"/>
        </w:tabs>
        <w:ind w:left="0" w:firstLine="0"/>
      </w:pPr>
      <w:rPr>
        <w:b w:val="0"/>
        <w:w w:val="100"/>
      </w:rPr>
    </w:lvl>
  </w:abstractNum>
  <w:abstractNum w:abstractNumId="6">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7">
    <w:nsid w:val="47891EDA"/>
    <w:multiLevelType w:val="hybridMultilevel"/>
    <w:tmpl w:val="B51EEFA8"/>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8">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0">
    <w:nsid w:val="72A32FF4"/>
    <w:multiLevelType w:val="singleLevel"/>
    <w:tmpl w:val="BA4C7F5E"/>
    <w:lvl w:ilvl="0">
      <w:start w:val="1"/>
      <w:numFmt w:val="decimal"/>
      <w:lvlRestart w:val="0"/>
      <w:lvlText w:val="%1."/>
      <w:lvlJc w:val="left"/>
      <w:pPr>
        <w:tabs>
          <w:tab w:val="num" w:pos="475"/>
        </w:tabs>
        <w:ind w:left="0" w:firstLine="0"/>
      </w:pPr>
      <w:rPr>
        <w:w w:val="100"/>
      </w:rPr>
    </w:lvl>
  </w:abstractNum>
  <w:abstractNum w:abstractNumId="11">
    <w:nsid w:val="7DBF5771"/>
    <w:multiLevelType w:val="singleLevel"/>
    <w:tmpl w:val="F87404AC"/>
    <w:lvl w:ilvl="0">
      <w:start w:val="1"/>
      <w:numFmt w:val="decimal"/>
      <w:lvlRestart w:val="0"/>
      <w:lvlText w:val="%1."/>
      <w:lvlJc w:val="left"/>
      <w:pPr>
        <w:tabs>
          <w:tab w:val="num" w:pos="475"/>
        </w:tabs>
        <w:ind w:left="0" w:firstLine="0"/>
      </w:pPr>
      <w:rPr>
        <w:b w:val="0"/>
        <w:w w:val="100"/>
      </w:rPr>
    </w:lvl>
  </w:abstractNum>
  <w:num w:numId="1">
    <w:abstractNumId w:val="2"/>
  </w:num>
  <w:num w:numId="2">
    <w:abstractNumId w:val="3"/>
  </w:num>
  <w:num w:numId="3">
    <w:abstractNumId w:val="8"/>
  </w:num>
  <w:num w:numId="4">
    <w:abstractNumId w:val="0"/>
  </w:num>
  <w:num w:numId="5">
    <w:abstractNumId w:val="9"/>
  </w:num>
  <w:num w:numId="6">
    <w:abstractNumId w:val="6"/>
  </w:num>
  <w:num w:numId="7">
    <w:abstractNumId w:val="1"/>
  </w:num>
  <w:num w:numId="8">
    <w:abstractNumId w:val="7"/>
  </w:num>
  <w:num w:numId="9">
    <w:abstractNumId w:val="5"/>
  </w:num>
  <w:num w:numId="10">
    <w:abstractNumId w:val="3"/>
  </w:num>
  <w:num w:numId="11">
    <w:abstractNumId w:val="3"/>
  </w:num>
  <w:num w:numId="12">
    <w:abstractNumId w:val="3"/>
  </w:num>
  <w:num w:numId="13">
    <w:abstractNumId w:val="3"/>
  </w:num>
  <w:num w:numId="14">
    <w:abstractNumId w:val="3"/>
  </w:num>
  <w:num w:numId="15">
    <w:abstractNumId w:val="3"/>
  </w:num>
  <w:num w:numId="16">
    <w:abstractNumId w:val="1"/>
    <w:lvlOverride w:ilvl="0">
      <w:startOverride w:val="1"/>
    </w:lvlOverride>
  </w:num>
  <w:num w:numId="17">
    <w:abstractNumId w:val="11"/>
  </w:num>
  <w:num w:numId="18">
    <w:abstractNumId w:val="10"/>
  </w:num>
  <w:num w:numId="1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SortMethod w:val="0003"/>
  <w:defaultTabStop w:val="475"/>
  <w:doNotHyphenateCaps/>
  <w:evenAndOddHeaders/>
  <w:characterSpacingControl w:val="doNotCompress"/>
  <w:hdrShapeDefaults>
    <o:shapedefaults v:ext="edit" spidmax="10241"/>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21966*"/>
    <w:docVar w:name="CreationDt" w:val="2/12/2016 10:45 AM"/>
    <w:docVar w:name="DocCategory" w:val="Doc"/>
    <w:docVar w:name="DocType" w:val="Final"/>
    <w:docVar w:name="DutyStation" w:val="Geneva"/>
    <w:docVar w:name="FooterJN" w:val="GE.15-21966"/>
    <w:docVar w:name="jobn" w:val="GE.15-21966 (F)"/>
    <w:docVar w:name="jobnDT" w:val="GE.15-21966 (F)   120216"/>
    <w:docVar w:name="jobnDTDT" w:val="GE.15-21966 (F)   120216   120216"/>
    <w:docVar w:name="JobNo" w:val="GE.1521966F"/>
    <w:docVar w:name="JobNo2" w:val="GE.1528460F"/>
    <w:docVar w:name="LocalDrive" w:val="0"/>
    <w:docVar w:name="OandT" w:val="OKRZESIK"/>
    <w:docVar w:name="PaperSize" w:val="A4"/>
    <w:docVar w:name="sss1" w:val="ECE/TRANS/2016/22"/>
    <w:docVar w:name="sss2" w:val="-"/>
    <w:docVar w:name="Symbol1" w:val="ECE/TRANS/2016/22"/>
    <w:docVar w:name="Symbol2" w:val="-"/>
  </w:docVars>
  <w:rsids>
    <w:rsidRoot w:val="007D3A5B"/>
    <w:rsid w:val="000015B8"/>
    <w:rsid w:val="000046A5"/>
    <w:rsid w:val="000055FB"/>
    <w:rsid w:val="00010C97"/>
    <w:rsid w:val="00015AA5"/>
    <w:rsid w:val="00016483"/>
    <w:rsid w:val="00022173"/>
    <w:rsid w:val="0002226F"/>
    <w:rsid w:val="00022B4A"/>
    <w:rsid w:val="00023E37"/>
    <w:rsid w:val="000249FF"/>
    <w:rsid w:val="00025DE5"/>
    <w:rsid w:val="000274C2"/>
    <w:rsid w:val="00033DC9"/>
    <w:rsid w:val="000378DE"/>
    <w:rsid w:val="00040497"/>
    <w:rsid w:val="00041ABD"/>
    <w:rsid w:val="00046145"/>
    <w:rsid w:val="00050D9C"/>
    <w:rsid w:val="00054482"/>
    <w:rsid w:val="000554E6"/>
    <w:rsid w:val="0005669A"/>
    <w:rsid w:val="00057151"/>
    <w:rsid w:val="000571B5"/>
    <w:rsid w:val="000616D7"/>
    <w:rsid w:val="000636D2"/>
    <w:rsid w:val="00063B2D"/>
    <w:rsid w:val="000643C1"/>
    <w:rsid w:val="000658A4"/>
    <w:rsid w:val="00065BD4"/>
    <w:rsid w:val="000675CF"/>
    <w:rsid w:val="00071173"/>
    <w:rsid w:val="0007246F"/>
    <w:rsid w:val="000746A5"/>
    <w:rsid w:val="00074EA0"/>
    <w:rsid w:val="0007569D"/>
    <w:rsid w:val="000776CA"/>
    <w:rsid w:val="00077CC4"/>
    <w:rsid w:val="00083D89"/>
    <w:rsid w:val="00085112"/>
    <w:rsid w:val="0008708F"/>
    <w:rsid w:val="00091BC1"/>
    <w:rsid w:val="00091DBD"/>
    <w:rsid w:val="00096B3C"/>
    <w:rsid w:val="000A18B6"/>
    <w:rsid w:val="000A24DE"/>
    <w:rsid w:val="000A2612"/>
    <w:rsid w:val="000A2DFB"/>
    <w:rsid w:val="000A3AB1"/>
    <w:rsid w:val="000A4A47"/>
    <w:rsid w:val="000A4F5A"/>
    <w:rsid w:val="000A74D1"/>
    <w:rsid w:val="000B0E9A"/>
    <w:rsid w:val="000B1A18"/>
    <w:rsid w:val="000B2CD0"/>
    <w:rsid w:val="000B3ED4"/>
    <w:rsid w:val="000B5AF0"/>
    <w:rsid w:val="000B6B84"/>
    <w:rsid w:val="000B7004"/>
    <w:rsid w:val="000C085A"/>
    <w:rsid w:val="000C349B"/>
    <w:rsid w:val="000C683C"/>
    <w:rsid w:val="000D44E3"/>
    <w:rsid w:val="000D5D82"/>
    <w:rsid w:val="000D66AC"/>
    <w:rsid w:val="000D7ED4"/>
    <w:rsid w:val="000E1550"/>
    <w:rsid w:val="000E1ABE"/>
    <w:rsid w:val="000F04A8"/>
    <w:rsid w:val="000F1B8A"/>
    <w:rsid w:val="000F299A"/>
    <w:rsid w:val="000F36A0"/>
    <w:rsid w:val="000F53E9"/>
    <w:rsid w:val="000F5E27"/>
    <w:rsid w:val="000F6A05"/>
    <w:rsid w:val="000F6E7D"/>
    <w:rsid w:val="001027E2"/>
    <w:rsid w:val="0010575E"/>
    <w:rsid w:val="00106549"/>
    <w:rsid w:val="00107710"/>
    <w:rsid w:val="00107C97"/>
    <w:rsid w:val="00110242"/>
    <w:rsid w:val="0011255C"/>
    <w:rsid w:val="001126A7"/>
    <w:rsid w:val="00112FE9"/>
    <w:rsid w:val="0011497A"/>
    <w:rsid w:val="00114B31"/>
    <w:rsid w:val="001156F7"/>
    <w:rsid w:val="00116149"/>
    <w:rsid w:val="00117C27"/>
    <w:rsid w:val="00123812"/>
    <w:rsid w:val="00125417"/>
    <w:rsid w:val="001256F6"/>
    <w:rsid w:val="001262BA"/>
    <w:rsid w:val="00126FB2"/>
    <w:rsid w:val="00127266"/>
    <w:rsid w:val="0013186C"/>
    <w:rsid w:val="00132A45"/>
    <w:rsid w:val="001359FA"/>
    <w:rsid w:val="00136134"/>
    <w:rsid w:val="0013714F"/>
    <w:rsid w:val="00140666"/>
    <w:rsid w:val="0014233F"/>
    <w:rsid w:val="00143703"/>
    <w:rsid w:val="00144DE1"/>
    <w:rsid w:val="00145A1F"/>
    <w:rsid w:val="001466A3"/>
    <w:rsid w:val="00147051"/>
    <w:rsid w:val="001471CF"/>
    <w:rsid w:val="00151710"/>
    <w:rsid w:val="00151AC8"/>
    <w:rsid w:val="001553DE"/>
    <w:rsid w:val="00155B70"/>
    <w:rsid w:val="00160E65"/>
    <w:rsid w:val="00161368"/>
    <w:rsid w:val="0016199B"/>
    <w:rsid w:val="00162C83"/>
    <w:rsid w:val="001639FC"/>
    <w:rsid w:val="00163D26"/>
    <w:rsid w:val="00164BB5"/>
    <w:rsid w:val="00166384"/>
    <w:rsid w:val="001709F1"/>
    <w:rsid w:val="00177D83"/>
    <w:rsid w:val="00180387"/>
    <w:rsid w:val="001818CC"/>
    <w:rsid w:val="001836CE"/>
    <w:rsid w:val="00183EBF"/>
    <w:rsid w:val="001862F3"/>
    <w:rsid w:val="00186793"/>
    <w:rsid w:val="0019082C"/>
    <w:rsid w:val="00192D05"/>
    <w:rsid w:val="00193A8C"/>
    <w:rsid w:val="001A2E2D"/>
    <w:rsid w:val="001A4BAA"/>
    <w:rsid w:val="001A4F4E"/>
    <w:rsid w:val="001A5D31"/>
    <w:rsid w:val="001A76F3"/>
    <w:rsid w:val="001B3AE3"/>
    <w:rsid w:val="001B5583"/>
    <w:rsid w:val="001B5A24"/>
    <w:rsid w:val="001C0599"/>
    <w:rsid w:val="001C3C57"/>
    <w:rsid w:val="001C4664"/>
    <w:rsid w:val="001C4EBE"/>
    <w:rsid w:val="001C5B90"/>
    <w:rsid w:val="001D0E60"/>
    <w:rsid w:val="001D272D"/>
    <w:rsid w:val="001D280C"/>
    <w:rsid w:val="001D294E"/>
    <w:rsid w:val="001D688B"/>
    <w:rsid w:val="001E2D50"/>
    <w:rsid w:val="001E44F3"/>
    <w:rsid w:val="001E5C8A"/>
    <w:rsid w:val="001F053A"/>
    <w:rsid w:val="001F2DA6"/>
    <w:rsid w:val="001F4DBE"/>
    <w:rsid w:val="001F62AF"/>
    <w:rsid w:val="001F793D"/>
    <w:rsid w:val="001F7E9D"/>
    <w:rsid w:val="002009A2"/>
    <w:rsid w:val="002021E9"/>
    <w:rsid w:val="00202789"/>
    <w:rsid w:val="00202F1F"/>
    <w:rsid w:val="00205199"/>
    <w:rsid w:val="0020521E"/>
    <w:rsid w:val="00206598"/>
    <w:rsid w:val="00207655"/>
    <w:rsid w:val="00207CAA"/>
    <w:rsid w:val="0021168F"/>
    <w:rsid w:val="002178A7"/>
    <w:rsid w:val="002220FF"/>
    <w:rsid w:val="00237D01"/>
    <w:rsid w:val="00240F64"/>
    <w:rsid w:val="002410E3"/>
    <w:rsid w:val="00241F29"/>
    <w:rsid w:val="00243D1C"/>
    <w:rsid w:val="00245B48"/>
    <w:rsid w:val="00246425"/>
    <w:rsid w:val="002515C7"/>
    <w:rsid w:val="002523F6"/>
    <w:rsid w:val="00252402"/>
    <w:rsid w:val="00254656"/>
    <w:rsid w:val="0025545A"/>
    <w:rsid w:val="00261E82"/>
    <w:rsid w:val="0026332C"/>
    <w:rsid w:val="0026552F"/>
    <w:rsid w:val="0026565F"/>
    <w:rsid w:val="00266AFD"/>
    <w:rsid w:val="00270780"/>
    <w:rsid w:val="002730C7"/>
    <w:rsid w:val="0027435B"/>
    <w:rsid w:val="00276E85"/>
    <w:rsid w:val="00280143"/>
    <w:rsid w:val="00280E2F"/>
    <w:rsid w:val="002810F0"/>
    <w:rsid w:val="00281BC7"/>
    <w:rsid w:val="00285DC4"/>
    <w:rsid w:val="00286531"/>
    <w:rsid w:val="002867C7"/>
    <w:rsid w:val="0029018C"/>
    <w:rsid w:val="002A07EF"/>
    <w:rsid w:val="002A2122"/>
    <w:rsid w:val="002A27E5"/>
    <w:rsid w:val="002A530D"/>
    <w:rsid w:val="002A69DB"/>
    <w:rsid w:val="002B037D"/>
    <w:rsid w:val="002B1D15"/>
    <w:rsid w:val="002B4A7F"/>
    <w:rsid w:val="002B5449"/>
    <w:rsid w:val="002B5928"/>
    <w:rsid w:val="002C3640"/>
    <w:rsid w:val="002C3FD3"/>
    <w:rsid w:val="002C419A"/>
    <w:rsid w:val="002C472D"/>
    <w:rsid w:val="002C52BE"/>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8EE"/>
    <w:rsid w:val="002F1E33"/>
    <w:rsid w:val="002F5482"/>
    <w:rsid w:val="002F5972"/>
    <w:rsid w:val="00303A3C"/>
    <w:rsid w:val="00303D82"/>
    <w:rsid w:val="00303E4E"/>
    <w:rsid w:val="003047D2"/>
    <w:rsid w:val="00306DE1"/>
    <w:rsid w:val="0030788D"/>
    <w:rsid w:val="00316628"/>
    <w:rsid w:val="00316B58"/>
    <w:rsid w:val="003235C7"/>
    <w:rsid w:val="00326270"/>
    <w:rsid w:val="0032685C"/>
    <w:rsid w:val="0032728E"/>
    <w:rsid w:val="00332A87"/>
    <w:rsid w:val="00333703"/>
    <w:rsid w:val="003342DF"/>
    <w:rsid w:val="00334FEB"/>
    <w:rsid w:val="00337015"/>
    <w:rsid w:val="003406CA"/>
    <w:rsid w:val="00340736"/>
    <w:rsid w:val="00343F8A"/>
    <w:rsid w:val="003441A5"/>
    <w:rsid w:val="00344969"/>
    <w:rsid w:val="00347E5F"/>
    <w:rsid w:val="003506F1"/>
    <w:rsid w:val="003555DE"/>
    <w:rsid w:val="00355810"/>
    <w:rsid w:val="003559A7"/>
    <w:rsid w:val="0035691F"/>
    <w:rsid w:val="00356B67"/>
    <w:rsid w:val="003616BD"/>
    <w:rsid w:val="00362737"/>
    <w:rsid w:val="00362F57"/>
    <w:rsid w:val="003640A0"/>
    <w:rsid w:val="00365932"/>
    <w:rsid w:val="00371D21"/>
    <w:rsid w:val="003738C0"/>
    <w:rsid w:val="003810FF"/>
    <w:rsid w:val="003824F9"/>
    <w:rsid w:val="00383196"/>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27E3"/>
    <w:rsid w:val="003B411E"/>
    <w:rsid w:val="003B445F"/>
    <w:rsid w:val="003B49BF"/>
    <w:rsid w:val="003B60DA"/>
    <w:rsid w:val="003B60EE"/>
    <w:rsid w:val="003B668A"/>
    <w:rsid w:val="003B7282"/>
    <w:rsid w:val="003C012D"/>
    <w:rsid w:val="003C16E3"/>
    <w:rsid w:val="003C222D"/>
    <w:rsid w:val="003C252F"/>
    <w:rsid w:val="003C629D"/>
    <w:rsid w:val="003C6DDA"/>
    <w:rsid w:val="003C7AEA"/>
    <w:rsid w:val="003C7D21"/>
    <w:rsid w:val="003D15A3"/>
    <w:rsid w:val="003D35C1"/>
    <w:rsid w:val="003D635C"/>
    <w:rsid w:val="003D7BC4"/>
    <w:rsid w:val="003E0FAA"/>
    <w:rsid w:val="003E1642"/>
    <w:rsid w:val="003E3E2D"/>
    <w:rsid w:val="003E3E48"/>
    <w:rsid w:val="003E47D8"/>
    <w:rsid w:val="003E4E03"/>
    <w:rsid w:val="003F108A"/>
    <w:rsid w:val="003F11A9"/>
    <w:rsid w:val="003F1243"/>
    <w:rsid w:val="003F27A0"/>
    <w:rsid w:val="003F34C6"/>
    <w:rsid w:val="003F57D1"/>
    <w:rsid w:val="00401219"/>
    <w:rsid w:val="004039C7"/>
    <w:rsid w:val="004065B7"/>
    <w:rsid w:val="004066EB"/>
    <w:rsid w:val="00406E1E"/>
    <w:rsid w:val="00414C9D"/>
    <w:rsid w:val="00415A2B"/>
    <w:rsid w:val="00416293"/>
    <w:rsid w:val="004204AE"/>
    <w:rsid w:val="004216F7"/>
    <w:rsid w:val="0042753D"/>
    <w:rsid w:val="004309B5"/>
    <w:rsid w:val="0043103D"/>
    <w:rsid w:val="00432662"/>
    <w:rsid w:val="00433AB0"/>
    <w:rsid w:val="004342B2"/>
    <w:rsid w:val="00441593"/>
    <w:rsid w:val="00443A00"/>
    <w:rsid w:val="00444609"/>
    <w:rsid w:val="004448E6"/>
    <w:rsid w:val="00450D24"/>
    <w:rsid w:val="00452DA5"/>
    <w:rsid w:val="00453DAB"/>
    <w:rsid w:val="0045423E"/>
    <w:rsid w:val="004548AC"/>
    <w:rsid w:val="00455176"/>
    <w:rsid w:val="00455E42"/>
    <w:rsid w:val="00457D04"/>
    <w:rsid w:val="00460112"/>
    <w:rsid w:val="00461788"/>
    <w:rsid w:val="00461A3B"/>
    <w:rsid w:val="004627F7"/>
    <w:rsid w:val="00462FE3"/>
    <w:rsid w:val="004638A8"/>
    <w:rsid w:val="00464787"/>
    <w:rsid w:val="004668FF"/>
    <w:rsid w:val="004669E9"/>
    <w:rsid w:val="00472794"/>
    <w:rsid w:val="00475F9F"/>
    <w:rsid w:val="00476698"/>
    <w:rsid w:val="00477592"/>
    <w:rsid w:val="004814BB"/>
    <w:rsid w:val="00481634"/>
    <w:rsid w:val="00487428"/>
    <w:rsid w:val="00491CD5"/>
    <w:rsid w:val="00492510"/>
    <w:rsid w:val="00492DC3"/>
    <w:rsid w:val="00493124"/>
    <w:rsid w:val="004973EC"/>
    <w:rsid w:val="004A0AA6"/>
    <w:rsid w:val="004A1763"/>
    <w:rsid w:val="004A186E"/>
    <w:rsid w:val="004A2319"/>
    <w:rsid w:val="004A2455"/>
    <w:rsid w:val="004A698E"/>
    <w:rsid w:val="004A7606"/>
    <w:rsid w:val="004B1DBB"/>
    <w:rsid w:val="004B56C6"/>
    <w:rsid w:val="004B5817"/>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7A4"/>
    <w:rsid w:val="004F1F9F"/>
    <w:rsid w:val="004F2765"/>
    <w:rsid w:val="004F5238"/>
    <w:rsid w:val="004F53F0"/>
    <w:rsid w:val="004F69D3"/>
    <w:rsid w:val="004F6B7C"/>
    <w:rsid w:val="005049A9"/>
    <w:rsid w:val="00505F1C"/>
    <w:rsid w:val="0050603C"/>
    <w:rsid w:val="00506B44"/>
    <w:rsid w:val="005100BC"/>
    <w:rsid w:val="0051451F"/>
    <w:rsid w:val="0051666F"/>
    <w:rsid w:val="0051772A"/>
    <w:rsid w:val="00517E8B"/>
    <w:rsid w:val="00520271"/>
    <w:rsid w:val="00520B7B"/>
    <w:rsid w:val="00521F7B"/>
    <w:rsid w:val="00522110"/>
    <w:rsid w:val="00522657"/>
    <w:rsid w:val="00523069"/>
    <w:rsid w:val="00523378"/>
    <w:rsid w:val="0052413A"/>
    <w:rsid w:val="00525A3D"/>
    <w:rsid w:val="00527615"/>
    <w:rsid w:val="00527DD0"/>
    <w:rsid w:val="00533905"/>
    <w:rsid w:val="005372C0"/>
    <w:rsid w:val="00541630"/>
    <w:rsid w:val="0054168D"/>
    <w:rsid w:val="00542357"/>
    <w:rsid w:val="00551176"/>
    <w:rsid w:val="00551EAE"/>
    <w:rsid w:val="00552150"/>
    <w:rsid w:val="005522D6"/>
    <w:rsid w:val="005536AE"/>
    <w:rsid w:val="00554B37"/>
    <w:rsid w:val="0055536F"/>
    <w:rsid w:val="005669CA"/>
    <w:rsid w:val="00575199"/>
    <w:rsid w:val="005770F6"/>
    <w:rsid w:val="00577899"/>
    <w:rsid w:val="00577BDD"/>
    <w:rsid w:val="005811A3"/>
    <w:rsid w:val="00583566"/>
    <w:rsid w:val="00584E7A"/>
    <w:rsid w:val="00585CA8"/>
    <w:rsid w:val="00585DEA"/>
    <w:rsid w:val="00587345"/>
    <w:rsid w:val="0058795C"/>
    <w:rsid w:val="00590A88"/>
    <w:rsid w:val="00591AA0"/>
    <w:rsid w:val="0059357F"/>
    <w:rsid w:val="00593781"/>
    <w:rsid w:val="00594AE2"/>
    <w:rsid w:val="005958B3"/>
    <w:rsid w:val="00596647"/>
    <w:rsid w:val="00597A85"/>
    <w:rsid w:val="005A037D"/>
    <w:rsid w:val="005A0DEC"/>
    <w:rsid w:val="005A1E12"/>
    <w:rsid w:val="005A305D"/>
    <w:rsid w:val="005A6A6E"/>
    <w:rsid w:val="005A6D92"/>
    <w:rsid w:val="005A6DD6"/>
    <w:rsid w:val="005A7976"/>
    <w:rsid w:val="005B33A4"/>
    <w:rsid w:val="005B3C4C"/>
    <w:rsid w:val="005B50F0"/>
    <w:rsid w:val="005B5D99"/>
    <w:rsid w:val="005B74B8"/>
    <w:rsid w:val="005C1353"/>
    <w:rsid w:val="005C1587"/>
    <w:rsid w:val="005C3A63"/>
    <w:rsid w:val="005C65C2"/>
    <w:rsid w:val="005C765D"/>
    <w:rsid w:val="005C7B4D"/>
    <w:rsid w:val="005D0A1A"/>
    <w:rsid w:val="005D7CA9"/>
    <w:rsid w:val="005E0F5F"/>
    <w:rsid w:val="005F12E0"/>
    <w:rsid w:val="005F2726"/>
    <w:rsid w:val="005F2A30"/>
    <w:rsid w:val="005F2FA6"/>
    <w:rsid w:val="005F34E5"/>
    <w:rsid w:val="005F35C5"/>
    <w:rsid w:val="005F43E1"/>
    <w:rsid w:val="005F47D4"/>
    <w:rsid w:val="005F6A9F"/>
    <w:rsid w:val="005F6E3F"/>
    <w:rsid w:val="0060033F"/>
    <w:rsid w:val="00603211"/>
    <w:rsid w:val="0060375B"/>
    <w:rsid w:val="0060644F"/>
    <w:rsid w:val="00606A0C"/>
    <w:rsid w:val="00607448"/>
    <w:rsid w:val="0060792E"/>
    <w:rsid w:val="00611860"/>
    <w:rsid w:val="00611DA0"/>
    <w:rsid w:val="00612407"/>
    <w:rsid w:val="006125AC"/>
    <w:rsid w:val="00616984"/>
    <w:rsid w:val="00616E84"/>
    <w:rsid w:val="00617EBE"/>
    <w:rsid w:val="0062117B"/>
    <w:rsid w:val="00622055"/>
    <w:rsid w:val="006244D1"/>
    <w:rsid w:val="00632332"/>
    <w:rsid w:val="00633E85"/>
    <w:rsid w:val="006361EE"/>
    <w:rsid w:val="0063657E"/>
    <w:rsid w:val="00636EB6"/>
    <w:rsid w:val="006407EF"/>
    <w:rsid w:val="0064115E"/>
    <w:rsid w:val="006423E0"/>
    <w:rsid w:val="00646F60"/>
    <w:rsid w:val="0064762B"/>
    <w:rsid w:val="00650623"/>
    <w:rsid w:val="0065129E"/>
    <w:rsid w:val="006512C8"/>
    <w:rsid w:val="00653CD3"/>
    <w:rsid w:val="00656E62"/>
    <w:rsid w:val="0065714B"/>
    <w:rsid w:val="006573FC"/>
    <w:rsid w:val="00660D00"/>
    <w:rsid w:val="00662686"/>
    <w:rsid w:val="00665605"/>
    <w:rsid w:val="00665692"/>
    <w:rsid w:val="006660B5"/>
    <w:rsid w:val="00671687"/>
    <w:rsid w:val="00673F2C"/>
    <w:rsid w:val="00675A53"/>
    <w:rsid w:val="006770E8"/>
    <w:rsid w:val="006803F5"/>
    <w:rsid w:val="006817AB"/>
    <w:rsid w:val="00683C7E"/>
    <w:rsid w:val="006853D8"/>
    <w:rsid w:val="006866E8"/>
    <w:rsid w:val="00687FB1"/>
    <w:rsid w:val="0069608C"/>
    <w:rsid w:val="00697952"/>
    <w:rsid w:val="006A04E6"/>
    <w:rsid w:val="006A0B3D"/>
    <w:rsid w:val="006A2F71"/>
    <w:rsid w:val="006A5910"/>
    <w:rsid w:val="006B1ABC"/>
    <w:rsid w:val="006B2934"/>
    <w:rsid w:val="006B2CC8"/>
    <w:rsid w:val="006B64BE"/>
    <w:rsid w:val="006B6669"/>
    <w:rsid w:val="006C1A92"/>
    <w:rsid w:val="006C3BDD"/>
    <w:rsid w:val="006C449D"/>
    <w:rsid w:val="006D0C9B"/>
    <w:rsid w:val="006D1115"/>
    <w:rsid w:val="006D138E"/>
    <w:rsid w:val="006D1B76"/>
    <w:rsid w:val="006D5832"/>
    <w:rsid w:val="006E215F"/>
    <w:rsid w:val="006E3D5C"/>
    <w:rsid w:val="006E4078"/>
    <w:rsid w:val="006E4E12"/>
    <w:rsid w:val="006E4EFA"/>
    <w:rsid w:val="006E5649"/>
    <w:rsid w:val="006F41DD"/>
    <w:rsid w:val="006F5A33"/>
    <w:rsid w:val="006F6787"/>
    <w:rsid w:val="006F6EDD"/>
    <w:rsid w:val="006F79A5"/>
    <w:rsid w:val="007033D2"/>
    <w:rsid w:val="00704AF5"/>
    <w:rsid w:val="0070555E"/>
    <w:rsid w:val="00707DF8"/>
    <w:rsid w:val="00711F00"/>
    <w:rsid w:val="0071328D"/>
    <w:rsid w:val="00713D33"/>
    <w:rsid w:val="00717865"/>
    <w:rsid w:val="00721866"/>
    <w:rsid w:val="0072436A"/>
    <w:rsid w:val="00735F3A"/>
    <w:rsid w:val="00735FB1"/>
    <w:rsid w:val="007367E1"/>
    <w:rsid w:val="007379A0"/>
    <w:rsid w:val="00741B55"/>
    <w:rsid w:val="00743131"/>
    <w:rsid w:val="0074339E"/>
    <w:rsid w:val="00744BE5"/>
    <w:rsid w:val="00744D58"/>
    <w:rsid w:val="00745376"/>
    <w:rsid w:val="0074587F"/>
    <w:rsid w:val="007476BA"/>
    <w:rsid w:val="00750C8F"/>
    <w:rsid w:val="0075110B"/>
    <w:rsid w:val="007517F6"/>
    <w:rsid w:val="007531C9"/>
    <w:rsid w:val="007537B8"/>
    <w:rsid w:val="00754913"/>
    <w:rsid w:val="00755393"/>
    <w:rsid w:val="007553FC"/>
    <w:rsid w:val="00756346"/>
    <w:rsid w:val="007609C3"/>
    <w:rsid w:val="00760F66"/>
    <w:rsid w:val="00761561"/>
    <w:rsid w:val="00762F97"/>
    <w:rsid w:val="0076382E"/>
    <w:rsid w:val="00763AE4"/>
    <w:rsid w:val="00765152"/>
    <w:rsid w:val="00767FBE"/>
    <w:rsid w:val="00770DEF"/>
    <w:rsid w:val="00770EB4"/>
    <w:rsid w:val="00772106"/>
    <w:rsid w:val="0077228A"/>
    <w:rsid w:val="00772CF6"/>
    <w:rsid w:val="00772EB1"/>
    <w:rsid w:val="00774368"/>
    <w:rsid w:val="0077589C"/>
    <w:rsid w:val="00775BFD"/>
    <w:rsid w:val="007769D2"/>
    <w:rsid w:val="00780058"/>
    <w:rsid w:val="007804F4"/>
    <w:rsid w:val="00781004"/>
    <w:rsid w:val="00781F43"/>
    <w:rsid w:val="0078227E"/>
    <w:rsid w:val="0078267A"/>
    <w:rsid w:val="00783270"/>
    <w:rsid w:val="0078374C"/>
    <w:rsid w:val="007842C1"/>
    <w:rsid w:val="0078627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345A"/>
    <w:rsid w:val="007A3D35"/>
    <w:rsid w:val="007A78C2"/>
    <w:rsid w:val="007B05E9"/>
    <w:rsid w:val="007B148E"/>
    <w:rsid w:val="007B1E17"/>
    <w:rsid w:val="007B4C73"/>
    <w:rsid w:val="007C0C1F"/>
    <w:rsid w:val="007C1F58"/>
    <w:rsid w:val="007C206E"/>
    <w:rsid w:val="007C2936"/>
    <w:rsid w:val="007C4A36"/>
    <w:rsid w:val="007C662A"/>
    <w:rsid w:val="007C7D7F"/>
    <w:rsid w:val="007D33BA"/>
    <w:rsid w:val="007D385A"/>
    <w:rsid w:val="007D3A5B"/>
    <w:rsid w:val="007D6FCB"/>
    <w:rsid w:val="007D7FD4"/>
    <w:rsid w:val="007E2FEB"/>
    <w:rsid w:val="007E3CF9"/>
    <w:rsid w:val="007E74E9"/>
    <w:rsid w:val="007E7D59"/>
    <w:rsid w:val="007F0ED6"/>
    <w:rsid w:val="007F1AB9"/>
    <w:rsid w:val="007F3DCC"/>
    <w:rsid w:val="007F49BD"/>
    <w:rsid w:val="007F6F95"/>
    <w:rsid w:val="007F77CB"/>
    <w:rsid w:val="00800903"/>
    <w:rsid w:val="008040BA"/>
    <w:rsid w:val="00804131"/>
    <w:rsid w:val="00804565"/>
    <w:rsid w:val="00806A3B"/>
    <w:rsid w:val="00807CA4"/>
    <w:rsid w:val="008100FD"/>
    <w:rsid w:val="008114C3"/>
    <w:rsid w:val="00814A7D"/>
    <w:rsid w:val="00814C2A"/>
    <w:rsid w:val="00816ECE"/>
    <w:rsid w:val="008173CF"/>
    <w:rsid w:val="00817473"/>
    <w:rsid w:val="00817884"/>
    <w:rsid w:val="0082537E"/>
    <w:rsid w:val="00825C31"/>
    <w:rsid w:val="00831BD0"/>
    <w:rsid w:val="00833A79"/>
    <w:rsid w:val="00833BFF"/>
    <w:rsid w:val="0083677A"/>
    <w:rsid w:val="00837284"/>
    <w:rsid w:val="0083731D"/>
    <w:rsid w:val="00837549"/>
    <w:rsid w:val="008415FE"/>
    <w:rsid w:val="00842319"/>
    <w:rsid w:val="008435C2"/>
    <w:rsid w:val="00844B5C"/>
    <w:rsid w:val="00845C9F"/>
    <w:rsid w:val="00846431"/>
    <w:rsid w:val="00850A6F"/>
    <w:rsid w:val="00851353"/>
    <w:rsid w:val="008555BA"/>
    <w:rsid w:val="00856155"/>
    <w:rsid w:val="008569C7"/>
    <w:rsid w:val="00856CD0"/>
    <w:rsid w:val="008579A6"/>
    <w:rsid w:val="00860226"/>
    <w:rsid w:val="00861D7A"/>
    <w:rsid w:val="00862E29"/>
    <w:rsid w:val="00863E44"/>
    <w:rsid w:val="0086499F"/>
    <w:rsid w:val="00865A5F"/>
    <w:rsid w:val="00867D33"/>
    <w:rsid w:val="00867F04"/>
    <w:rsid w:val="008703DB"/>
    <w:rsid w:val="008710A1"/>
    <w:rsid w:val="0087489F"/>
    <w:rsid w:val="00875E49"/>
    <w:rsid w:val="0088158E"/>
    <w:rsid w:val="0088258D"/>
    <w:rsid w:val="008829F3"/>
    <w:rsid w:val="00882D4B"/>
    <w:rsid w:val="00883D0F"/>
    <w:rsid w:val="00887256"/>
    <w:rsid w:val="00890BEA"/>
    <w:rsid w:val="00890EF0"/>
    <w:rsid w:val="0089184F"/>
    <w:rsid w:val="00891ADA"/>
    <w:rsid w:val="008962D4"/>
    <w:rsid w:val="008A3ABC"/>
    <w:rsid w:val="008A4C0E"/>
    <w:rsid w:val="008A5334"/>
    <w:rsid w:val="008A630B"/>
    <w:rsid w:val="008A734B"/>
    <w:rsid w:val="008B24ED"/>
    <w:rsid w:val="008B5932"/>
    <w:rsid w:val="008C1225"/>
    <w:rsid w:val="008C1646"/>
    <w:rsid w:val="008C189A"/>
    <w:rsid w:val="008C1E51"/>
    <w:rsid w:val="008C2C0E"/>
    <w:rsid w:val="008C5E6B"/>
    <w:rsid w:val="008C6672"/>
    <w:rsid w:val="008D2DCF"/>
    <w:rsid w:val="008D3043"/>
    <w:rsid w:val="008D3318"/>
    <w:rsid w:val="008D4C00"/>
    <w:rsid w:val="008D52CD"/>
    <w:rsid w:val="008D5C5F"/>
    <w:rsid w:val="008D613D"/>
    <w:rsid w:val="008D756B"/>
    <w:rsid w:val="008E07B5"/>
    <w:rsid w:val="008E1E88"/>
    <w:rsid w:val="008E2B6D"/>
    <w:rsid w:val="008E355A"/>
    <w:rsid w:val="008E4FFA"/>
    <w:rsid w:val="008E5CC1"/>
    <w:rsid w:val="008E6532"/>
    <w:rsid w:val="008E7FF5"/>
    <w:rsid w:val="008F125F"/>
    <w:rsid w:val="008F2C00"/>
    <w:rsid w:val="008F3DAE"/>
    <w:rsid w:val="008F6630"/>
    <w:rsid w:val="008F7622"/>
    <w:rsid w:val="0090311E"/>
    <w:rsid w:val="0090438E"/>
    <w:rsid w:val="00906110"/>
    <w:rsid w:val="0090704E"/>
    <w:rsid w:val="0091108F"/>
    <w:rsid w:val="009133F5"/>
    <w:rsid w:val="00914786"/>
    <w:rsid w:val="00915680"/>
    <w:rsid w:val="00915FB9"/>
    <w:rsid w:val="0091610E"/>
    <w:rsid w:val="00916373"/>
    <w:rsid w:val="00916548"/>
    <w:rsid w:val="00916A77"/>
    <w:rsid w:val="00921BE8"/>
    <w:rsid w:val="00922E3D"/>
    <w:rsid w:val="009316DC"/>
    <w:rsid w:val="00931752"/>
    <w:rsid w:val="00932FDF"/>
    <w:rsid w:val="00936529"/>
    <w:rsid w:val="00940B65"/>
    <w:rsid w:val="0094133A"/>
    <w:rsid w:val="0094148D"/>
    <w:rsid w:val="009419AD"/>
    <w:rsid w:val="0095064A"/>
    <w:rsid w:val="00951A0B"/>
    <w:rsid w:val="009535B3"/>
    <w:rsid w:val="00953A36"/>
    <w:rsid w:val="00953F33"/>
    <w:rsid w:val="00955DBA"/>
    <w:rsid w:val="00957244"/>
    <w:rsid w:val="00962CAC"/>
    <w:rsid w:val="00964BDE"/>
    <w:rsid w:val="009676D3"/>
    <w:rsid w:val="0096782D"/>
    <w:rsid w:val="00970A5C"/>
    <w:rsid w:val="00971E24"/>
    <w:rsid w:val="0098128C"/>
    <w:rsid w:val="009813FE"/>
    <w:rsid w:val="00983734"/>
    <w:rsid w:val="00983DD0"/>
    <w:rsid w:val="0098506E"/>
    <w:rsid w:val="0098670F"/>
    <w:rsid w:val="00986E56"/>
    <w:rsid w:val="00990AFB"/>
    <w:rsid w:val="00991387"/>
    <w:rsid w:val="00992A5D"/>
    <w:rsid w:val="00993B88"/>
    <w:rsid w:val="00993D02"/>
    <w:rsid w:val="009943AB"/>
    <w:rsid w:val="00994740"/>
    <w:rsid w:val="00995515"/>
    <w:rsid w:val="009966F8"/>
    <w:rsid w:val="009A10C4"/>
    <w:rsid w:val="009A142A"/>
    <w:rsid w:val="009A17F4"/>
    <w:rsid w:val="009A193C"/>
    <w:rsid w:val="009A325B"/>
    <w:rsid w:val="009A3FE3"/>
    <w:rsid w:val="009A4787"/>
    <w:rsid w:val="009A7DEC"/>
    <w:rsid w:val="009B0AF7"/>
    <w:rsid w:val="009B0BFB"/>
    <w:rsid w:val="009B4015"/>
    <w:rsid w:val="009B4398"/>
    <w:rsid w:val="009B4EEC"/>
    <w:rsid w:val="009C1815"/>
    <w:rsid w:val="009C416F"/>
    <w:rsid w:val="009C5249"/>
    <w:rsid w:val="009C70D0"/>
    <w:rsid w:val="009C7F1B"/>
    <w:rsid w:val="009D5A2E"/>
    <w:rsid w:val="009D702B"/>
    <w:rsid w:val="009E0573"/>
    <w:rsid w:val="009E06DE"/>
    <w:rsid w:val="009E09FA"/>
    <w:rsid w:val="009E246F"/>
    <w:rsid w:val="009E76A1"/>
    <w:rsid w:val="009F004A"/>
    <w:rsid w:val="009F235E"/>
    <w:rsid w:val="009F29EB"/>
    <w:rsid w:val="009F2D3B"/>
    <w:rsid w:val="009F3C78"/>
    <w:rsid w:val="009F5ACE"/>
    <w:rsid w:val="009F7FE9"/>
    <w:rsid w:val="00A00A92"/>
    <w:rsid w:val="00A02426"/>
    <w:rsid w:val="00A0365F"/>
    <w:rsid w:val="00A0589C"/>
    <w:rsid w:val="00A05A3A"/>
    <w:rsid w:val="00A06CAB"/>
    <w:rsid w:val="00A12A69"/>
    <w:rsid w:val="00A12DBB"/>
    <w:rsid w:val="00A150A7"/>
    <w:rsid w:val="00A151B8"/>
    <w:rsid w:val="00A157E7"/>
    <w:rsid w:val="00A210DD"/>
    <w:rsid w:val="00A21443"/>
    <w:rsid w:val="00A22ED0"/>
    <w:rsid w:val="00A23006"/>
    <w:rsid w:val="00A24099"/>
    <w:rsid w:val="00A264B0"/>
    <w:rsid w:val="00A2768E"/>
    <w:rsid w:val="00A31263"/>
    <w:rsid w:val="00A329BC"/>
    <w:rsid w:val="00A33E3C"/>
    <w:rsid w:val="00A3426E"/>
    <w:rsid w:val="00A353ED"/>
    <w:rsid w:val="00A375D9"/>
    <w:rsid w:val="00A37FBB"/>
    <w:rsid w:val="00A4236C"/>
    <w:rsid w:val="00A43CAC"/>
    <w:rsid w:val="00A45E20"/>
    <w:rsid w:val="00A46DB8"/>
    <w:rsid w:val="00A52DF2"/>
    <w:rsid w:val="00A546A6"/>
    <w:rsid w:val="00A54A5E"/>
    <w:rsid w:val="00A55810"/>
    <w:rsid w:val="00A56CDD"/>
    <w:rsid w:val="00A56E3B"/>
    <w:rsid w:val="00A57C5A"/>
    <w:rsid w:val="00A64AD2"/>
    <w:rsid w:val="00A72C1F"/>
    <w:rsid w:val="00A72F5E"/>
    <w:rsid w:val="00A75482"/>
    <w:rsid w:val="00A75A3C"/>
    <w:rsid w:val="00A761B5"/>
    <w:rsid w:val="00A77825"/>
    <w:rsid w:val="00A83E5E"/>
    <w:rsid w:val="00A84C12"/>
    <w:rsid w:val="00A85CA4"/>
    <w:rsid w:val="00A85D04"/>
    <w:rsid w:val="00A85DB4"/>
    <w:rsid w:val="00A86044"/>
    <w:rsid w:val="00A90002"/>
    <w:rsid w:val="00A96709"/>
    <w:rsid w:val="00A97EBD"/>
    <w:rsid w:val="00AA260F"/>
    <w:rsid w:val="00AA5F19"/>
    <w:rsid w:val="00AA750A"/>
    <w:rsid w:val="00AB001C"/>
    <w:rsid w:val="00AB30D0"/>
    <w:rsid w:val="00AB37EB"/>
    <w:rsid w:val="00AB39C5"/>
    <w:rsid w:val="00AB4438"/>
    <w:rsid w:val="00AB4466"/>
    <w:rsid w:val="00AB4A81"/>
    <w:rsid w:val="00AB50E6"/>
    <w:rsid w:val="00AB54DF"/>
    <w:rsid w:val="00AB6814"/>
    <w:rsid w:val="00AB6863"/>
    <w:rsid w:val="00AB6BE3"/>
    <w:rsid w:val="00AB71F3"/>
    <w:rsid w:val="00AC0555"/>
    <w:rsid w:val="00AC625F"/>
    <w:rsid w:val="00AC67C3"/>
    <w:rsid w:val="00AC6CA3"/>
    <w:rsid w:val="00AC6DB5"/>
    <w:rsid w:val="00AD3D04"/>
    <w:rsid w:val="00AD500D"/>
    <w:rsid w:val="00AD7C27"/>
    <w:rsid w:val="00AE0DF0"/>
    <w:rsid w:val="00AE10E9"/>
    <w:rsid w:val="00AE11C7"/>
    <w:rsid w:val="00AE164F"/>
    <w:rsid w:val="00AE2D40"/>
    <w:rsid w:val="00AE73A1"/>
    <w:rsid w:val="00AE7F88"/>
    <w:rsid w:val="00AF4648"/>
    <w:rsid w:val="00AF4DD3"/>
    <w:rsid w:val="00AF6B78"/>
    <w:rsid w:val="00B01631"/>
    <w:rsid w:val="00B01D80"/>
    <w:rsid w:val="00B03D00"/>
    <w:rsid w:val="00B05198"/>
    <w:rsid w:val="00B0544B"/>
    <w:rsid w:val="00B06C4C"/>
    <w:rsid w:val="00B078C6"/>
    <w:rsid w:val="00B10BF5"/>
    <w:rsid w:val="00B145B5"/>
    <w:rsid w:val="00B152AC"/>
    <w:rsid w:val="00B16C8B"/>
    <w:rsid w:val="00B16FDB"/>
    <w:rsid w:val="00B20969"/>
    <w:rsid w:val="00B22BE8"/>
    <w:rsid w:val="00B2331A"/>
    <w:rsid w:val="00B2356B"/>
    <w:rsid w:val="00B249F3"/>
    <w:rsid w:val="00B25B74"/>
    <w:rsid w:val="00B26B93"/>
    <w:rsid w:val="00B26C0B"/>
    <w:rsid w:val="00B27126"/>
    <w:rsid w:val="00B27CAC"/>
    <w:rsid w:val="00B32CDE"/>
    <w:rsid w:val="00B34479"/>
    <w:rsid w:val="00B34D72"/>
    <w:rsid w:val="00B362BE"/>
    <w:rsid w:val="00B363A2"/>
    <w:rsid w:val="00B37213"/>
    <w:rsid w:val="00B41711"/>
    <w:rsid w:val="00B44EB6"/>
    <w:rsid w:val="00B503F3"/>
    <w:rsid w:val="00B504C9"/>
    <w:rsid w:val="00B52A47"/>
    <w:rsid w:val="00B53FB4"/>
    <w:rsid w:val="00B541C6"/>
    <w:rsid w:val="00B556DD"/>
    <w:rsid w:val="00B5798F"/>
    <w:rsid w:val="00B57EB0"/>
    <w:rsid w:val="00B61107"/>
    <w:rsid w:val="00B61CB4"/>
    <w:rsid w:val="00B62AD3"/>
    <w:rsid w:val="00B65DB9"/>
    <w:rsid w:val="00B66644"/>
    <w:rsid w:val="00B67333"/>
    <w:rsid w:val="00B67756"/>
    <w:rsid w:val="00B70DA9"/>
    <w:rsid w:val="00B712B0"/>
    <w:rsid w:val="00B71478"/>
    <w:rsid w:val="00B71802"/>
    <w:rsid w:val="00B7200B"/>
    <w:rsid w:val="00B76414"/>
    <w:rsid w:val="00B77EB8"/>
    <w:rsid w:val="00B81A2A"/>
    <w:rsid w:val="00B82E95"/>
    <w:rsid w:val="00B84109"/>
    <w:rsid w:val="00B85BDA"/>
    <w:rsid w:val="00B870D6"/>
    <w:rsid w:val="00B874A9"/>
    <w:rsid w:val="00B913B0"/>
    <w:rsid w:val="00B932C8"/>
    <w:rsid w:val="00B93B31"/>
    <w:rsid w:val="00B9457F"/>
    <w:rsid w:val="00B965BF"/>
    <w:rsid w:val="00BA06B1"/>
    <w:rsid w:val="00BA3125"/>
    <w:rsid w:val="00BA3654"/>
    <w:rsid w:val="00BA600B"/>
    <w:rsid w:val="00BC05C8"/>
    <w:rsid w:val="00BC0F9A"/>
    <w:rsid w:val="00BC3D5F"/>
    <w:rsid w:val="00BC43E2"/>
    <w:rsid w:val="00BD0917"/>
    <w:rsid w:val="00BD1607"/>
    <w:rsid w:val="00BD45A0"/>
    <w:rsid w:val="00BD45BA"/>
    <w:rsid w:val="00BE1D55"/>
    <w:rsid w:val="00BE2F51"/>
    <w:rsid w:val="00BE3214"/>
    <w:rsid w:val="00BE5325"/>
    <w:rsid w:val="00BE5439"/>
    <w:rsid w:val="00BE62DB"/>
    <w:rsid w:val="00BE7E1A"/>
    <w:rsid w:val="00BF041C"/>
    <w:rsid w:val="00BF055A"/>
    <w:rsid w:val="00BF0B13"/>
    <w:rsid w:val="00BF4E69"/>
    <w:rsid w:val="00BF651C"/>
    <w:rsid w:val="00BF734B"/>
    <w:rsid w:val="00BF7BD3"/>
    <w:rsid w:val="00BF7CAB"/>
    <w:rsid w:val="00C01B04"/>
    <w:rsid w:val="00C01B3A"/>
    <w:rsid w:val="00C03721"/>
    <w:rsid w:val="00C05291"/>
    <w:rsid w:val="00C06025"/>
    <w:rsid w:val="00C067A3"/>
    <w:rsid w:val="00C115C1"/>
    <w:rsid w:val="00C118DD"/>
    <w:rsid w:val="00C13A34"/>
    <w:rsid w:val="00C13C81"/>
    <w:rsid w:val="00C14A5C"/>
    <w:rsid w:val="00C14B0A"/>
    <w:rsid w:val="00C23EFE"/>
    <w:rsid w:val="00C26CD3"/>
    <w:rsid w:val="00C3047B"/>
    <w:rsid w:val="00C30749"/>
    <w:rsid w:val="00C30AFB"/>
    <w:rsid w:val="00C3163F"/>
    <w:rsid w:val="00C35E4D"/>
    <w:rsid w:val="00C436F7"/>
    <w:rsid w:val="00C45692"/>
    <w:rsid w:val="00C46175"/>
    <w:rsid w:val="00C472E3"/>
    <w:rsid w:val="00C47E57"/>
    <w:rsid w:val="00C55B02"/>
    <w:rsid w:val="00C56142"/>
    <w:rsid w:val="00C56B3A"/>
    <w:rsid w:val="00C56EFE"/>
    <w:rsid w:val="00C57F00"/>
    <w:rsid w:val="00C60C0B"/>
    <w:rsid w:val="00C66382"/>
    <w:rsid w:val="00C67F09"/>
    <w:rsid w:val="00C72788"/>
    <w:rsid w:val="00C75F9C"/>
    <w:rsid w:val="00C76A5E"/>
    <w:rsid w:val="00C770FD"/>
    <w:rsid w:val="00C865D9"/>
    <w:rsid w:val="00C87110"/>
    <w:rsid w:val="00C90813"/>
    <w:rsid w:val="00C90C2B"/>
    <w:rsid w:val="00C9582B"/>
    <w:rsid w:val="00C97168"/>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3EAA"/>
    <w:rsid w:val="00CD4A8B"/>
    <w:rsid w:val="00CD4C1B"/>
    <w:rsid w:val="00CE1548"/>
    <w:rsid w:val="00CE3799"/>
    <w:rsid w:val="00CE4AA9"/>
    <w:rsid w:val="00CE5477"/>
    <w:rsid w:val="00CE7ADD"/>
    <w:rsid w:val="00CF5E7B"/>
    <w:rsid w:val="00CF75F7"/>
    <w:rsid w:val="00CF7A75"/>
    <w:rsid w:val="00D00362"/>
    <w:rsid w:val="00D003AF"/>
    <w:rsid w:val="00D01153"/>
    <w:rsid w:val="00D02293"/>
    <w:rsid w:val="00D026B6"/>
    <w:rsid w:val="00D03953"/>
    <w:rsid w:val="00D03CE8"/>
    <w:rsid w:val="00D03F61"/>
    <w:rsid w:val="00D047D6"/>
    <w:rsid w:val="00D047EE"/>
    <w:rsid w:val="00D11FE5"/>
    <w:rsid w:val="00D12150"/>
    <w:rsid w:val="00D12CFB"/>
    <w:rsid w:val="00D1326C"/>
    <w:rsid w:val="00D1431B"/>
    <w:rsid w:val="00D14690"/>
    <w:rsid w:val="00D15BBA"/>
    <w:rsid w:val="00D16823"/>
    <w:rsid w:val="00D16F48"/>
    <w:rsid w:val="00D17215"/>
    <w:rsid w:val="00D2090A"/>
    <w:rsid w:val="00D250AB"/>
    <w:rsid w:val="00D265B2"/>
    <w:rsid w:val="00D26BA6"/>
    <w:rsid w:val="00D27D4B"/>
    <w:rsid w:val="00D301BE"/>
    <w:rsid w:val="00D31D32"/>
    <w:rsid w:val="00D320C3"/>
    <w:rsid w:val="00D33B40"/>
    <w:rsid w:val="00D35146"/>
    <w:rsid w:val="00D3596F"/>
    <w:rsid w:val="00D36060"/>
    <w:rsid w:val="00D42F04"/>
    <w:rsid w:val="00D447E5"/>
    <w:rsid w:val="00D457D0"/>
    <w:rsid w:val="00D463A4"/>
    <w:rsid w:val="00D4699C"/>
    <w:rsid w:val="00D47877"/>
    <w:rsid w:val="00D513A1"/>
    <w:rsid w:val="00D57D07"/>
    <w:rsid w:val="00D618E7"/>
    <w:rsid w:val="00D619A2"/>
    <w:rsid w:val="00D6375A"/>
    <w:rsid w:val="00D64A77"/>
    <w:rsid w:val="00D66AB5"/>
    <w:rsid w:val="00D67265"/>
    <w:rsid w:val="00D676A0"/>
    <w:rsid w:val="00D70856"/>
    <w:rsid w:val="00D73117"/>
    <w:rsid w:val="00D73D86"/>
    <w:rsid w:val="00D810CA"/>
    <w:rsid w:val="00D8335C"/>
    <w:rsid w:val="00D9068D"/>
    <w:rsid w:val="00D916A2"/>
    <w:rsid w:val="00D92B16"/>
    <w:rsid w:val="00D93862"/>
    <w:rsid w:val="00D93CC2"/>
    <w:rsid w:val="00D9629E"/>
    <w:rsid w:val="00D97633"/>
    <w:rsid w:val="00DA2106"/>
    <w:rsid w:val="00DA23EB"/>
    <w:rsid w:val="00DA4ECD"/>
    <w:rsid w:val="00DB02EF"/>
    <w:rsid w:val="00DB0A56"/>
    <w:rsid w:val="00DB1007"/>
    <w:rsid w:val="00DB1699"/>
    <w:rsid w:val="00DB3DC8"/>
    <w:rsid w:val="00DB5115"/>
    <w:rsid w:val="00DB5177"/>
    <w:rsid w:val="00DB5C75"/>
    <w:rsid w:val="00DB66E6"/>
    <w:rsid w:val="00DC23FE"/>
    <w:rsid w:val="00DC26D8"/>
    <w:rsid w:val="00DC27F9"/>
    <w:rsid w:val="00DC38B9"/>
    <w:rsid w:val="00DC5B37"/>
    <w:rsid w:val="00DC5DDD"/>
    <w:rsid w:val="00DD309E"/>
    <w:rsid w:val="00DD7C73"/>
    <w:rsid w:val="00DE01B6"/>
    <w:rsid w:val="00DE1304"/>
    <w:rsid w:val="00DE1DD3"/>
    <w:rsid w:val="00DE1FBD"/>
    <w:rsid w:val="00DE4677"/>
    <w:rsid w:val="00DE64ED"/>
    <w:rsid w:val="00DF064D"/>
    <w:rsid w:val="00DF0CBF"/>
    <w:rsid w:val="00DF5407"/>
    <w:rsid w:val="00E00127"/>
    <w:rsid w:val="00E003D9"/>
    <w:rsid w:val="00E00C20"/>
    <w:rsid w:val="00E028F6"/>
    <w:rsid w:val="00E036CD"/>
    <w:rsid w:val="00E0543E"/>
    <w:rsid w:val="00E0753F"/>
    <w:rsid w:val="00E10BF1"/>
    <w:rsid w:val="00E11B5C"/>
    <w:rsid w:val="00E13E2B"/>
    <w:rsid w:val="00E22DB7"/>
    <w:rsid w:val="00E23C1B"/>
    <w:rsid w:val="00E24D2B"/>
    <w:rsid w:val="00E25DDC"/>
    <w:rsid w:val="00E345BF"/>
    <w:rsid w:val="00E3463F"/>
    <w:rsid w:val="00E34D59"/>
    <w:rsid w:val="00E35C78"/>
    <w:rsid w:val="00E405EA"/>
    <w:rsid w:val="00E40877"/>
    <w:rsid w:val="00E474F9"/>
    <w:rsid w:val="00E51F8B"/>
    <w:rsid w:val="00E51FCF"/>
    <w:rsid w:val="00E529D4"/>
    <w:rsid w:val="00E53839"/>
    <w:rsid w:val="00E53C18"/>
    <w:rsid w:val="00E53F41"/>
    <w:rsid w:val="00E54488"/>
    <w:rsid w:val="00E5638A"/>
    <w:rsid w:val="00E56D2F"/>
    <w:rsid w:val="00E635B9"/>
    <w:rsid w:val="00E6363C"/>
    <w:rsid w:val="00E66700"/>
    <w:rsid w:val="00E66AD7"/>
    <w:rsid w:val="00E67B0A"/>
    <w:rsid w:val="00E71BAD"/>
    <w:rsid w:val="00E733FF"/>
    <w:rsid w:val="00E74106"/>
    <w:rsid w:val="00E74864"/>
    <w:rsid w:val="00E754E8"/>
    <w:rsid w:val="00E75EF4"/>
    <w:rsid w:val="00E82FD8"/>
    <w:rsid w:val="00E834E7"/>
    <w:rsid w:val="00E83ABA"/>
    <w:rsid w:val="00E83E70"/>
    <w:rsid w:val="00E86286"/>
    <w:rsid w:val="00E878FF"/>
    <w:rsid w:val="00E91E16"/>
    <w:rsid w:val="00E952EF"/>
    <w:rsid w:val="00E96437"/>
    <w:rsid w:val="00E968A0"/>
    <w:rsid w:val="00E97145"/>
    <w:rsid w:val="00EA4196"/>
    <w:rsid w:val="00EB081A"/>
    <w:rsid w:val="00EB0BAE"/>
    <w:rsid w:val="00EB0F20"/>
    <w:rsid w:val="00EB1632"/>
    <w:rsid w:val="00EB377B"/>
    <w:rsid w:val="00EB4086"/>
    <w:rsid w:val="00EB4EB6"/>
    <w:rsid w:val="00EB535D"/>
    <w:rsid w:val="00EB5CD2"/>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5F6D"/>
    <w:rsid w:val="00EF0701"/>
    <w:rsid w:val="00EF11F2"/>
    <w:rsid w:val="00EF236F"/>
    <w:rsid w:val="00EF3067"/>
    <w:rsid w:val="00F03AFB"/>
    <w:rsid w:val="00F03CB2"/>
    <w:rsid w:val="00F13DC7"/>
    <w:rsid w:val="00F14729"/>
    <w:rsid w:val="00F14ED7"/>
    <w:rsid w:val="00F150D6"/>
    <w:rsid w:val="00F1522D"/>
    <w:rsid w:val="00F17670"/>
    <w:rsid w:val="00F17A90"/>
    <w:rsid w:val="00F2031D"/>
    <w:rsid w:val="00F2622B"/>
    <w:rsid w:val="00F262B7"/>
    <w:rsid w:val="00F26369"/>
    <w:rsid w:val="00F31671"/>
    <w:rsid w:val="00F3240D"/>
    <w:rsid w:val="00F328DE"/>
    <w:rsid w:val="00F3330B"/>
    <w:rsid w:val="00F357CB"/>
    <w:rsid w:val="00F35CA0"/>
    <w:rsid w:val="00F36A57"/>
    <w:rsid w:val="00F4019F"/>
    <w:rsid w:val="00F405BB"/>
    <w:rsid w:val="00F4328A"/>
    <w:rsid w:val="00F44706"/>
    <w:rsid w:val="00F44A91"/>
    <w:rsid w:val="00F45420"/>
    <w:rsid w:val="00F45D81"/>
    <w:rsid w:val="00F51EF7"/>
    <w:rsid w:val="00F5253C"/>
    <w:rsid w:val="00F52A72"/>
    <w:rsid w:val="00F52EDF"/>
    <w:rsid w:val="00F54C59"/>
    <w:rsid w:val="00F6067A"/>
    <w:rsid w:val="00F609CB"/>
    <w:rsid w:val="00F60FB9"/>
    <w:rsid w:val="00F64004"/>
    <w:rsid w:val="00F642D3"/>
    <w:rsid w:val="00F64DDA"/>
    <w:rsid w:val="00F65F73"/>
    <w:rsid w:val="00F6631A"/>
    <w:rsid w:val="00F66E3F"/>
    <w:rsid w:val="00F70436"/>
    <w:rsid w:val="00F713DB"/>
    <w:rsid w:val="00F730A9"/>
    <w:rsid w:val="00F735FC"/>
    <w:rsid w:val="00F738D2"/>
    <w:rsid w:val="00F73A7C"/>
    <w:rsid w:val="00F75136"/>
    <w:rsid w:val="00F75F3B"/>
    <w:rsid w:val="00F77CB4"/>
    <w:rsid w:val="00F83763"/>
    <w:rsid w:val="00F83C6C"/>
    <w:rsid w:val="00F84EA3"/>
    <w:rsid w:val="00F85513"/>
    <w:rsid w:val="00F86D76"/>
    <w:rsid w:val="00F877CE"/>
    <w:rsid w:val="00F90614"/>
    <w:rsid w:val="00F90A2F"/>
    <w:rsid w:val="00F91BD0"/>
    <w:rsid w:val="00F9239B"/>
    <w:rsid w:val="00F92DC6"/>
    <w:rsid w:val="00F92E85"/>
    <w:rsid w:val="00F9336C"/>
    <w:rsid w:val="00F93BDC"/>
    <w:rsid w:val="00F95080"/>
    <w:rsid w:val="00F9544F"/>
    <w:rsid w:val="00F9741A"/>
    <w:rsid w:val="00FA2589"/>
    <w:rsid w:val="00FA34DF"/>
    <w:rsid w:val="00FA3F4D"/>
    <w:rsid w:val="00FA3FBD"/>
    <w:rsid w:val="00FA62B4"/>
    <w:rsid w:val="00FA70CF"/>
    <w:rsid w:val="00FA71DD"/>
    <w:rsid w:val="00FB0E68"/>
    <w:rsid w:val="00FB3AA4"/>
    <w:rsid w:val="00FB3C35"/>
    <w:rsid w:val="00FB4627"/>
    <w:rsid w:val="00FC0F57"/>
    <w:rsid w:val="00FC1BC9"/>
    <w:rsid w:val="00FC4133"/>
    <w:rsid w:val="00FC41DA"/>
    <w:rsid w:val="00FC5C65"/>
    <w:rsid w:val="00FC75B8"/>
    <w:rsid w:val="00FC75D3"/>
    <w:rsid w:val="00FD318F"/>
    <w:rsid w:val="00FD54BE"/>
    <w:rsid w:val="00FD7CD4"/>
    <w:rsid w:val="00FE2498"/>
    <w:rsid w:val="00FE3548"/>
    <w:rsid w:val="00FE3F2D"/>
    <w:rsid w:val="00FE6556"/>
    <w:rsid w:val="00FF09A4"/>
    <w:rsid w:val="00FF204B"/>
    <w:rsid w:val="00FF2151"/>
    <w:rsid w:val="00FF2899"/>
    <w:rsid w:val="00FF28A0"/>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semiHidden="0" w:uiPriority="0" w:unhideWhenUsed="0"/>
    <w:lsdException w:name="footer" w:semiHidden="0" w:uiPriority="0" w:unhideWhenUsed="0" w:qFormat="1"/>
    <w:lsdException w:name="caption" w:uiPriority="35" w:qFormat="1"/>
    <w:lsdException w:name="footnote reference" w:uiPriority="0"/>
    <w:lsdException w:name="annotation reference" w:uiPriority="0"/>
    <w:lsdException w:name="line number" w:semiHidden="0" w:unhideWhenUsed="0" w:qFormat="1"/>
    <w:lsdException w:name="page number" w:uiPriority="0"/>
    <w:lsdException w:name="endnote reference" w:semiHidden="0" w:uiPriority="0" w:unhideWhenUsed="0"/>
    <w:lsdException w:name="endnote text" w:uiPriority="0"/>
    <w:lsdException w:name="Title" w:uiPriority="10" w:unhideWhenUsed="0"/>
    <w:lsdException w:name="Default Paragraph Font" w:uiPriority="1"/>
    <w:lsdException w:name="Subtitle" w:uiPriority="11" w:unhideWhenUsed="0"/>
    <w:lsdException w:name="Hyperlink" w:uiPriority="0"/>
    <w:lsdException w:name="FollowedHyperlink" w:uiPriority="0"/>
    <w:lsdException w:name="Strong" w:semiHidden="0" w:uiPriority="22" w:unhideWhenUsed="0"/>
    <w:lsdException w:name="Emphasis"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D03CE8"/>
    <w:pPr>
      <w:spacing w:line="240" w:lineRule="exact"/>
    </w:pPr>
    <w:rPr>
      <w:rFonts w:ascii="Times New Roman" w:hAnsi="Times New Roman"/>
      <w:spacing w:val="4"/>
      <w:w w:val="103"/>
      <w:kern w:val="14"/>
      <w:szCs w:val="22"/>
      <w:lang w:val="fr-CA"/>
    </w:rPr>
  </w:style>
  <w:style w:type="paragraph" w:styleId="Heading1">
    <w:name w:val="heading 1"/>
    <w:aliases w:val="Table_G"/>
    <w:basedOn w:val="Normal"/>
    <w:next w:val="Normal"/>
    <w:link w:val="Heading1Char"/>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nhideWhenUsed/>
    <w:qFormat/>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nhideWhenUsed/>
    <w:qFormat/>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45376"/>
    <w:rPr>
      <w:rFonts w:ascii="Arial" w:eastAsia="Times New Roman" w:hAnsi="Arial"/>
      <w:b/>
      <w:bCs/>
      <w:i/>
      <w:color w:val="4F81BD"/>
      <w:spacing w:val="4"/>
      <w:w w:val="103"/>
      <w:kern w:val="14"/>
      <w:sz w:val="28"/>
      <w:szCs w:val="26"/>
      <w:lang w:val="fr-CA"/>
    </w:rPr>
  </w:style>
  <w:style w:type="character" w:customStyle="1" w:styleId="Heading3Char">
    <w:name w:val="Heading 3 Char"/>
    <w:link w:val="Heading3"/>
    <w:rsid w:val="00745376"/>
    <w:rPr>
      <w:rFonts w:ascii="Arial" w:eastAsia="Times New Roman" w:hAnsi="Arial"/>
      <w:b/>
      <w:bCs/>
      <w:color w:val="4F81BD"/>
      <w:spacing w:val="4"/>
      <w:w w:val="103"/>
      <w:kern w:val="14"/>
      <w:sz w:val="26"/>
      <w:szCs w:val="22"/>
      <w:lang w:val="fr-CA"/>
    </w:rPr>
  </w:style>
  <w:style w:type="character" w:customStyle="1" w:styleId="Heading4Char">
    <w:name w:val="Heading 4 Char"/>
    <w:link w:val="Heading4"/>
    <w:rsid w:val="000055FB"/>
    <w:rPr>
      <w:rFonts w:ascii="Cambria" w:eastAsia="Times New Roman" w:hAnsi="Cambria"/>
      <w:b/>
      <w:bCs/>
      <w:i/>
      <w:iCs/>
      <w:color w:val="4F81BD"/>
      <w:spacing w:val="4"/>
      <w:w w:val="103"/>
      <w:kern w:val="14"/>
      <w:szCs w:val="22"/>
      <w:lang w:val="fr-CA"/>
    </w:rPr>
  </w:style>
  <w:style w:type="character" w:customStyle="1" w:styleId="Heading5Char">
    <w:name w:val="Heading 5 Char"/>
    <w:link w:val="Heading5"/>
    <w:rsid w:val="000055FB"/>
    <w:rPr>
      <w:rFonts w:ascii="Cambria" w:eastAsia="Times New Roman" w:hAnsi="Cambria"/>
      <w:color w:val="243F60"/>
      <w:spacing w:val="4"/>
      <w:w w:val="103"/>
      <w:kern w:val="14"/>
      <w:szCs w:val="22"/>
      <w:lang w:val="fr-CA"/>
    </w:rPr>
  </w:style>
  <w:style w:type="character" w:customStyle="1" w:styleId="Heading6Char">
    <w:name w:val="Heading 6 Char"/>
    <w:link w:val="Heading6"/>
    <w:rsid w:val="000055FB"/>
    <w:rPr>
      <w:rFonts w:ascii="Cambria" w:eastAsia="Times New Roman" w:hAnsi="Cambria"/>
      <w:i/>
      <w:iCs/>
      <w:color w:val="243F60"/>
      <w:spacing w:val="4"/>
      <w:w w:val="103"/>
      <w:kern w:val="14"/>
      <w:szCs w:val="22"/>
      <w:lang w:val="fr-CA"/>
    </w:rPr>
  </w:style>
  <w:style w:type="character" w:styleId="Strong">
    <w:name w:val="Strong"/>
    <w:uiPriority w:val="22"/>
    <w:rsid w:val="000055FB"/>
    <w:rPr>
      <w:b/>
      <w:bCs/>
    </w:rPr>
  </w:style>
  <w:style w:type="paragraph" w:customStyle="1" w:styleId="H1">
    <w:name w:val="_ H_1"/>
    <w:basedOn w:val="Normal"/>
    <w:next w:val="Normal"/>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aliases w:val="Table_G Char"/>
    <w:link w:val="Heading1"/>
    <w:rsid w:val="00745376"/>
    <w:rPr>
      <w:rFonts w:ascii="Arial" w:eastAsia="Times New Roman" w:hAnsi="Arial"/>
      <w:b/>
      <w:bCs/>
      <w:color w:val="365F91"/>
      <w:spacing w:val="4"/>
      <w:w w:val="103"/>
      <w:kern w:val="32"/>
      <w:sz w:val="32"/>
      <w:szCs w:val="28"/>
      <w:lang w:val="fr-CA"/>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aliases w:val="3_G"/>
    <w:link w:val="FooterChar"/>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aliases w:val="3_G Char"/>
    <w:link w:val="Footer"/>
    <w:rsid w:val="00745376"/>
    <w:rPr>
      <w:rFonts w:ascii="Times New Roman" w:hAnsi="Times New Roman"/>
      <w:b/>
      <w:spacing w:val="3"/>
      <w:w w:val="105"/>
      <w:sz w:val="17"/>
    </w:rPr>
  </w:style>
  <w:style w:type="paragraph" w:styleId="Header">
    <w:name w:val="header"/>
    <w:aliases w:val="6_G"/>
    <w:link w:val="HeaderChar"/>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aliases w:val="6_G Char"/>
    <w:link w:val="Header"/>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nhideWhenUsed/>
    <w:rsid w:val="00520271"/>
    <w:pPr>
      <w:spacing w:line="240" w:lineRule="auto"/>
    </w:pPr>
    <w:rPr>
      <w:rFonts w:ascii="Tahoma" w:hAnsi="Tahoma" w:cs="Tahoma"/>
      <w:sz w:val="16"/>
      <w:szCs w:val="16"/>
    </w:rPr>
  </w:style>
  <w:style w:type="character" w:customStyle="1" w:styleId="BalloonTextChar">
    <w:name w:val="Balloon Text Char"/>
    <w:link w:val="BalloonText"/>
    <w:rsid w:val="00520271"/>
    <w:rPr>
      <w:rFonts w:ascii="Tahoma" w:hAnsi="Tahoma" w:cs="Tahoma"/>
      <w:spacing w:val="4"/>
      <w:w w:val="103"/>
      <w:kern w:val="14"/>
      <w:sz w:val="16"/>
      <w:szCs w:val="16"/>
    </w:rPr>
  </w:style>
  <w:style w:type="paragraph" w:styleId="FootnoteText">
    <w:name w:val="footnote text"/>
    <w:aliases w:val="5_G"/>
    <w:basedOn w:val="Normal"/>
    <w:link w:val="FootnoteTextChar"/>
    <w:rsid w:val="00611DA0"/>
    <w:pPr>
      <w:spacing w:line="210" w:lineRule="exact"/>
    </w:pPr>
    <w:rPr>
      <w:sz w:val="17"/>
      <w:szCs w:val="20"/>
    </w:rPr>
  </w:style>
  <w:style w:type="character" w:customStyle="1" w:styleId="FootnoteTextChar">
    <w:name w:val="Footnote Text Char"/>
    <w:aliases w:val="5_G Char"/>
    <w:link w:val="FootnoteText"/>
    <w:rsid w:val="00611DA0"/>
    <w:rPr>
      <w:rFonts w:ascii="Times New Roman" w:hAnsi="Times New Roman"/>
      <w:spacing w:val="4"/>
      <w:w w:val="103"/>
      <w:kern w:val="14"/>
      <w:sz w:val="17"/>
    </w:rPr>
  </w:style>
  <w:style w:type="character" w:customStyle="1" w:styleId="Heading7Char">
    <w:name w:val="Heading 7 Char"/>
    <w:link w:val="Heading7"/>
    <w:rsid w:val="005B74B8"/>
    <w:rPr>
      <w:rFonts w:ascii="Cambria" w:eastAsia="Times New Roman" w:hAnsi="Cambria"/>
      <w:i/>
      <w:iCs/>
      <w:color w:val="404040"/>
      <w:spacing w:val="4"/>
      <w:w w:val="103"/>
      <w:kern w:val="14"/>
      <w:szCs w:val="22"/>
      <w:lang w:val="fr-CA"/>
    </w:rPr>
  </w:style>
  <w:style w:type="character" w:customStyle="1" w:styleId="Heading8Char">
    <w:name w:val="Heading 8 Char"/>
    <w:link w:val="Heading8"/>
    <w:rsid w:val="005B74B8"/>
    <w:rPr>
      <w:rFonts w:ascii="Cambria" w:eastAsia="Times New Roman" w:hAnsi="Cambria"/>
      <w:color w:val="404040"/>
      <w:spacing w:val="4"/>
      <w:w w:val="103"/>
      <w:kern w:val="14"/>
      <w:lang w:val="fr-CA"/>
    </w:rPr>
  </w:style>
  <w:style w:type="character" w:customStyle="1" w:styleId="Heading9Char">
    <w:name w:val="Heading 9 Char"/>
    <w:link w:val="Heading9"/>
    <w:rsid w:val="005B74B8"/>
    <w:rPr>
      <w:rFonts w:ascii="Cambria" w:eastAsia="Times New Roman" w:hAnsi="Cambria"/>
      <w:i/>
      <w:iCs/>
      <w:color w:val="404040"/>
      <w:spacing w:val="4"/>
      <w:w w:val="103"/>
      <w:kern w:val="14"/>
      <w:lang w:val="fr-CA"/>
    </w:rPr>
  </w:style>
  <w:style w:type="paragraph" w:styleId="ListParagraph">
    <w:name w:val="List Paragraph"/>
    <w:basedOn w:val="Normal"/>
    <w:uiPriority w:val="34"/>
    <w:qFormat/>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TitleH1">
    <w:name w:val="Title_H1"/>
    <w:basedOn w:val="H1"/>
    <w:next w:val="SingleTxt"/>
    <w:qFormat/>
    <w:rsid w:val="003B7282"/>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TitleH2">
    <w:name w:val="Agenda_Title_H2"/>
    <w:basedOn w:val="TitleH1"/>
    <w:next w:val="Normal"/>
    <w:qFormat/>
    <w:rsid w:val="003B7282"/>
    <w:pPr>
      <w:keepNext/>
      <w:keepLines/>
      <w:spacing w:line="240" w:lineRule="exact"/>
      <w:ind w:left="0" w:right="0" w:firstLine="0"/>
      <w:outlineLvl w:val="1"/>
    </w:pPr>
    <w:rPr>
      <w:sz w:val="20"/>
    </w:rPr>
  </w:style>
  <w:style w:type="paragraph" w:customStyle="1" w:styleId="TitleHCH">
    <w:name w:val="Title_H_CH"/>
    <w:basedOn w:val="HCH"/>
    <w:next w:val="SingleTxt"/>
    <w:qFormat/>
    <w:rsid w:val="003B728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1836C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ItemNormal">
    <w:name w:val="Agenda_Item_Normal"/>
    <w:next w:val="Normal"/>
    <w:autoRedefine/>
    <w:qFormat/>
    <w:rsid w:val="003B7282"/>
    <w:pPr>
      <w:spacing w:line="240" w:lineRule="exact"/>
    </w:pPr>
    <w:rPr>
      <w:rFonts w:ascii="Times New Roman" w:hAnsi="Times New Roman"/>
      <w:spacing w:val="4"/>
      <w:w w:val="103"/>
      <w:kern w:val="14"/>
      <w:szCs w:val="22"/>
      <w:lang w:val="fr-CA"/>
    </w:rPr>
  </w:style>
  <w:style w:type="paragraph" w:styleId="EndnoteText">
    <w:name w:val="endnote text"/>
    <w:aliases w:val="2_G"/>
    <w:basedOn w:val="Normal"/>
    <w:link w:val="EndnoteTextChar"/>
    <w:unhideWhenUsed/>
    <w:rsid w:val="00F3330B"/>
    <w:pPr>
      <w:spacing w:line="210" w:lineRule="exact"/>
    </w:pPr>
    <w:rPr>
      <w:sz w:val="17"/>
      <w:szCs w:val="20"/>
    </w:rPr>
  </w:style>
  <w:style w:type="character" w:customStyle="1" w:styleId="EndnoteTextChar">
    <w:name w:val="Endnote Text Char"/>
    <w:aliases w:val="2_G Char"/>
    <w:link w:val="EndnoteText"/>
    <w:rsid w:val="00F3330B"/>
    <w:rPr>
      <w:rFonts w:ascii="Times New Roman" w:hAnsi="Times New Roman"/>
      <w:spacing w:val="4"/>
      <w:w w:val="103"/>
      <w:kern w:val="14"/>
      <w:sz w:val="17"/>
    </w:rPr>
  </w:style>
  <w:style w:type="character" w:styleId="FootnoteReference">
    <w:name w:val="footnote reference"/>
    <w:aliases w:val="4_G,Footnote Reference/"/>
    <w:rsid w:val="00DD7C73"/>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2"/>
      </w:numPr>
      <w:spacing w:after="120"/>
      <w:ind w:right="1267"/>
      <w:jc w:val="both"/>
    </w:pPr>
  </w:style>
  <w:style w:type="paragraph" w:customStyle="1" w:styleId="Bullet2">
    <w:name w:val="Bullet 2"/>
    <w:basedOn w:val="Normal"/>
    <w:qFormat/>
    <w:rsid w:val="00E00C20"/>
    <w:pPr>
      <w:numPr>
        <w:numId w:val="3"/>
      </w:numPr>
      <w:spacing w:after="120"/>
      <w:ind w:left="2217" w:right="1264" w:hanging="130"/>
      <w:jc w:val="both"/>
    </w:pPr>
  </w:style>
  <w:style w:type="character" w:styleId="EndnoteReference">
    <w:name w:val="endnote reference"/>
    <w:aliases w:val="1_G"/>
    <w:basedOn w:val="DefaultParagraphFont"/>
    <w:rsid w:val="00B82E95"/>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4"/>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nhideWhenUsed/>
    <w:rsid w:val="00371D21"/>
    <w:rPr>
      <w:sz w:val="16"/>
      <w:szCs w:val="16"/>
    </w:rPr>
  </w:style>
  <w:style w:type="paragraph" w:styleId="CommentText">
    <w:name w:val="annotation text"/>
    <w:basedOn w:val="Normal"/>
    <w:link w:val="CommentTextChar"/>
    <w:unhideWhenUsed/>
    <w:rsid w:val="00371D21"/>
    <w:pPr>
      <w:spacing w:line="240" w:lineRule="auto"/>
    </w:pPr>
    <w:rPr>
      <w:szCs w:val="20"/>
    </w:rPr>
  </w:style>
  <w:style w:type="character" w:customStyle="1" w:styleId="CommentTextChar">
    <w:name w:val="Comment Text Char"/>
    <w:basedOn w:val="DefaultParagraphFont"/>
    <w:link w:val="CommentText"/>
    <w:rsid w:val="00371D21"/>
    <w:rPr>
      <w:rFonts w:ascii="Times New Roman" w:hAnsi="Times New Roman"/>
      <w:spacing w:val="4"/>
      <w:w w:val="103"/>
      <w:kern w:val="14"/>
      <w:lang w:val="fr-CA"/>
    </w:rPr>
  </w:style>
  <w:style w:type="paragraph" w:styleId="CommentSubject">
    <w:name w:val="annotation subject"/>
    <w:basedOn w:val="CommentText"/>
    <w:next w:val="CommentText"/>
    <w:link w:val="CommentSubjectChar"/>
    <w:unhideWhenUsed/>
    <w:rsid w:val="00371D21"/>
    <w:rPr>
      <w:b/>
      <w:bCs/>
    </w:rPr>
  </w:style>
  <w:style w:type="character" w:customStyle="1" w:styleId="CommentSubjectChar">
    <w:name w:val="Comment Subject Char"/>
    <w:basedOn w:val="CommentTextChar"/>
    <w:link w:val="CommentSubject"/>
    <w:rsid w:val="00371D21"/>
    <w:rPr>
      <w:rFonts w:ascii="Times New Roman" w:hAnsi="Times New Roman"/>
      <w:b/>
      <w:bCs/>
      <w:spacing w:val="4"/>
      <w:w w:val="103"/>
      <w:kern w:val="14"/>
      <w:lang w:val="fr-CA"/>
    </w:rPr>
  </w:style>
  <w:style w:type="character" w:styleId="PageNumber">
    <w:name w:val="page number"/>
    <w:aliases w:val="7_G"/>
    <w:rsid w:val="00B03D00"/>
    <w:rPr>
      <w:rFonts w:ascii="Times New Roman" w:hAnsi="Times New Roman"/>
      <w:b/>
      <w:sz w:val="18"/>
      <w:lang w:val="fr-CH"/>
    </w:rPr>
  </w:style>
  <w:style w:type="paragraph" w:customStyle="1" w:styleId="HMG">
    <w:name w:val="_ H __M_G"/>
    <w:basedOn w:val="Normal"/>
    <w:next w:val="Normal"/>
    <w:qFormat/>
    <w:rsid w:val="00B03D00"/>
    <w:pPr>
      <w:keepNext/>
      <w:keepLines/>
      <w:tabs>
        <w:tab w:val="right" w:pos="851"/>
      </w:tabs>
      <w:suppressAutoHyphens/>
      <w:kinsoku w:val="0"/>
      <w:overflowPunct w:val="0"/>
      <w:autoSpaceDE w:val="0"/>
      <w:autoSpaceDN w:val="0"/>
      <w:adjustRightInd w:val="0"/>
      <w:snapToGrid w:val="0"/>
      <w:spacing w:before="240" w:after="240" w:line="360" w:lineRule="exact"/>
      <w:ind w:left="1134" w:right="1134" w:hanging="1134"/>
    </w:pPr>
    <w:rPr>
      <w:rFonts w:eastAsia="Calibri"/>
      <w:b/>
      <w:spacing w:val="0"/>
      <w:w w:val="100"/>
      <w:kern w:val="0"/>
      <w:sz w:val="34"/>
      <w:szCs w:val="20"/>
      <w:lang w:val="fr-CH"/>
    </w:rPr>
  </w:style>
  <w:style w:type="paragraph" w:customStyle="1" w:styleId="HChG">
    <w:name w:val="_ H _Ch_G"/>
    <w:basedOn w:val="Normal"/>
    <w:next w:val="Normal"/>
    <w:link w:val="HChGChar"/>
    <w:qFormat/>
    <w:rsid w:val="00B03D00"/>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pPr>
    <w:rPr>
      <w:rFonts w:eastAsia="Calibri"/>
      <w:b/>
      <w:spacing w:val="0"/>
      <w:w w:val="100"/>
      <w:kern w:val="0"/>
      <w:sz w:val="28"/>
      <w:szCs w:val="20"/>
      <w:lang w:val="fr-CH"/>
    </w:rPr>
  </w:style>
  <w:style w:type="paragraph" w:customStyle="1" w:styleId="H1G">
    <w:name w:val="_ H_1_G"/>
    <w:basedOn w:val="Normal"/>
    <w:next w:val="Normal"/>
    <w:link w:val="H1GChar"/>
    <w:qFormat/>
    <w:rsid w:val="00B03D00"/>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pPr>
    <w:rPr>
      <w:rFonts w:eastAsia="Calibri"/>
      <w:b/>
      <w:spacing w:val="0"/>
      <w:w w:val="100"/>
      <w:kern w:val="0"/>
      <w:sz w:val="24"/>
      <w:szCs w:val="20"/>
      <w:lang w:val="fr-CH"/>
    </w:rPr>
  </w:style>
  <w:style w:type="paragraph" w:customStyle="1" w:styleId="H23G">
    <w:name w:val="_ H_2/3_G"/>
    <w:basedOn w:val="Normal"/>
    <w:next w:val="Normal"/>
    <w:link w:val="H23GChar"/>
    <w:qFormat/>
    <w:rsid w:val="00B03D00"/>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b/>
      <w:spacing w:val="0"/>
      <w:w w:val="100"/>
      <w:kern w:val="0"/>
      <w:sz w:val="24"/>
      <w:szCs w:val="20"/>
      <w:lang w:val="fr-CH"/>
    </w:rPr>
  </w:style>
  <w:style w:type="paragraph" w:customStyle="1" w:styleId="H4G">
    <w:name w:val="_ H_4_G"/>
    <w:basedOn w:val="Normal"/>
    <w:next w:val="Normal"/>
    <w:qFormat/>
    <w:rsid w:val="00B03D00"/>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i/>
      <w:spacing w:val="0"/>
      <w:w w:val="100"/>
      <w:kern w:val="0"/>
      <w:sz w:val="24"/>
      <w:szCs w:val="20"/>
      <w:lang w:val="fr-CH"/>
    </w:rPr>
  </w:style>
  <w:style w:type="paragraph" w:customStyle="1" w:styleId="H56G">
    <w:name w:val="_ H_5/6_G"/>
    <w:basedOn w:val="Normal"/>
    <w:next w:val="Normal"/>
    <w:rsid w:val="00B03D00"/>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spacing w:val="0"/>
      <w:w w:val="100"/>
      <w:kern w:val="0"/>
      <w:sz w:val="24"/>
      <w:szCs w:val="20"/>
      <w:lang w:val="fr-CH"/>
    </w:rPr>
  </w:style>
  <w:style w:type="paragraph" w:customStyle="1" w:styleId="SingleTxtG">
    <w:name w:val="_ Single Txt_G"/>
    <w:basedOn w:val="Normal"/>
    <w:link w:val="SingleTxtGChar"/>
    <w:qFormat/>
    <w:rsid w:val="00B03D00"/>
    <w:pPr>
      <w:suppressAutoHyphens/>
      <w:kinsoku w:val="0"/>
      <w:overflowPunct w:val="0"/>
      <w:autoSpaceDE w:val="0"/>
      <w:autoSpaceDN w:val="0"/>
      <w:adjustRightInd w:val="0"/>
      <w:snapToGrid w:val="0"/>
      <w:spacing w:after="120" w:line="240" w:lineRule="atLeast"/>
      <w:ind w:left="1134" w:right="1134"/>
      <w:jc w:val="both"/>
    </w:pPr>
    <w:rPr>
      <w:rFonts w:eastAsia="Calibri"/>
      <w:spacing w:val="0"/>
      <w:w w:val="100"/>
      <w:kern w:val="0"/>
      <w:sz w:val="24"/>
      <w:szCs w:val="20"/>
      <w:lang w:val="fr-CH"/>
    </w:rPr>
  </w:style>
  <w:style w:type="paragraph" w:customStyle="1" w:styleId="SLG">
    <w:name w:val="__S_L_G"/>
    <w:basedOn w:val="Normal"/>
    <w:next w:val="Normal"/>
    <w:rsid w:val="00B03D00"/>
    <w:pPr>
      <w:keepNext/>
      <w:keepLines/>
      <w:suppressAutoHyphens/>
      <w:kinsoku w:val="0"/>
      <w:overflowPunct w:val="0"/>
      <w:autoSpaceDE w:val="0"/>
      <w:autoSpaceDN w:val="0"/>
      <w:adjustRightInd w:val="0"/>
      <w:snapToGrid w:val="0"/>
      <w:spacing w:before="240" w:after="240" w:line="580" w:lineRule="exact"/>
      <w:ind w:left="1134" w:right="1134"/>
    </w:pPr>
    <w:rPr>
      <w:rFonts w:eastAsia="Calibri"/>
      <w:b/>
      <w:spacing w:val="0"/>
      <w:w w:val="100"/>
      <w:kern w:val="0"/>
      <w:sz w:val="56"/>
      <w:szCs w:val="20"/>
      <w:lang w:val="fr-CH"/>
    </w:rPr>
  </w:style>
  <w:style w:type="paragraph" w:customStyle="1" w:styleId="SMG">
    <w:name w:val="__S_M_G"/>
    <w:basedOn w:val="Normal"/>
    <w:next w:val="Normal"/>
    <w:rsid w:val="00B03D00"/>
    <w:pPr>
      <w:keepNext/>
      <w:keepLines/>
      <w:suppressAutoHyphens/>
      <w:kinsoku w:val="0"/>
      <w:overflowPunct w:val="0"/>
      <w:autoSpaceDE w:val="0"/>
      <w:autoSpaceDN w:val="0"/>
      <w:adjustRightInd w:val="0"/>
      <w:snapToGrid w:val="0"/>
      <w:spacing w:before="240" w:after="240" w:line="420" w:lineRule="exact"/>
      <w:ind w:left="1134" w:right="1134"/>
    </w:pPr>
    <w:rPr>
      <w:rFonts w:eastAsia="Calibri"/>
      <w:b/>
      <w:spacing w:val="0"/>
      <w:w w:val="100"/>
      <w:kern w:val="0"/>
      <w:sz w:val="40"/>
      <w:szCs w:val="20"/>
      <w:lang w:val="fr-CH"/>
    </w:rPr>
  </w:style>
  <w:style w:type="paragraph" w:customStyle="1" w:styleId="SSG">
    <w:name w:val="__S_S_G"/>
    <w:basedOn w:val="Normal"/>
    <w:next w:val="Normal"/>
    <w:rsid w:val="00B03D00"/>
    <w:pPr>
      <w:keepNext/>
      <w:keepLines/>
      <w:suppressAutoHyphens/>
      <w:kinsoku w:val="0"/>
      <w:overflowPunct w:val="0"/>
      <w:autoSpaceDE w:val="0"/>
      <w:autoSpaceDN w:val="0"/>
      <w:adjustRightInd w:val="0"/>
      <w:snapToGrid w:val="0"/>
      <w:spacing w:before="240" w:after="240" w:line="300" w:lineRule="exact"/>
      <w:ind w:left="1134" w:right="1134"/>
    </w:pPr>
    <w:rPr>
      <w:rFonts w:eastAsia="Calibri"/>
      <w:b/>
      <w:spacing w:val="0"/>
      <w:w w:val="100"/>
      <w:kern w:val="0"/>
      <w:sz w:val="28"/>
      <w:szCs w:val="20"/>
      <w:lang w:val="fr-CH"/>
    </w:rPr>
  </w:style>
  <w:style w:type="paragraph" w:customStyle="1" w:styleId="XLargeG">
    <w:name w:val="__XLarge_G"/>
    <w:basedOn w:val="Normal"/>
    <w:next w:val="Normal"/>
    <w:rsid w:val="00B03D00"/>
    <w:pPr>
      <w:keepNext/>
      <w:keepLines/>
      <w:suppressAutoHyphens/>
      <w:kinsoku w:val="0"/>
      <w:overflowPunct w:val="0"/>
      <w:autoSpaceDE w:val="0"/>
      <w:autoSpaceDN w:val="0"/>
      <w:adjustRightInd w:val="0"/>
      <w:snapToGrid w:val="0"/>
      <w:spacing w:before="240" w:after="240" w:line="420" w:lineRule="exact"/>
      <w:ind w:left="1134" w:right="1134"/>
    </w:pPr>
    <w:rPr>
      <w:rFonts w:eastAsia="Calibri"/>
      <w:b/>
      <w:spacing w:val="0"/>
      <w:w w:val="100"/>
      <w:kern w:val="0"/>
      <w:sz w:val="40"/>
      <w:szCs w:val="20"/>
      <w:lang w:val="fr-CH"/>
    </w:rPr>
  </w:style>
  <w:style w:type="paragraph" w:customStyle="1" w:styleId="Bullet1G">
    <w:name w:val="_Bullet 1_G"/>
    <w:basedOn w:val="Normal"/>
    <w:qFormat/>
    <w:rsid w:val="00B03D00"/>
    <w:pPr>
      <w:numPr>
        <w:numId w:val="5"/>
      </w:numPr>
      <w:suppressAutoHyphens/>
      <w:kinsoku w:val="0"/>
      <w:overflowPunct w:val="0"/>
      <w:autoSpaceDE w:val="0"/>
      <w:autoSpaceDN w:val="0"/>
      <w:adjustRightInd w:val="0"/>
      <w:snapToGrid w:val="0"/>
      <w:spacing w:after="120" w:line="240" w:lineRule="atLeast"/>
      <w:ind w:right="1134"/>
      <w:jc w:val="both"/>
    </w:pPr>
    <w:rPr>
      <w:rFonts w:eastAsia="Calibri"/>
      <w:spacing w:val="0"/>
      <w:w w:val="100"/>
      <w:kern w:val="0"/>
      <w:sz w:val="24"/>
      <w:szCs w:val="20"/>
      <w:lang w:val="fr-CH"/>
    </w:rPr>
  </w:style>
  <w:style w:type="paragraph" w:customStyle="1" w:styleId="Bullet2G">
    <w:name w:val="_Bullet 2_G"/>
    <w:basedOn w:val="Normal"/>
    <w:qFormat/>
    <w:rsid w:val="00B03D00"/>
    <w:pPr>
      <w:numPr>
        <w:numId w:val="6"/>
      </w:numPr>
      <w:suppressAutoHyphens/>
      <w:kinsoku w:val="0"/>
      <w:overflowPunct w:val="0"/>
      <w:autoSpaceDE w:val="0"/>
      <w:autoSpaceDN w:val="0"/>
      <w:adjustRightInd w:val="0"/>
      <w:snapToGrid w:val="0"/>
      <w:spacing w:after="120" w:line="240" w:lineRule="atLeast"/>
      <w:ind w:right="1134"/>
      <w:jc w:val="both"/>
    </w:pPr>
    <w:rPr>
      <w:rFonts w:eastAsia="Calibri"/>
      <w:spacing w:val="0"/>
      <w:w w:val="100"/>
      <w:kern w:val="0"/>
      <w:sz w:val="24"/>
      <w:szCs w:val="20"/>
      <w:lang w:val="fr-CH"/>
    </w:rPr>
  </w:style>
  <w:style w:type="table" w:styleId="TableGrid">
    <w:name w:val="Table Grid"/>
    <w:basedOn w:val="TableNormal"/>
    <w:rsid w:val="00B03D00"/>
    <w:pPr>
      <w:suppressAutoHyphens/>
      <w:spacing w:line="240" w:lineRule="atLeast"/>
    </w:pPr>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B03D00"/>
    <w:rPr>
      <w:color w:val="auto"/>
      <w:u w:val="none"/>
    </w:rPr>
  </w:style>
  <w:style w:type="character" w:styleId="FollowedHyperlink">
    <w:name w:val="FollowedHyperlink"/>
    <w:semiHidden/>
    <w:rsid w:val="00B03D00"/>
    <w:rPr>
      <w:color w:val="auto"/>
      <w:u w:val="none"/>
    </w:rPr>
  </w:style>
  <w:style w:type="paragraph" w:customStyle="1" w:styleId="ParNoG">
    <w:name w:val="_ParNo_G"/>
    <w:basedOn w:val="SingleTxtG"/>
    <w:qFormat/>
    <w:rsid w:val="00B03D00"/>
    <w:pPr>
      <w:numPr>
        <w:numId w:val="7"/>
      </w:numPr>
    </w:pPr>
  </w:style>
  <w:style w:type="character" w:customStyle="1" w:styleId="preferred">
    <w:name w:val="preferred"/>
    <w:basedOn w:val="DefaultParagraphFont"/>
    <w:rsid w:val="00B03D00"/>
  </w:style>
  <w:style w:type="numbering" w:customStyle="1" w:styleId="Aucuneliste1">
    <w:name w:val="Aucune liste1"/>
    <w:next w:val="NoList"/>
    <w:uiPriority w:val="99"/>
    <w:semiHidden/>
    <w:unhideWhenUsed/>
    <w:rsid w:val="00B03D00"/>
  </w:style>
  <w:style w:type="table" w:customStyle="1" w:styleId="Grilledutableau1">
    <w:name w:val="Grille du tableau1"/>
    <w:basedOn w:val="TableNormal"/>
    <w:next w:val="TableGrid"/>
    <w:semiHidden/>
    <w:rsid w:val="00B03D00"/>
    <w:pPr>
      <w:suppressAutoHyphens/>
      <w:spacing w:line="240" w:lineRule="atLeast"/>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rsid w:val="00B03D00"/>
    <w:rPr>
      <w:rFonts w:ascii="Times New Roman" w:eastAsia="Calibri" w:hAnsi="Times New Roman"/>
      <w:sz w:val="24"/>
      <w:lang w:val="fr-CH"/>
    </w:rPr>
  </w:style>
  <w:style w:type="paragraph" w:styleId="Revision">
    <w:name w:val="Revision"/>
    <w:hidden/>
    <w:uiPriority w:val="99"/>
    <w:semiHidden/>
    <w:rsid w:val="00B03D00"/>
    <w:rPr>
      <w:rFonts w:ascii="Times New Roman" w:eastAsia="Times New Roman" w:hAnsi="Times New Roman"/>
      <w:lang w:val="en-GB"/>
    </w:rPr>
  </w:style>
  <w:style w:type="paragraph" w:customStyle="1" w:styleId="Default">
    <w:name w:val="Default"/>
    <w:rsid w:val="00B03D00"/>
    <w:pPr>
      <w:autoSpaceDE w:val="0"/>
      <w:autoSpaceDN w:val="0"/>
      <w:adjustRightInd w:val="0"/>
    </w:pPr>
    <w:rPr>
      <w:rFonts w:ascii="Times New Roman" w:eastAsia="Times New Roman" w:hAnsi="Times New Roman"/>
      <w:color w:val="000000"/>
      <w:sz w:val="24"/>
      <w:szCs w:val="24"/>
      <w:lang w:val="en-GB" w:eastAsia="en-GB"/>
    </w:rPr>
  </w:style>
  <w:style w:type="character" w:customStyle="1" w:styleId="H23GChar">
    <w:name w:val="_ H_2/3_G Char"/>
    <w:link w:val="H23G"/>
    <w:rsid w:val="00B03D00"/>
    <w:rPr>
      <w:rFonts w:ascii="Times New Roman" w:eastAsia="Calibri" w:hAnsi="Times New Roman"/>
      <w:b/>
      <w:sz w:val="24"/>
      <w:lang w:val="fr-CH"/>
    </w:rPr>
  </w:style>
  <w:style w:type="character" w:customStyle="1" w:styleId="H1GChar">
    <w:name w:val="_ H_1_G Char"/>
    <w:link w:val="H1G"/>
    <w:rsid w:val="00B03D00"/>
    <w:rPr>
      <w:rFonts w:ascii="Times New Roman" w:eastAsia="Calibri" w:hAnsi="Times New Roman"/>
      <w:b/>
      <w:sz w:val="24"/>
      <w:lang w:val="fr-CH"/>
    </w:rPr>
  </w:style>
  <w:style w:type="character" w:customStyle="1" w:styleId="HChGChar">
    <w:name w:val="_ H _Ch_G Char"/>
    <w:link w:val="HChG"/>
    <w:rsid w:val="00B03D00"/>
    <w:rPr>
      <w:rFonts w:ascii="Times New Roman" w:eastAsia="Calibri" w:hAnsi="Times New Roman"/>
      <w:b/>
      <w:sz w:val="28"/>
      <w:lang w:val="fr-CH"/>
    </w:rPr>
  </w:style>
  <w:style w:type="character" w:customStyle="1" w:styleId="algo-summary">
    <w:name w:val="algo-summary"/>
    <w:basedOn w:val="DefaultParagraphFont"/>
    <w:rsid w:val="00B03D00"/>
  </w:style>
  <w:style w:type="character" w:customStyle="1" w:styleId="en">
    <w:name w:val="en"/>
    <w:rsid w:val="00B03D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semiHidden="0" w:uiPriority="0" w:unhideWhenUsed="0"/>
    <w:lsdException w:name="footer" w:semiHidden="0" w:uiPriority="0" w:unhideWhenUsed="0" w:qFormat="1"/>
    <w:lsdException w:name="caption" w:uiPriority="35" w:qFormat="1"/>
    <w:lsdException w:name="footnote reference" w:uiPriority="0"/>
    <w:lsdException w:name="annotation reference" w:uiPriority="0"/>
    <w:lsdException w:name="line number" w:semiHidden="0" w:unhideWhenUsed="0" w:qFormat="1"/>
    <w:lsdException w:name="page number" w:uiPriority="0"/>
    <w:lsdException w:name="endnote reference" w:semiHidden="0" w:uiPriority="0" w:unhideWhenUsed="0"/>
    <w:lsdException w:name="endnote text" w:uiPriority="0"/>
    <w:lsdException w:name="Title" w:uiPriority="10" w:unhideWhenUsed="0"/>
    <w:lsdException w:name="Default Paragraph Font" w:uiPriority="1"/>
    <w:lsdException w:name="Subtitle" w:uiPriority="11" w:unhideWhenUsed="0"/>
    <w:lsdException w:name="Hyperlink" w:uiPriority="0"/>
    <w:lsdException w:name="FollowedHyperlink" w:uiPriority="0"/>
    <w:lsdException w:name="Strong" w:semiHidden="0" w:uiPriority="22" w:unhideWhenUsed="0"/>
    <w:lsdException w:name="Emphasis"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D03CE8"/>
    <w:pPr>
      <w:spacing w:line="240" w:lineRule="exact"/>
    </w:pPr>
    <w:rPr>
      <w:rFonts w:ascii="Times New Roman" w:hAnsi="Times New Roman"/>
      <w:spacing w:val="4"/>
      <w:w w:val="103"/>
      <w:kern w:val="14"/>
      <w:szCs w:val="22"/>
      <w:lang w:val="fr-CA"/>
    </w:rPr>
  </w:style>
  <w:style w:type="paragraph" w:styleId="Heading1">
    <w:name w:val="heading 1"/>
    <w:aliases w:val="Table_G"/>
    <w:basedOn w:val="Normal"/>
    <w:next w:val="Normal"/>
    <w:link w:val="Heading1Char"/>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nhideWhenUsed/>
    <w:qFormat/>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nhideWhenUsed/>
    <w:qFormat/>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45376"/>
    <w:rPr>
      <w:rFonts w:ascii="Arial" w:eastAsia="Times New Roman" w:hAnsi="Arial"/>
      <w:b/>
      <w:bCs/>
      <w:i/>
      <w:color w:val="4F81BD"/>
      <w:spacing w:val="4"/>
      <w:w w:val="103"/>
      <w:kern w:val="14"/>
      <w:sz w:val="28"/>
      <w:szCs w:val="26"/>
      <w:lang w:val="fr-CA"/>
    </w:rPr>
  </w:style>
  <w:style w:type="character" w:customStyle="1" w:styleId="Heading3Char">
    <w:name w:val="Heading 3 Char"/>
    <w:link w:val="Heading3"/>
    <w:rsid w:val="00745376"/>
    <w:rPr>
      <w:rFonts w:ascii="Arial" w:eastAsia="Times New Roman" w:hAnsi="Arial"/>
      <w:b/>
      <w:bCs/>
      <w:color w:val="4F81BD"/>
      <w:spacing w:val="4"/>
      <w:w w:val="103"/>
      <w:kern w:val="14"/>
      <w:sz w:val="26"/>
      <w:szCs w:val="22"/>
      <w:lang w:val="fr-CA"/>
    </w:rPr>
  </w:style>
  <w:style w:type="character" w:customStyle="1" w:styleId="Heading4Char">
    <w:name w:val="Heading 4 Char"/>
    <w:link w:val="Heading4"/>
    <w:rsid w:val="000055FB"/>
    <w:rPr>
      <w:rFonts w:ascii="Cambria" w:eastAsia="Times New Roman" w:hAnsi="Cambria"/>
      <w:b/>
      <w:bCs/>
      <w:i/>
      <w:iCs/>
      <w:color w:val="4F81BD"/>
      <w:spacing w:val="4"/>
      <w:w w:val="103"/>
      <w:kern w:val="14"/>
      <w:szCs w:val="22"/>
      <w:lang w:val="fr-CA"/>
    </w:rPr>
  </w:style>
  <w:style w:type="character" w:customStyle="1" w:styleId="Heading5Char">
    <w:name w:val="Heading 5 Char"/>
    <w:link w:val="Heading5"/>
    <w:rsid w:val="000055FB"/>
    <w:rPr>
      <w:rFonts w:ascii="Cambria" w:eastAsia="Times New Roman" w:hAnsi="Cambria"/>
      <w:color w:val="243F60"/>
      <w:spacing w:val="4"/>
      <w:w w:val="103"/>
      <w:kern w:val="14"/>
      <w:szCs w:val="22"/>
      <w:lang w:val="fr-CA"/>
    </w:rPr>
  </w:style>
  <w:style w:type="character" w:customStyle="1" w:styleId="Heading6Char">
    <w:name w:val="Heading 6 Char"/>
    <w:link w:val="Heading6"/>
    <w:rsid w:val="000055FB"/>
    <w:rPr>
      <w:rFonts w:ascii="Cambria" w:eastAsia="Times New Roman" w:hAnsi="Cambria"/>
      <w:i/>
      <w:iCs/>
      <w:color w:val="243F60"/>
      <w:spacing w:val="4"/>
      <w:w w:val="103"/>
      <w:kern w:val="14"/>
      <w:szCs w:val="22"/>
      <w:lang w:val="fr-CA"/>
    </w:rPr>
  </w:style>
  <w:style w:type="character" w:styleId="Strong">
    <w:name w:val="Strong"/>
    <w:uiPriority w:val="22"/>
    <w:rsid w:val="000055FB"/>
    <w:rPr>
      <w:b/>
      <w:bCs/>
    </w:rPr>
  </w:style>
  <w:style w:type="paragraph" w:customStyle="1" w:styleId="H1">
    <w:name w:val="_ H_1"/>
    <w:basedOn w:val="Normal"/>
    <w:next w:val="Normal"/>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aliases w:val="Table_G Char"/>
    <w:link w:val="Heading1"/>
    <w:rsid w:val="00745376"/>
    <w:rPr>
      <w:rFonts w:ascii="Arial" w:eastAsia="Times New Roman" w:hAnsi="Arial"/>
      <w:b/>
      <w:bCs/>
      <w:color w:val="365F91"/>
      <w:spacing w:val="4"/>
      <w:w w:val="103"/>
      <w:kern w:val="32"/>
      <w:sz w:val="32"/>
      <w:szCs w:val="28"/>
      <w:lang w:val="fr-CA"/>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aliases w:val="3_G"/>
    <w:link w:val="FooterChar"/>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aliases w:val="3_G Char"/>
    <w:link w:val="Footer"/>
    <w:rsid w:val="00745376"/>
    <w:rPr>
      <w:rFonts w:ascii="Times New Roman" w:hAnsi="Times New Roman"/>
      <w:b/>
      <w:spacing w:val="3"/>
      <w:w w:val="105"/>
      <w:sz w:val="17"/>
    </w:rPr>
  </w:style>
  <w:style w:type="paragraph" w:styleId="Header">
    <w:name w:val="header"/>
    <w:aliases w:val="6_G"/>
    <w:link w:val="HeaderChar"/>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aliases w:val="6_G Char"/>
    <w:link w:val="Header"/>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nhideWhenUsed/>
    <w:rsid w:val="00520271"/>
    <w:pPr>
      <w:spacing w:line="240" w:lineRule="auto"/>
    </w:pPr>
    <w:rPr>
      <w:rFonts w:ascii="Tahoma" w:hAnsi="Tahoma" w:cs="Tahoma"/>
      <w:sz w:val="16"/>
      <w:szCs w:val="16"/>
    </w:rPr>
  </w:style>
  <w:style w:type="character" w:customStyle="1" w:styleId="BalloonTextChar">
    <w:name w:val="Balloon Text Char"/>
    <w:link w:val="BalloonText"/>
    <w:rsid w:val="00520271"/>
    <w:rPr>
      <w:rFonts w:ascii="Tahoma" w:hAnsi="Tahoma" w:cs="Tahoma"/>
      <w:spacing w:val="4"/>
      <w:w w:val="103"/>
      <w:kern w:val="14"/>
      <w:sz w:val="16"/>
      <w:szCs w:val="16"/>
    </w:rPr>
  </w:style>
  <w:style w:type="paragraph" w:styleId="FootnoteText">
    <w:name w:val="footnote text"/>
    <w:aliases w:val="5_G"/>
    <w:basedOn w:val="Normal"/>
    <w:link w:val="FootnoteTextChar"/>
    <w:rsid w:val="00611DA0"/>
    <w:pPr>
      <w:spacing w:line="210" w:lineRule="exact"/>
    </w:pPr>
    <w:rPr>
      <w:sz w:val="17"/>
      <w:szCs w:val="20"/>
    </w:rPr>
  </w:style>
  <w:style w:type="character" w:customStyle="1" w:styleId="FootnoteTextChar">
    <w:name w:val="Footnote Text Char"/>
    <w:aliases w:val="5_G Char"/>
    <w:link w:val="FootnoteText"/>
    <w:rsid w:val="00611DA0"/>
    <w:rPr>
      <w:rFonts w:ascii="Times New Roman" w:hAnsi="Times New Roman"/>
      <w:spacing w:val="4"/>
      <w:w w:val="103"/>
      <w:kern w:val="14"/>
      <w:sz w:val="17"/>
    </w:rPr>
  </w:style>
  <w:style w:type="character" w:customStyle="1" w:styleId="Heading7Char">
    <w:name w:val="Heading 7 Char"/>
    <w:link w:val="Heading7"/>
    <w:rsid w:val="005B74B8"/>
    <w:rPr>
      <w:rFonts w:ascii="Cambria" w:eastAsia="Times New Roman" w:hAnsi="Cambria"/>
      <w:i/>
      <w:iCs/>
      <w:color w:val="404040"/>
      <w:spacing w:val="4"/>
      <w:w w:val="103"/>
      <w:kern w:val="14"/>
      <w:szCs w:val="22"/>
      <w:lang w:val="fr-CA"/>
    </w:rPr>
  </w:style>
  <w:style w:type="character" w:customStyle="1" w:styleId="Heading8Char">
    <w:name w:val="Heading 8 Char"/>
    <w:link w:val="Heading8"/>
    <w:rsid w:val="005B74B8"/>
    <w:rPr>
      <w:rFonts w:ascii="Cambria" w:eastAsia="Times New Roman" w:hAnsi="Cambria"/>
      <w:color w:val="404040"/>
      <w:spacing w:val="4"/>
      <w:w w:val="103"/>
      <w:kern w:val="14"/>
      <w:lang w:val="fr-CA"/>
    </w:rPr>
  </w:style>
  <w:style w:type="character" w:customStyle="1" w:styleId="Heading9Char">
    <w:name w:val="Heading 9 Char"/>
    <w:link w:val="Heading9"/>
    <w:rsid w:val="005B74B8"/>
    <w:rPr>
      <w:rFonts w:ascii="Cambria" w:eastAsia="Times New Roman" w:hAnsi="Cambria"/>
      <w:i/>
      <w:iCs/>
      <w:color w:val="404040"/>
      <w:spacing w:val="4"/>
      <w:w w:val="103"/>
      <w:kern w:val="14"/>
      <w:lang w:val="fr-CA"/>
    </w:rPr>
  </w:style>
  <w:style w:type="paragraph" w:styleId="ListParagraph">
    <w:name w:val="List Paragraph"/>
    <w:basedOn w:val="Normal"/>
    <w:uiPriority w:val="34"/>
    <w:qFormat/>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TitleH1">
    <w:name w:val="Title_H1"/>
    <w:basedOn w:val="H1"/>
    <w:next w:val="SingleTxt"/>
    <w:qFormat/>
    <w:rsid w:val="003B7282"/>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TitleH2">
    <w:name w:val="Agenda_Title_H2"/>
    <w:basedOn w:val="TitleH1"/>
    <w:next w:val="Normal"/>
    <w:qFormat/>
    <w:rsid w:val="003B7282"/>
    <w:pPr>
      <w:keepNext/>
      <w:keepLines/>
      <w:spacing w:line="240" w:lineRule="exact"/>
      <w:ind w:left="0" w:right="0" w:firstLine="0"/>
      <w:outlineLvl w:val="1"/>
    </w:pPr>
    <w:rPr>
      <w:sz w:val="20"/>
    </w:rPr>
  </w:style>
  <w:style w:type="paragraph" w:customStyle="1" w:styleId="TitleHCH">
    <w:name w:val="Title_H_CH"/>
    <w:basedOn w:val="HCH"/>
    <w:next w:val="SingleTxt"/>
    <w:qFormat/>
    <w:rsid w:val="003B728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1836C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ItemNormal">
    <w:name w:val="Agenda_Item_Normal"/>
    <w:next w:val="Normal"/>
    <w:autoRedefine/>
    <w:qFormat/>
    <w:rsid w:val="003B7282"/>
    <w:pPr>
      <w:spacing w:line="240" w:lineRule="exact"/>
    </w:pPr>
    <w:rPr>
      <w:rFonts w:ascii="Times New Roman" w:hAnsi="Times New Roman"/>
      <w:spacing w:val="4"/>
      <w:w w:val="103"/>
      <w:kern w:val="14"/>
      <w:szCs w:val="22"/>
      <w:lang w:val="fr-CA"/>
    </w:rPr>
  </w:style>
  <w:style w:type="paragraph" w:styleId="EndnoteText">
    <w:name w:val="endnote text"/>
    <w:aliases w:val="2_G"/>
    <w:basedOn w:val="Normal"/>
    <w:link w:val="EndnoteTextChar"/>
    <w:unhideWhenUsed/>
    <w:rsid w:val="00F3330B"/>
    <w:pPr>
      <w:spacing w:line="210" w:lineRule="exact"/>
    </w:pPr>
    <w:rPr>
      <w:sz w:val="17"/>
      <w:szCs w:val="20"/>
    </w:rPr>
  </w:style>
  <w:style w:type="character" w:customStyle="1" w:styleId="EndnoteTextChar">
    <w:name w:val="Endnote Text Char"/>
    <w:aliases w:val="2_G Char"/>
    <w:link w:val="EndnoteText"/>
    <w:rsid w:val="00F3330B"/>
    <w:rPr>
      <w:rFonts w:ascii="Times New Roman" w:hAnsi="Times New Roman"/>
      <w:spacing w:val="4"/>
      <w:w w:val="103"/>
      <w:kern w:val="14"/>
      <w:sz w:val="17"/>
    </w:rPr>
  </w:style>
  <w:style w:type="character" w:styleId="FootnoteReference">
    <w:name w:val="footnote reference"/>
    <w:aliases w:val="4_G,Footnote Reference/"/>
    <w:rsid w:val="00DD7C73"/>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2"/>
      </w:numPr>
      <w:spacing w:after="120"/>
      <w:ind w:right="1267"/>
      <w:jc w:val="both"/>
    </w:pPr>
  </w:style>
  <w:style w:type="paragraph" w:customStyle="1" w:styleId="Bullet2">
    <w:name w:val="Bullet 2"/>
    <w:basedOn w:val="Normal"/>
    <w:qFormat/>
    <w:rsid w:val="00E00C20"/>
    <w:pPr>
      <w:numPr>
        <w:numId w:val="3"/>
      </w:numPr>
      <w:spacing w:after="120"/>
      <w:ind w:left="2217" w:right="1264" w:hanging="130"/>
      <w:jc w:val="both"/>
    </w:pPr>
  </w:style>
  <w:style w:type="character" w:styleId="EndnoteReference">
    <w:name w:val="endnote reference"/>
    <w:aliases w:val="1_G"/>
    <w:basedOn w:val="DefaultParagraphFont"/>
    <w:rsid w:val="00B82E95"/>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4"/>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nhideWhenUsed/>
    <w:rsid w:val="00371D21"/>
    <w:rPr>
      <w:sz w:val="16"/>
      <w:szCs w:val="16"/>
    </w:rPr>
  </w:style>
  <w:style w:type="paragraph" w:styleId="CommentText">
    <w:name w:val="annotation text"/>
    <w:basedOn w:val="Normal"/>
    <w:link w:val="CommentTextChar"/>
    <w:unhideWhenUsed/>
    <w:rsid w:val="00371D21"/>
    <w:pPr>
      <w:spacing w:line="240" w:lineRule="auto"/>
    </w:pPr>
    <w:rPr>
      <w:szCs w:val="20"/>
    </w:rPr>
  </w:style>
  <w:style w:type="character" w:customStyle="1" w:styleId="CommentTextChar">
    <w:name w:val="Comment Text Char"/>
    <w:basedOn w:val="DefaultParagraphFont"/>
    <w:link w:val="CommentText"/>
    <w:rsid w:val="00371D21"/>
    <w:rPr>
      <w:rFonts w:ascii="Times New Roman" w:hAnsi="Times New Roman"/>
      <w:spacing w:val="4"/>
      <w:w w:val="103"/>
      <w:kern w:val="14"/>
      <w:lang w:val="fr-CA"/>
    </w:rPr>
  </w:style>
  <w:style w:type="paragraph" w:styleId="CommentSubject">
    <w:name w:val="annotation subject"/>
    <w:basedOn w:val="CommentText"/>
    <w:next w:val="CommentText"/>
    <w:link w:val="CommentSubjectChar"/>
    <w:unhideWhenUsed/>
    <w:rsid w:val="00371D21"/>
    <w:rPr>
      <w:b/>
      <w:bCs/>
    </w:rPr>
  </w:style>
  <w:style w:type="character" w:customStyle="1" w:styleId="CommentSubjectChar">
    <w:name w:val="Comment Subject Char"/>
    <w:basedOn w:val="CommentTextChar"/>
    <w:link w:val="CommentSubject"/>
    <w:rsid w:val="00371D21"/>
    <w:rPr>
      <w:rFonts w:ascii="Times New Roman" w:hAnsi="Times New Roman"/>
      <w:b/>
      <w:bCs/>
      <w:spacing w:val="4"/>
      <w:w w:val="103"/>
      <w:kern w:val="14"/>
      <w:lang w:val="fr-CA"/>
    </w:rPr>
  </w:style>
  <w:style w:type="character" w:styleId="PageNumber">
    <w:name w:val="page number"/>
    <w:aliases w:val="7_G"/>
    <w:rsid w:val="00B03D00"/>
    <w:rPr>
      <w:rFonts w:ascii="Times New Roman" w:hAnsi="Times New Roman"/>
      <w:b/>
      <w:sz w:val="18"/>
      <w:lang w:val="fr-CH"/>
    </w:rPr>
  </w:style>
  <w:style w:type="paragraph" w:customStyle="1" w:styleId="HMG">
    <w:name w:val="_ H __M_G"/>
    <w:basedOn w:val="Normal"/>
    <w:next w:val="Normal"/>
    <w:qFormat/>
    <w:rsid w:val="00B03D00"/>
    <w:pPr>
      <w:keepNext/>
      <w:keepLines/>
      <w:tabs>
        <w:tab w:val="right" w:pos="851"/>
      </w:tabs>
      <w:suppressAutoHyphens/>
      <w:kinsoku w:val="0"/>
      <w:overflowPunct w:val="0"/>
      <w:autoSpaceDE w:val="0"/>
      <w:autoSpaceDN w:val="0"/>
      <w:adjustRightInd w:val="0"/>
      <w:snapToGrid w:val="0"/>
      <w:spacing w:before="240" w:after="240" w:line="360" w:lineRule="exact"/>
      <w:ind w:left="1134" w:right="1134" w:hanging="1134"/>
    </w:pPr>
    <w:rPr>
      <w:rFonts w:eastAsia="Calibri"/>
      <w:b/>
      <w:spacing w:val="0"/>
      <w:w w:val="100"/>
      <w:kern w:val="0"/>
      <w:sz w:val="34"/>
      <w:szCs w:val="20"/>
      <w:lang w:val="fr-CH"/>
    </w:rPr>
  </w:style>
  <w:style w:type="paragraph" w:customStyle="1" w:styleId="HChG">
    <w:name w:val="_ H _Ch_G"/>
    <w:basedOn w:val="Normal"/>
    <w:next w:val="Normal"/>
    <w:link w:val="HChGChar"/>
    <w:qFormat/>
    <w:rsid w:val="00B03D00"/>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pPr>
    <w:rPr>
      <w:rFonts w:eastAsia="Calibri"/>
      <w:b/>
      <w:spacing w:val="0"/>
      <w:w w:val="100"/>
      <w:kern w:val="0"/>
      <w:sz w:val="28"/>
      <w:szCs w:val="20"/>
      <w:lang w:val="fr-CH"/>
    </w:rPr>
  </w:style>
  <w:style w:type="paragraph" w:customStyle="1" w:styleId="H1G">
    <w:name w:val="_ H_1_G"/>
    <w:basedOn w:val="Normal"/>
    <w:next w:val="Normal"/>
    <w:link w:val="H1GChar"/>
    <w:qFormat/>
    <w:rsid w:val="00B03D00"/>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pPr>
    <w:rPr>
      <w:rFonts w:eastAsia="Calibri"/>
      <w:b/>
      <w:spacing w:val="0"/>
      <w:w w:val="100"/>
      <w:kern w:val="0"/>
      <w:sz w:val="24"/>
      <w:szCs w:val="20"/>
      <w:lang w:val="fr-CH"/>
    </w:rPr>
  </w:style>
  <w:style w:type="paragraph" w:customStyle="1" w:styleId="H23G">
    <w:name w:val="_ H_2/3_G"/>
    <w:basedOn w:val="Normal"/>
    <w:next w:val="Normal"/>
    <w:link w:val="H23GChar"/>
    <w:qFormat/>
    <w:rsid w:val="00B03D00"/>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b/>
      <w:spacing w:val="0"/>
      <w:w w:val="100"/>
      <w:kern w:val="0"/>
      <w:sz w:val="24"/>
      <w:szCs w:val="20"/>
      <w:lang w:val="fr-CH"/>
    </w:rPr>
  </w:style>
  <w:style w:type="paragraph" w:customStyle="1" w:styleId="H4G">
    <w:name w:val="_ H_4_G"/>
    <w:basedOn w:val="Normal"/>
    <w:next w:val="Normal"/>
    <w:qFormat/>
    <w:rsid w:val="00B03D00"/>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i/>
      <w:spacing w:val="0"/>
      <w:w w:val="100"/>
      <w:kern w:val="0"/>
      <w:sz w:val="24"/>
      <w:szCs w:val="20"/>
      <w:lang w:val="fr-CH"/>
    </w:rPr>
  </w:style>
  <w:style w:type="paragraph" w:customStyle="1" w:styleId="H56G">
    <w:name w:val="_ H_5/6_G"/>
    <w:basedOn w:val="Normal"/>
    <w:next w:val="Normal"/>
    <w:rsid w:val="00B03D00"/>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spacing w:val="0"/>
      <w:w w:val="100"/>
      <w:kern w:val="0"/>
      <w:sz w:val="24"/>
      <w:szCs w:val="20"/>
      <w:lang w:val="fr-CH"/>
    </w:rPr>
  </w:style>
  <w:style w:type="paragraph" w:customStyle="1" w:styleId="SingleTxtG">
    <w:name w:val="_ Single Txt_G"/>
    <w:basedOn w:val="Normal"/>
    <w:link w:val="SingleTxtGChar"/>
    <w:qFormat/>
    <w:rsid w:val="00B03D00"/>
    <w:pPr>
      <w:suppressAutoHyphens/>
      <w:kinsoku w:val="0"/>
      <w:overflowPunct w:val="0"/>
      <w:autoSpaceDE w:val="0"/>
      <w:autoSpaceDN w:val="0"/>
      <w:adjustRightInd w:val="0"/>
      <w:snapToGrid w:val="0"/>
      <w:spacing w:after="120" w:line="240" w:lineRule="atLeast"/>
      <w:ind w:left="1134" w:right="1134"/>
      <w:jc w:val="both"/>
    </w:pPr>
    <w:rPr>
      <w:rFonts w:eastAsia="Calibri"/>
      <w:spacing w:val="0"/>
      <w:w w:val="100"/>
      <w:kern w:val="0"/>
      <w:sz w:val="24"/>
      <w:szCs w:val="20"/>
      <w:lang w:val="fr-CH"/>
    </w:rPr>
  </w:style>
  <w:style w:type="paragraph" w:customStyle="1" w:styleId="SLG">
    <w:name w:val="__S_L_G"/>
    <w:basedOn w:val="Normal"/>
    <w:next w:val="Normal"/>
    <w:rsid w:val="00B03D00"/>
    <w:pPr>
      <w:keepNext/>
      <w:keepLines/>
      <w:suppressAutoHyphens/>
      <w:kinsoku w:val="0"/>
      <w:overflowPunct w:val="0"/>
      <w:autoSpaceDE w:val="0"/>
      <w:autoSpaceDN w:val="0"/>
      <w:adjustRightInd w:val="0"/>
      <w:snapToGrid w:val="0"/>
      <w:spacing w:before="240" w:after="240" w:line="580" w:lineRule="exact"/>
      <w:ind w:left="1134" w:right="1134"/>
    </w:pPr>
    <w:rPr>
      <w:rFonts w:eastAsia="Calibri"/>
      <w:b/>
      <w:spacing w:val="0"/>
      <w:w w:val="100"/>
      <w:kern w:val="0"/>
      <w:sz w:val="56"/>
      <w:szCs w:val="20"/>
      <w:lang w:val="fr-CH"/>
    </w:rPr>
  </w:style>
  <w:style w:type="paragraph" w:customStyle="1" w:styleId="SMG">
    <w:name w:val="__S_M_G"/>
    <w:basedOn w:val="Normal"/>
    <w:next w:val="Normal"/>
    <w:rsid w:val="00B03D00"/>
    <w:pPr>
      <w:keepNext/>
      <w:keepLines/>
      <w:suppressAutoHyphens/>
      <w:kinsoku w:val="0"/>
      <w:overflowPunct w:val="0"/>
      <w:autoSpaceDE w:val="0"/>
      <w:autoSpaceDN w:val="0"/>
      <w:adjustRightInd w:val="0"/>
      <w:snapToGrid w:val="0"/>
      <w:spacing w:before="240" w:after="240" w:line="420" w:lineRule="exact"/>
      <w:ind w:left="1134" w:right="1134"/>
    </w:pPr>
    <w:rPr>
      <w:rFonts w:eastAsia="Calibri"/>
      <w:b/>
      <w:spacing w:val="0"/>
      <w:w w:val="100"/>
      <w:kern w:val="0"/>
      <w:sz w:val="40"/>
      <w:szCs w:val="20"/>
      <w:lang w:val="fr-CH"/>
    </w:rPr>
  </w:style>
  <w:style w:type="paragraph" w:customStyle="1" w:styleId="SSG">
    <w:name w:val="__S_S_G"/>
    <w:basedOn w:val="Normal"/>
    <w:next w:val="Normal"/>
    <w:rsid w:val="00B03D00"/>
    <w:pPr>
      <w:keepNext/>
      <w:keepLines/>
      <w:suppressAutoHyphens/>
      <w:kinsoku w:val="0"/>
      <w:overflowPunct w:val="0"/>
      <w:autoSpaceDE w:val="0"/>
      <w:autoSpaceDN w:val="0"/>
      <w:adjustRightInd w:val="0"/>
      <w:snapToGrid w:val="0"/>
      <w:spacing w:before="240" w:after="240" w:line="300" w:lineRule="exact"/>
      <w:ind w:left="1134" w:right="1134"/>
    </w:pPr>
    <w:rPr>
      <w:rFonts w:eastAsia="Calibri"/>
      <w:b/>
      <w:spacing w:val="0"/>
      <w:w w:val="100"/>
      <w:kern w:val="0"/>
      <w:sz w:val="28"/>
      <w:szCs w:val="20"/>
      <w:lang w:val="fr-CH"/>
    </w:rPr>
  </w:style>
  <w:style w:type="paragraph" w:customStyle="1" w:styleId="XLargeG">
    <w:name w:val="__XLarge_G"/>
    <w:basedOn w:val="Normal"/>
    <w:next w:val="Normal"/>
    <w:rsid w:val="00B03D00"/>
    <w:pPr>
      <w:keepNext/>
      <w:keepLines/>
      <w:suppressAutoHyphens/>
      <w:kinsoku w:val="0"/>
      <w:overflowPunct w:val="0"/>
      <w:autoSpaceDE w:val="0"/>
      <w:autoSpaceDN w:val="0"/>
      <w:adjustRightInd w:val="0"/>
      <w:snapToGrid w:val="0"/>
      <w:spacing w:before="240" w:after="240" w:line="420" w:lineRule="exact"/>
      <w:ind w:left="1134" w:right="1134"/>
    </w:pPr>
    <w:rPr>
      <w:rFonts w:eastAsia="Calibri"/>
      <w:b/>
      <w:spacing w:val="0"/>
      <w:w w:val="100"/>
      <w:kern w:val="0"/>
      <w:sz w:val="40"/>
      <w:szCs w:val="20"/>
      <w:lang w:val="fr-CH"/>
    </w:rPr>
  </w:style>
  <w:style w:type="paragraph" w:customStyle="1" w:styleId="Bullet1G">
    <w:name w:val="_Bullet 1_G"/>
    <w:basedOn w:val="Normal"/>
    <w:qFormat/>
    <w:rsid w:val="00B03D00"/>
    <w:pPr>
      <w:numPr>
        <w:numId w:val="5"/>
      </w:numPr>
      <w:suppressAutoHyphens/>
      <w:kinsoku w:val="0"/>
      <w:overflowPunct w:val="0"/>
      <w:autoSpaceDE w:val="0"/>
      <w:autoSpaceDN w:val="0"/>
      <w:adjustRightInd w:val="0"/>
      <w:snapToGrid w:val="0"/>
      <w:spacing w:after="120" w:line="240" w:lineRule="atLeast"/>
      <w:ind w:right="1134"/>
      <w:jc w:val="both"/>
    </w:pPr>
    <w:rPr>
      <w:rFonts w:eastAsia="Calibri"/>
      <w:spacing w:val="0"/>
      <w:w w:val="100"/>
      <w:kern w:val="0"/>
      <w:sz w:val="24"/>
      <w:szCs w:val="20"/>
      <w:lang w:val="fr-CH"/>
    </w:rPr>
  </w:style>
  <w:style w:type="paragraph" w:customStyle="1" w:styleId="Bullet2G">
    <w:name w:val="_Bullet 2_G"/>
    <w:basedOn w:val="Normal"/>
    <w:qFormat/>
    <w:rsid w:val="00B03D00"/>
    <w:pPr>
      <w:numPr>
        <w:numId w:val="6"/>
      </w:numPr>
      <w:suppressAutoHyphens/>
      <w:kinsoku w:val="0"/>
      <w:overflowPunct w:val="0"/>
      <w:autoSpaceDE w:val="0"/>
      <w:autoSpaceDN w:val="0"/>
      <w:adjustRightInd w:val="0"/>
      <w:snapToGrid w:val="0"/>
      <w:spacing w:after="120" w:line="240" w:lineRule="atLeast"/>
      <w:ind w:right="1134"/>
      <w:jc w:val="both"/>
    </w:pPr>
    <w:rPr>
      <w:rFonts w:eastAsia="Calibri"/>
      <w:spacing w:val="0"/>
      <w:w w:val="100"/>
      <w:kern w:val="0"/>
      <w:sz w:val="24"/>
      <w:szCs w:val="20"/>
      <w:lang w:val="fr-CH"/>
    </w:rPr>
  </w:style>
  <w:style w:type="table" w:styleId="TableGrid">
    <w:name w:val="Table Grid"/>
    <w:basedOn w:val="TableNormal"/>
    <w:rsid w:val="00B03D00"/>
    <w:pPr>
      <w:suppressAutoHyphens/>
      <w:spacing w:line="240" w:lineRule="atLeast"/>
    </w:pPr>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B03D00"/>
    <w:rPr>
      <w:color w:val="auto"/>
      <w:u w:val="none"/>
    </w:rPr>
  </w:style>
  <w:style w:type="character" w:styleId="FollowedHyperlink">
    <w:name w:val="FollowedHyperlink"/>
    <w:semiHidden/>
    <w:rsid w:val="00B03D00"/>
    <w:rPr>
      <w:color w:val="auto"/>
      <w:u w:val="none"/>
    </w:rPr>
  </w:style>
  <w:style w:type="paragraph" w:customStyle="1" w:styleId="ParNoG">
    <w:name w:val="_ParNo_G"/>
    <w:basedOn w:val="SingleTxtG"/>
    <w:qFormat/>
    <w:rsid w:val="00B03D00"/>
    <w:pPr>
      <w:numPr>
        <w:numId w:val="7"/>
      </w:numPr>
    </w:pPr>
  </w:style>
  <w:style w:type="character" w:customStyle="1" w:styleId="preferred">
    <w:name w:val="preferred"/>
    <w:basedOn w:val="DefaultParagraphFont"/>
    <w:rsid w:val="00B03D00"/>
  </w:style>
  <w:style w:type="numbering" w:customStyle="1" w:styleId="Aucuneliste1">
    <w:name w:val="Aucune liste1"/>
    <w:next w:val="NoList"/>
    <w:uiPriority w:val="99"/>
    <w:semiHidden/>
    <w:unhideWhenUsed/>
    <w:rsid w:val="00B03D00"/>
  </w:style>
  <w:style w:type="table" w:customStyle="1" w:styleId="Grilledutableau1">
    <w:name w:val="Grille du tableau1"/>
    <w:basedOn w:val="TableNormal"/>
    <w:next w:val="TableGrid"/>
    <w:semiHidden/>
    <w:rsid w:val="00B03D00"/>
    <w:pPr>
      <w:suppressAutoHyphens/>
      <w:spacing w:line="240" w:lineRule="atLeast"/>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rsid w:val="00B03D00"/>
    <w:rPr>
      <w:rFonts w:ascii="Times New Roman" w:eastAsia="Calibri" w:hAnsi="Times New Roman"/>
      <w:sz w:val="24"/>
      <w:lang w:val="fr-CH"/>
    </w:rPr>
  </w:style>
  <w:style w:type="paragraph" w:styleId="Revision">
    <w:name w:val="Revision"/>
    <w:hidden/>
    <w:uiPriority w:val="99"/>
    <w:semiHidden/>
    <w:rsid w:val="00B03D00"/>
    <w:rPr>
      <w:rFonts w:ascii="Times New Roman" w:eastAsia="Times New Roman" w:hAnsi="Times New Roman"/>
      <w:lang w:val="en-GB"/>
    </w:rPr>
  </w:style>
  <w:style w:type="paragraph" w:customStyle="1" w:styleId="Default">
    <w:name w:val="Default"/>
    <w:rsid w:val="00B03D00"/>
    <w:pPr>
      <w:autoSpaceDE w:val="0"/>
      <w:autoSpaceDN w:val="0"/>
      <w:adjustRightInd w:val="0"/>
    </w:pPr>
    <w:rPr>
      <w:rFonts w:ascii="Times New Roman" w:eastAsia="Times New Roman" w:hAnsi="Times New Roman"/>
      <w:color w:val="000000"/>
      <w:sz w:val="24"/>
      <w:szCs w:val="24"/>
      <w:lang w:val="en-GB" w:eastAsia="en-GB"/>
    </w:rPr>
  </w:style>
  <w:style w:type="character" w:customStyle="1" w:styleId="H23GChar">
    <w:name w:val="_ H_2/3_G Char"/>
    <w:link w:val="H23G"/>
    <w:rsid w:val="00B03D00"/>
    <w:rPr>
      <w:rFonts w:ascii="Times New Roman" w:eastAsia="Calibri" w:hAnsi="Times New Roman"/>
      <w:b/>
      <w:sz w:val="24"/>
      <w:lang w:val="fr-CH"/>
    </w:rPr>
  </w:style>
  <w:style w:type="character" w:customStyle="1" w:styleId="H1GChar">
    <w:name w:val="_ H_1_G Char"/>
    <w:link w:val="H1G"/>
    <w:rsid w:val="00B03D00"/>
    <w:rPr>
      <w:rFonts w:ascii="Times New Roman" w:eastAsia="Calibri" w:hAnsi="Times New Roman"/>
      <w:b/>
      <w:sz w:val="24"/>
      <w:lang w:val="fr-CH"/>
    </w:rPr>
  </w:style>
  <w:style w:type="character" w:customStyle="1" w:styleId="HChGChar">
    <w:name w:val="_ H _Ch_G Char"/>
    <w:link w:val="HChG"/>
    <w:rsid w:val="00B03D00"/>
    <w:rPr>
      <w:rFonts w:ascii="Times New Roman" w:eastAsia="Calibri" w:hAnsi="Times New Roman"/>
      <w:b/>
      <w:sz w:val="28"/>
      <w:lang w:val="fr-CH"/>
    </w:rPr>
  </w:style>
  <w:style w:type="character" w:customStyle="1" w:styleId="algo-summary">
    <w:name w:val="algo-summary"/>
    <w:basedOn w:val="DefaultParagraphFont"/>
    <w:rsid w:val="00B03D00"/>
  </w:style>
  <w:style w:type="character" w:customStyle="1" w:styleId="en">
    <w:name w:val="en"/>
    <w:rsid w:val="00B03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un.org/Docs/journal/asp/ws.asp?m=ECE/TRANS/24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un.org/Docs/journal/asp/ws.asp?m=AC.3" TargetMode="External"/><Relationship Id="rId2" Type="http://schemas.openxmlformats.org/officeDocument/2006/relationships/numbering" Target="numbering.xml"/><Relationship Id="rId16" Type="http://schemas.openxmlformats.org/officeDocument/2006/relationships/hyperlink" Target="http://untermportal.un.org/display/Record/UNHQ/Portal/c331595" TargetMode="External"/><Relationship Id="rId20" Type="http://schemas.openxmlformats.org/officeDocument/2006/relationships/hyperlink" Target="file:///C:\Users\verlant\AppData\Local\Temp\www.unece.org\trans\themes\unda_customs-to-custom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unterm.un.org/DGAACS/unterm.nsf/WebView/2B080A8687F04749852569FA000073C0?OpenDocument" TargetMode="External"/><Relationship Id="rId10" Type="http://schemas.openxmlformats.org/officeDocument/2006/relationships/header" Target="header2.xml"/><Relationship Id="rId19" Type="http://schemas.openxmlformats.org/officeDocument/2006/relationships/hyperlink" Target="http://www.un.org/Docs/journal/asp/ws.asp?m=ECE/TRANS/WP.30/2015/22"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C473C-1B21-4EAA-B137-2E3F5CB43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9125</Words>
  <Characters>52014</Characters>
  <Application>Microsoft Office Word</Application>
  <DocSecurity>4</DocSecurity>
  <Lines>433</Lines>
  <Paragraphs>122</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61017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FTPU - Office 2010</dc:title>
  <dc:creator>Julien Okrzesik</dc:creator>
  <cp:lastModifiedBy>Anastasia Barinova</cp:lastModifiedBy>
  <cp:revision>2</cp:revision>
  <cp:lastPrinted>2016-02-12T16:44:00Z</cp:lastPrinted>
  <dcterms:created xsi:type="dcterms:W3CDTF">2016-02-15T08:08:00Z</dcterms:created>
  <dcterms:modified xsi:type="dcterms:W3CDTF">2016-02-15T08:08:00Z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1521966F</vt:lpwstr>
  </property>
  <property fmtid="{D5CDD505-2E9C-101B-9397-08002B2CF9AE}" pid="3" name="ODSRefJobNo">
    <vt:lpwstr>1528460F</vt:lpwstr>
  </property>
  <property fmtid="{D5CDD505-2E9C-101B-9397-08002B2CF9AE}" pid="4" name="Symbol1">
    <vt:lpwstr>ECE/TRANS/2016/22</vt:lpwstr>
  </property>
  <property fmtid="{D5CDD505-2E9C-101B-9397-08002B2CF9AE}" pid="5" name="Symbol2">
    <vt:lpwstr/>
  </property>
  <property fmtid="{D5CDD505-2E9C-101B-9397-08002B2CF9AE}" pid="6" name="Translator">
    <vt:lpwstr/>
  </property>
  <property fmtid="{D5CDD505-2E9C-101B-9397-08002B2CF9AE}" pid="7" name="Operator">
    <vt:lpwstr>OKRZESIK</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12 février 2016</vt:lpwstr>
  </property>
  <property fmtid="{D5CDD505-2E9C-101B-9397-08002B2CF9AE}" pid="12" name="Original">
    <vt:lpwstr>français</vt:lpwstr>
  </property>
  <property fmtid="{D5CDD505-2E9C-101B-9397-08002B2CF9AE}" pid="13" name="Release Date">
    <vt:lpwstr>120216</vt:lpwstr>
  </property>
</Properties>
</file>