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22" w:rsidRPr="00E86E22" w:rsidRDefault="00E86E22" w:rsidP="00E86E22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val="fr-FR" w:eastAsia="fr-FR" w:bidi="fr-FR"/>
        </w:rPr>
      </w:pPr>
      <w:bookmarkStart w:id="0" w:name="_GoBack"/>
      <w:bookmarkEnd w:id="0"/>
      <w:r w:rsidRPr="00E86E22">
        <w:rPr>
          <w:rFonts w:ascii="Arial" w:hAnsi="Arial"/>
          <w:noProof/>
          <w:snapToGrid w:val="0"/>
          <w:lang w:val="en-US"/>
        </w:rPr>
        <w:drawing>
          <wp:anchor distT="0" distB="0" distL="114300" distR="114300" simplePos="0" relativeHeight="251659264" behindDoc="0" locked="0" layoutInCell="1" allowOverlap="1" wp14:anchorId="0CA78865" wp14:editId="12284EA8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6E22">
        <w:rPr>
          <w:rFonts w:ascii="Arial" w:eastAsia="Arial" w:hAnsi="Arial"/>
          <w:bCs/>
          <w:snapToGrid w:val="0"/>
          <w:szCs w:val="24"/>
          <w:lang w:val="fr-FR" w:eastAsia="de-DE" w:bidi="fr-FR"/>
        </w:rPr>
        <w:t>CCNR-ZKR/ADN/WP.15/AC.2/29/INF.</w:t>
      </w:r>
      <w:r>
        <w:rPr>
          <w:rFonts w:ascii="Arial" w:eastAsia="Arial" w:hAnsi="Arial"/>
          <w:bCs/>
          <w:snapToGrid w:val="0"/>
          <w:szCs w:val="24"/>
          <w:lang w:val="fr-FR" w:eastAsia="de-DE" w:bidi="fr-FR"/>
        </w:rPr>
        <w:t>9</w:t>
      </w:r>
    </w:p>
    <w:p w:rsidR="00E86E22" w:rsidRPr="00E86E22" w:rsidRDefault="00E86E22" w:rsidP="00E86E22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 w:rsidRPr="00E86E22">
        <w:rPr>
          <w:rFonts w:ascii="Arial" w:eastAsia="Arial" w:hAnsi="Arial" w:cs="Arial"/>
          <w:szCs w:val="24"/>
          <w:lang w:val="de-DE" w:eastAsia="de-DE"/>
        </w:rPr>
        <w:t>1. Juli 2016</w:t>
      </w:r>
    </w:p>
    <w:p w:rsidR="00E86E22" w:rsidRPr="00E86E22" w:rsidRDefault="00E86E22" w:rsidP="00E86E22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r w:rsidRPr="00E86E22">
        <w:rPr>
          <w:rFonts w:ascii="Arial" w:eastAsia="Arial" w:hAnsi="Arial" w:cs="Arial"/>
          <w:sz w:val="16"/>
          <w:szCs w:val="24"/>
          <w:lang w:val="de-DE" w:eastAsia="de-DE"/>
        </w:rPr>
        <w:t>Or.  DEUTSCH</w:t>
      </w:r>
    </w:p>
    <w:p w:rsidR="00E86E22" w:rsidRPr="00E86E22" w:rsidRDefault="00E86E22" w:rsidP="00E86E22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E86E22" w:rsidRPr="00E86E22" w:rsidRDefault="00E86E22" w:rsidP="00E86E22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E86E22" w:rsidRPr="00E86E22" w:rsidRDefault="00E86E22" w:rsidP="00E86E22">
      <w:pPr>
        <w:suppressAutoHyphens w:val="0"/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E86E22">
        <w:rPr>
          <w:rFonts w:ascii="Arial" w:hAnsi="Arial" w:cs="Arial"/>
          <w:snapToGrid w:val="0"/>
          <w:sz w:val="16"/>
          <w:szCs w:val="16"/>
          <w:lang w:val="de-DE" w:eastAsia="fr-FR"/>
        </w:rPr>
        <w:t>GEMEINSAME EXPERTENTAGUNG FÜR DIE DEM ÜBEREINKOMMEN ÜBER DIE INTERNATIONALE BEFÖRDERUNG VON GEFÄHRLICHEN GÜTERN AUF BINNENWASSERSTRASSEN</w:t>
      </w:r>
    </w:p>
    <w:p w:rsidR="00E86E22" w:rsidRPr="00E86E22" w:rsidRDefault="00E86E22" w:rsidP="00E86E22">
      <w:pPr>
        <w:suppressAutoHyphens w:val="0"/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E86E22">
        <w:rPr>
          <w:rFonts w:ascii="Arial" w:hAnsi="Arial" w:cs="Arial"/>
          <w:snapToGrid w:val="0"/>
          <w:sz w:val="16"/>
          <w:szCs w:val="16"/>
          <w:lang w:val="de-DE" w:eastAsia="fr-FR"/>
        </w:rPr>
        <w:t>BEIGEFÜGTE VERORDNUNG (ADN)</w:t>
      </w:r>
    </w:p>
    <w:p w:rsidR="00E86E22" w:rsidRPr="00E86E22" w:rsidRDefault="00E86E22" w:rsidP="00E86E22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E86E22">
        <w:rPr>
          <w:rFonts w:ascii="Arial" w:hAnsi="Arial" w:cs="Arial"/>
          <w:snapToGrid w:val="0"/>
          <w:sz w:val="16"/>
          <w:szCs w:val="16"/>
          <w:lang w:val="de-DE" w:eastAsia="fr-FR"/>
        </w:rPr>
        <w:t>(SICHERHEITSAUSSCHUSS)</w:t>
      </w:r>
    </w:p>
    <w:p w:rsidR="00E86E22" w:rsidRPr="00E86E22" w:rsidRDefault="00E86E22" w:rsidP="00E86E22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E86E22">
        <w:rPr>
          <w:rFonts w:ascii="Arial" w:hAnsi="Arial" w:cs="Arial"/>
          <w:snapToGrid w:val="0"/>
          <w:sz w:val="16"/>
          <w:szCs w:val="16"/>
          <w:lang w:val="de-DE" w:eastAsia="fr-FR"/>
        </w:rPr>
        <w:t>(29. Tagung, Genf, 22. bis 26. August 2016)</w:t>
      </w:r>
    </w:p>
    <w:p w:rsidR="00E86E22" w:rsidRPr="00E86E22" w:rsidRDefault="00E86E22" w:rsidP="00E86E22">
      <w:pPr>
        <w:tabs>
          <w:tab w:val="left" w:pos="2977"/>
        </w:tabs>
        <w:suppressAutoHyphens w:val="0"/>
        <w:spacing w:line="240" w:lineRule="auto"/>
        <w:ind w:left="4111"/>
        <w:rPr>
          <w:rFonts w:ascii="Arial" w:hAnsi="Arial" w:cs="Arial"/>
          <w:sz w:val="16"/>
          <w:szCs w:val="16"/>
          <w:lang w:val="de-DE"/>
        </w:rPr>
      </w:pPr>
      <w:r w:rsidRPr="00E86E22">
        <w:rPr>
          <w:rFonts w:ascii="Arial" w:hAnsi="Arial" w:cs="Arial"/>
          <w:sz w:val="16"/>
          <w:szCs w:val="16"/>
          <w:lang w:val="de-DE"/>
        </w:rPr>
        <w:t>Punkt 4 b) zur vorläufigen Tagesordnung</w:t>
      </w:r>
    </w:p>
    <w:p w:rsidR="00E86E22" w:rsidRPr="00E86E22" w:rsidRDefault="00E86E22" w:rsidP="00E86E22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b/>
          <w:snapToGrid w:val="0"/>
          <w:sz w:val="16"/>
          <w:szCs w:val="16"/>
          <w:lang w:val="de-DE" w:eastAsia="fr-FR"/>
        </w:rPr>
      </w:pPr>
      <w:r w:rsidRPr="00E86E22">
        <w:rPr>
          <w:rFonts w:ascii="Arial" w:hAnsi="Arial" w:cs="Arial"/>
          <w:b/>
          <w:snapToGrid w:val="0"/>
          <w:sz w:val="16"/>
          <w:szCs w:val="16"/>
          <w:lang w:val="de-DE" w:eastAsia="fr-FR"/>
        </w:rPr>
        <w:t>Vorschläge für Änderungen der dem ADN beigefügten Verordnung:</w:t>
      </w:r>
    </w:p>
    <w:p w:rsidR="00E86E22" w:rsidRPr="00E86E22" w:rsidRDefault="00E86E22" w:rsidP="00E86E22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E86E22">
        <w:rPr>
          <w:rFonts w:ascii="Arial" w:hAnsi="Arial" w:cs="Arial"/>
          <w:b/>
          <w:snapToGrid w:val="0"/>
          <w:sz w:val="16"/>
          <w:szCs w:val="16"/>
          <w:lang w:val="de-DE" w:eastAsia="fr-FR"/>
        </w:rPr>
        <w:t>Weitere Änderungsvorschläge</w:t>
      </w:r>
    </w:p>
    <w:p w:rsidR="00B52A43" w:rsidRPr="00B52A43" w:rsidRDefault="00226043" w:rsidP="00B52A43">
      <w:pPr>
        <w:pStyle w:val="HChG"/>
        <w:rPr>
          <w:lang w:val="de-DE" w:eastAsia="fr-FR"/>
        </w:rPr>
      </w:pPr>
      <w:r w:rsidRPr="00D42292">
        <w:rPr>
          <w:lang w:val="de-DE" w:eastAsia="fr-FR"/>
        </w:rPr>
        <w:tab/>
      </w:r>
      <w:r w:rsidRPr="00D42292">
        <w:rPr>
          <w:lang w:val="de-DE" w:eastAsia="fr-FR"/>
        </w:rPr>
        <w:tab/>
      </w:r>
      <w:r w:rsidR="00D42292" w:rsidRPr="00D42292">
        <w:rPr>
          <w:lang w:val="de-DE" w:eastAsia="fr-FR"/>
        </w:rPr>
        <w:t>Zuweisung von Untergruppen in der Explosionsgruppe II B</w:t>
      </w:r>
      <w:r w:rsidR="00D42292">
        <w:rPr>
          <w:lang w:val="de-DE" w:eastAsia="fr-FR"/>
        </w:rPr>
        <w:t xml:space="preserve"> </w:t>
      </w:r>
      <w:r w:rsidR="00B52A43">
        <w:rPr>
          <w:lang w:val="de-DE" w:eastAsia="fr-FR"/>
        </w:rPr>
        <w:t>–</w:t>
      </w:r>
      <w:r w:rsidR="00D42292">
        <w:rPr>
          <w:lang w:val="de-DE" w:eastAsia="fr-FR"/>
        </w:rPr>
        <w:t xml:space="preserve"> Folgeänderungen</w:t>
      </w:r>
    </w:p>
    <w:p w:rsidR="00056F4F" w:rsidRPr="00E86E22" w:rsidRDefault="00497D73" w:rsidP="00497D73">
      <w:pPr>
        <w:pStyle w:val="H1G"/>
        <w:rPr>
          <w:szCs w:val="24"/>
          <w:lang w:val="de-DE"/>
        </w:rPr>
      </w:pPr>
      <w:r w:rsidRPr="00E86E22">
        <w:rPr>
          <w:szCs w:val="24"/>
          <w:lang w:val="de-DE"/>
        </w:rPr>
        <w:tab/>
      </w:r>
      <w:r w:rsidRPr="00E86E22">
        <w:rPr>
          <w:szCs w:val="24"/>
          <w:lang w:val="de-DE"/>
        </w:rPr>
        <w:tab/>
      </w:r>
      <w:r w:rsidR="00F63F83" w:rsidRPr="00E86E22">
        <w:rPr>
          <w:szCs w:val="24"/>
          <w:lang w:val="de-DE"/>
        </w:rPr>
        <w:t xml:space="preserve">Vorgelegt von </w:t>
      </w:r>
      <w:r w:rsidR="00D42292" w:rsidRPr="00E86E22">
        <w:rPr>
          <w:szCs w:val="24"/>
          <w:lang w:val="de-DE"/>
        </w:rPr>
        <w:t>Deutschland</w:t>
      </w:r>
    </w:p>
    <w:p w:rsidR="00B52A43" w:rsidRPr="00E86E22" w:rsidRDefault="00B52A43" w:rsidP="00B52A43">
      <w:pPr>
        <w:rPr>
          <w:lang w:val="de-DE"/>
        </w:rPr>
      </w:pPr>
    </w:p>
    <w:p w:rsidR="00B52A43" w:rsidRPr="00E86E22" w:rsidRDefault="00B52A43" w:rsidP="00B23E2C">
      <w:pPr>
        <w:ind w:left="1134"/>
        <w:rPr>
          <w:lang w:val="de-DE"/>
        </w:rPr>
      </w:pPr>
      <w:r w:rsidRPr="00E86E22">
        <w:rPr>
          <w:u w:val="single"/>
          <w:lang w:val="de-DE"/>
        </w:rPr>
        <w:t>Verbundene Dokumente</w:t>
      </w:r>
      <w:r w:rsidR="00B23E2C" w:rsidRPr="00E86E22">
        <w:rPr>
          <w:lang w:val="de-DE"/>
        </w:rPr>
        <w:t>:</w:t>
      </w:r>
    </w:p>
    <w:p w:rsidR="00B52A43" w:rsidRPr="00E86E22" w:rsidRDefault="00D457AD" w:rsidP="00B23E2C">
      <w:pPr>
        <w:ind w:left="1134"/>
        <w:rPr>
          <w:lang w:val="en-US"/>
        </w:rPr>
      </w:pPr>
      <w:r w:rsidRPr="00D457AD">
        <w:rPr>
          <w:lang w:val="en-US"/>
        </w:rPr>
        <w:t>CCNR-ZKR/ADN</w:t>
      </w:r>
      <w:r w:rsidR="00B52A43" w:rsidRPr="00E86E22">
        <w:rPr>
          <w:lang w:val="en-US"/>
        </w:rPr>
        <w:t>/36</w:t>
      </w:r>
      <w:r w:rsidR="00E77661" w:rsidRPr="00E86E22">
        <w:rPr>
          <w:lang w:val="en-US"/>
        </w:rPr>
        <w:t xml:space="preserve"> </w:t>
      </w:r>
      <w:r w:rsidR="00B52A43" w:rsidRPr="00E86E22">
        <w:rPr>
          <w:lang w:val="en-US"/>
        </w:rPr>
        <w:t xml:space="preserve">- Draft amendments to the Regulations annexed to </w:t>
      </w:r>
      <w:r w:rsidR="00E77661" w:rsidRPr="00E86E22">
        <w:rPr>
          <w:lang w:val="en-US"/>
        </w:rPr>
        <w:t>ADN</w:t>
      </w:r>
    </w:p>
    <w:p w:rsidR="00B23E2C" w:rsidRPr="00E20B80" w:rsidRDefault="00E20B80" w:rsidP="00B23E2C">
      <w:pPr>
        <w:ind w:left="1134"/>
        <w:rPr>
          <w:lang w:val="en-US"/>
        </w:rPr>
      </w:pPr>
      <w:r w:rsidRPr="00E20B80">
        <w:rPr>
          <w:lang w:val="en-US"/>
        </w:rPr>
        <w:t>CCNR-ZKR</w:t>
      </w:r>
      <w:r>
        <w:rPr>
          <w:lang w:val="en-US"/>
        </w:rPr>
        <w:t>/</w:t>
      </w:r>
      <w:r w:rsidR="00B23E2C" w:rsidRPr="00E20B80">
        <w:rPr>
          <w:lang w:val="en-US"/>
        </w:rPr>
        <w:t>ADN/WP.15/AC.2/58, Nrn. 42 – 44</w:t>
      </w:r>
    </w:p>
    <w:p w:rsidR="00B23E2C" w:rsidRPr="00E86E22" w:rsidRDefault="00B23E2C" w:rsidP="00B23E2C">
      <w:pPr>
        <w:ind w:left="1134"/>
        <w:rPr>
          <w:lang w:val="de-DE"/>
        </w:rPr>
      </w:pPr>
      <w:r w:rsidRPr="00E86E22">
        <w:rPr>
          <w:lang w:val="de-DE"/>
        </w:rPr>
        <w:t>CCNR-ZKR/</w:t>
      </w:r>
      <w:r w:rsidR="00E20B80">
        <w:rPr>
          <w:lang w:val="de-DE"/>
        </w:rPr>
        <w:t>ADN</w:t>
      </w:r>
      <w:r w:rsidRPr="00E86E22">
        <w:rPr>
          <w:lang w:val="de-DE"/>
        </w:rPr>
        <w:t>/WP.15/AC.2/</w:t>
      </w:r>
      <w:r w:rsidR="00FD57B2">
        <w:rPr>
          <w:lang w:val="de-DE"/>
        </w:rPr>
        <w:t>2016/</w:t>
      </w:r>
      <w:r w:rsidRPr="00E86E22">
        <w:rPr>
          <w:lang w:val="de-DE"/>
        </w:rPr>
        <w:t>30</w:t>
      </w:r>
      <w:r w:rsidR="001342A9" w:rsidRPr="00E86E22">
        <w:rPr>
          <w:lang w:val="de-DE"/>
        </w:rPr>
        <w:t xml:space="preserve">, Anhang 1, Abschnitt </w:t>
      </w:r>
      <w:r w:rsidR="00767FBA">
        <w:rPr>
          <w:lang w:val="de-DE"/>
        </w:rPr>
        <w:t>„</w:t>
      </w:r>
      <w:r w:rsidR="001342A9" w:rsidRPr="00E86E22">
        <w:rPr>
          <w:lang w:val="de-DE"/>
        </w:rPr>
        <w:t>1.2 Begriffsbestimmungen</w:t>
      </w:r>
      <w:r w:rsidR="00767FBA">
        <w:rPr>
          <w:lang w:val="de-DE"/>
        </w:rPr>
        <w:t>“</w:t>
      </w:r>
    </w:p>
    <w:p w:rsidR="00E77661" w:rsidRPr="0079438C" w:rsidRDefault="00E77661" w:rsidP="00B23E2C">
      <w:pPr>
        <w:ind w:left="1134"/>
        <w:rPr>
          <w:lang w:val="de-DE"/>
        </w:rPr>
      </w:pPr>
      <w:r w:rsidRPr="0079438C">
        <w:rPr>
          <w:lang w:val="de-DE"/>
        </w:rPr>
        <w:t>CCNR-ZKR/</w:t>
      </w:r>
      <w:r w:rsidR="00E20B80" w:rsidRPr="0079438C">
        <w:rPr>
          <w:lang w:val="de-DE"/>
        </w:rPr>
        <w:t>ADN</w:t>
      </w:r>
      <w:r w:rsidRPr="0079438C">
        <w:rPr>
          <w:lang w:val="de-DE"/>
        </w:rPr>
        <w:t>/WP.15/AC.2/</w:t>
      </w:r>
      <w:r w:rsidR="0079438C">
        <w:rPr>
          <w:lang w:val="de-DE"/>
        </w:rPr>
        <w:t>2016/</w:t>
      </w:r>
      <w:r w:rsidR="001342A9" w:rsidRPr="0079438C">
        <w:rPr>
          <w:lang w:val="de-DE"/>
        </w:rPr>
        <w:t>38, Nr. 2</w:t>
      </w:r>
    </w:p>
    <w:p w:rsidR="001342A9" w:rsidRPr="00E86E22" w:rsidRDefault="001342A9" w:rsidP="00B23E2C">
      <w:pPr>
        <w:ind w:left="1134"/>
        <w:rPr>
          <w:lang w:val="de-DE"/>
        </w:rPr>
      </w:pPr>
      <w:r w:rsidRPr="00E86E22">
        <w:rPr>
          <w:lang w:val="de-DE"/>
        </w:rPr>
        <w:t>CCNR-ZKR/</w:t>
      </w:r>
      <w:r w:rsidR="00E20B80">
        <w:rPr>
          <w:lang w:val="de-DE"/>
        </w:rPr>
        <w:t>ADN</w:t>
      </w:r>
      <w:r w:rsidRPr="00E86E22">
        <w:rPr>
          <w:lang w:val="de-DE"/>
        </w:rPr>
        <w:t>/WP.15/AC.2/</w:t>
      </w:r>
      <w:r w:rsidR="0079438C">
        <w:rPr>
          <w:lang w:val="de-DE"/>
        </w:rPr>
        <w:t>2016/</w:t>
      </w:r>
      <w:r w:rsidR="00B34CAA" w:rsidRPr="00E86E22">
        <w:rPr>
          <w:lang w:val="de-DE"/>
        </w:rPr>
        <w:t>42, Nrn. 2 und 3</w:t>
      </w:r>
    </w:p>
    <w:p w:rsidR="00B52A43" w:rsidRPr="00E86E22" w:rsidRDefault="00B52A43" w:rsidP="00B52A43">
      <w:pPr>
        <w:rPr>
          <w:lang w:val="de-DE"/>
        </w:rPr>
      </w:pPr>
    </w:p>
    <w:p w:rsidR="00E927EA" w:rsidRPr="00E86E22" w:rsidRDefault="00F63F83" w:rsidP="00497D73">
      <w:pPr>
        <w:pStyle w:val="SingleTxtG"/>
        <w:tabs>
          <w:tab w:val="left" w:pos="1701"/>
        </w:tabs>
        <w:rPr>
          <w:lang w:val="de-DE"/>
        </w:rPr>
      </w:pPr>
      <w:r w:rsidRPr="00E86E22">
        <w:rPr>
          <w:lang w:val="de-DE"/>
        </w:rPr>
        <w:t>1.</w:t>
      </w:r>
      <w:r w:rsidRPr="00E86E22">
        <w:rPr>
          <w:lang w:val="de-DE"/>
        </w:rPr>
        <w:tab/>
      </w:r>
      <w:r w:rsidR="00D42292" w:rsidRPr="00E86E22">
        <w:rPr>
          <w:lang w:val="de-DE"/>
        </w:rPr>
        <w:t xml:space="preserve">In der 28. Sitzung des Sicherheitsausschusses wurde beschlossen, die Untergruppen der </w:t>
      </w:r>
      <w:r w:rsidR="001F0A97" w:rsidRPr="00E86E22">
        <w:rPr>
          <w:lang w:val="de-DE"/>
        </w:rPr>
        <w:t>E</w:t>
      </w:r>
      <w:r w:rsidR="00D42292" w:rsidRPr="00E86E22">
        <w:rPr>
          <w:lang w:val="de-DE"/>
        </w:rPr>
        <w:t xml:space="preserve">xplosionsgruppe II B in das ADN einzuführen. </w:t>
      </w:r>
      <w:r w:rsidR="001F0A97" w:rsidRPr="00E86E22">
        <w:rPr>
          <w:lang w:val="de-DE"/>
        </w:rPr>
        <w:t>Dabei hatte sich herausgestellt, dass noch weitere Folgeänderungen erforderlich sind (</w:t>
      </w:r>
      <w:r w:rsidR="00073B32" w:rsidRPr="00073B32">
        <w:rPr>
          <w:lang w:val="de-DE"/>
        </w:rPr>
        <w:t>CCNR-ZKR/ADN/WP.15/AC.2/</w:t>
      </w:r>
      <w:r w:rsidR="001F0A97" w:rsidRPr="00E86E22">
        <w:rPr>
          <w:lang w:val="de-DE"/>
        </w:rPr>
        <w:t>58 Punk</w:t>
      </w:r>
      <w:r w:rsidR="00B23E2C" w:rsidRPr="00E86E22">
        <w:rPr>
          <w:lang w:val="de-DE"/>
        </w:rPr>
        <w:t>t</w:t>
      </w:r>
      <w:r w:rsidR="001F0A97" w:rsidRPr="00E86E22">
        <w:rPr>
          <w:lang w:val="de-DE"/>
        </w:rPr>
        <w:t xml:space="preserve"> 10, </w:t>
      </w:r>
      <w:r w:rsidR="00A01B33">
        <w:rPr>
          <w:lang w:val="de-DE"/>
        </w:rPr>
        <w:t>Nr.</w:t>
      </w:r>
      <w:r w:rsidR="00A01B33" w:rsidRPr="00E86E22">
        <w:rPr>
          <w:lang w:val="de-DE"/>
        </w:rPr>
        <w:t xml:space="preserve"> </w:t>
      </w:r>
      <w:r w:rsidR="001F0A97" w:rsidRPr="00E86E22">
        <w:rPr>
          <w:lang w:val="de-DE"/>
        </w:rPr>
        <w:t>42 bis 44).</w:t>
      </w:r>
    </w:p>
    <w:p w:rsidR="004F078D" w:rsidRPr="00E86E22" w:rsidRDefault="004F078D" w:rsidP="001F0A97">
      <w:pPr>
        <w:pStyle w:val="SingleTxtG"/>
        <w:tabs>
          <w:tab w:val="left" w:pos="1701"/>
        </w:tabs>
        <w:rPr>
          <w:lang w:val="de-DE"/>
        </w:rPr>
      </w:pPr>
      <w:r w:rsidRPr="00E86E22">
        <w:rPr>
          <w:lang w:val="de-DE"/>
        </w:rPr>
        <w:t>2.</w:t>
      </w:r>
      <w:r w:rsidRPr="00E86E22">
        <w:rPr>
          <w:lang w:val="de-DE"/>
        </w:rPr>
        <w:tab/>
      </w:r>
      <w:r w:rsidR="00AE4690" w:rsidRPr="00E86E22">
        <w:rPr>
          <w:lang w:val="de-DE"/>
        </w:rPr>
        <w:t xml:space="preserve">Außerdem stellte sich heraus, dass </w:t>
      </w:r>
      <w:r w:rsidR="00E77661" w:rsidRPr="00E86E22">
        <w:rPr>
          <w:lang w:val="de-DE"/>
        </w:rPr>
        <w:t xml:space="preserve">in </w:t>
      </w:r>
      <w:r w:rsidR="00B34CAA" w:rsidRPr="00E86E22">
        <w:rPr>
          <w:lang w:val="de-DE"/>
        </w:rPr>
        <w:t>den Vorschriften</w:t>
      </w:r>
      <w:r w:rsidR="00AE4690" w:rsidRPr="00E86E22">
        <w:rPr>
          <w:lang w:val="de-DE"/>
        </w:rPr>
        <w:t xml:space="preserve"> </w:t>
      </w:r>
      <w:r w:rsidR="00E77661" w:rsidRPr="00E86E22">
        <w:rPr>
          <w:lang w:val="de-DE"/>
        </w:rPr>
        <w:t>klargestellt werden muss</w:t>
      </w:r>
      <w:r w:rsidR="00AE4690" w:rsidRPr="00E86E22">
        <w:rPr>
          <w:lang w:val="de-DE"/>
        </w:rPr>
        <w:t>, dass nicht nur die elektrischen Betriebsmittel entsprechend den Explosionsgruppen ausgewählt werden müssen</w:t>
      </w:r>
      <w:r w:rsidR="00B34CAA" w:rsidRPr="00E86E22">
        <w:rPr>
          <w:lang w:val="de-DE"/>
        </w:rPr>
        <w:t xml:space="preserve">. Auch </w:t>
      </w:r>
      <w:r w:rsidR="00AE4690" w:rsidRPr="00E86E22">
        <w:rPr>
          <w:lang w:val="de-DE"/>
        </w:rPr>
        <w:t xml:space="preserve">die nichtelektrischen Betriebsmittel und autonomen Schutzsysteme </w:t>
      </w:r>
      <w:r w:rsidR="00B039EA" w:rsidRPr="00E86E22">
        <w:rPr>
          <w:lang w:val="de-DE"/>
        </w:rPr>
        <w:t xml:space="preserve">müssen </w:t>
      </w:r>
      <w:r w:rsidR="00AE4690" w:rsidRPr="00E86E22">
        <w:rPr>
          <w:lang w:val="de-DE"/>
        </w:rPr>
        <w:t>für die entsprechende Explosionsgruppe/Untergruppe geeignet sein.</w:t>
      </w:r>
    </w:p>
    <w:p w:rsidR="001F0A97" w:rsidRPr="00E86E22" w:rsidRDefault="004F078D" w:rsidP="001F0A97">
      <w:pPr>
        <w:pStyle w:val="SingleTxtG"/>
        <w:tabs>
          <w:tab w:val="left" w:pos="1701"/>
        </w:tabs>
        <w:rPr>
          <w:lang w:val="de-DE"/>
        </w:rPr>
      </w:pPr>
      <w:r w:rsidRPr="00E86E22">
        <w:rPr>
          <w:lang w:val="de-DE"/>
        </w:rPr>
        <w:t>3</w:t>
      </w:r>
      <w:r w:rsidR="00F63F83" w:rsidRPr="00E86E22">
        <w:rPr>
          <w:lang w:val="de-DE"/>
        </w:rPr>
        <w:t>.</w:t>
      </w:r>
      <w:r w:rsidR="00F63F83" w:rsidRPr="00E86E22">
        <w:rPr>
          <w:lang w:val="de-DE"/>
        </w:rPr>
        <w:tab/>
      </w:r>
      <w:r w:rsidR="001F0A97" w:rsidRPr="00E86E22">
        <w:rPr>
          <w:lang w:val="de-DE"/>
        </w:rPr>
        <w:t xml:space="preserve">Die Vorschriftentexte des ADN wurden </w:t>
      </w:r>
      <w:r w:rsidR="00920A96" w:rsidRPr="00E86E22">
        <w:rPr>
          <w:lang w:val="de-DE"/>
        </w:rPr>
        <w:t xml:space="preserve">eingehend </w:t>
      </w:r>
      <w:r w:rsidR="001F0A97" w:rsidRPr="00E86E22">
        <w:rPr>
          <w:lang w:val="de-DE"/>
        </w:rPr>
        <w:t>überprüft und es wird vorgeschlagen</w:t>
      </w:r>
      <w:r w:rsidR="00920A96" w:rsidRPr="00E86E22">
        <w:rPr>
          <w:lang w:val="de-DE"/>
        </w:rPr>
        <w:t>,</w:t>
      </w:r>
      <w:r w:rsidR="001F0A97" w:rsidRPr="00E86E22">
        <w:rPr>
          <w:lang w:val="de-DE"/>
        </w:rPr>
        <w:t xml:space="preserve"> </w:t>
      </w:r>
      <w:r w:rsidR="004A3BE4" w:rsidRPr="00E86E22">
        <w:rPr>
          <w:lang w:val="de-DE"/>
        </w:rPr>
        <w:t xml:space="preserve">an drei Stellen Änderungen </w:t>
      </w:r>
      <w:r w:rsidR="00AE4690" w:rsidRPr="00E86E22">
        <w:rPr>
          <w:lang w:val="de-DE"/>
        </w:rPr>
        <w:t xml:space="preserve">zur Klarstellung und </w:t>
      </w:r>
      <w:r w:rsidR="004A3BE4" w:rsidRPr="00E86E22">
        <w:rPr>
          <w:lang w:val="de-DE"/>
        </w:rPr>
        <w:t>in Zusammenhang mit der Einführung der Untergruppen der Explosionsgruppe II B vorzunehmen.</w:t>
      </w:r>
    </w:p>
    <w:p w:rsidR="00F63F83" w:rsidRPr="00E86E22" w:rsidRDefault="00F63F83" w:rsidP="00497D73">
      <w:pPr>
        <w:pStyle w:val="SingleTxtG"/>
        <w:spacing w:before="120"/>
        <w:rPr>
          <w:lang w:val="de-DE"/>
        </w:rPr>
      </w:pPr>
    </w:p>
    <w:p w:rsidR="004A3BE4" w:rsidRPr="00E86E22" w:rsidRDefault="004A3BE4" w:rsidP="00497D73">
      <w:pPr>
        <w:pStyle w:val="SingleTxtG"/>
        <w:spacing w:before="120"/>
        <w:rPr>
          <w:b/>
          <w:sz w:val="24"/>
          <w:szCs w:val="24"/>
          <w:lang w:val="de-DE"/>
        </w:rPr>
      </w:pPr>
      <w:r w:rsidRPr="00E86E22">
        <w:rPr>
          <w:b/>
          <w:sz w:val="24"/>
          <w:szCs w:val="24"/>
          <w:lang w:val="de-DE"/>
        </w:rPr>
        <w:t>Vorschlag 1</w:t>
      </w:r>
    </w:p>
    <w:p w:rsidR="00DB4BA2" w:rsidRPr="00E86E22" w:rsidRDefault="004F078D" w:rsidP="00DB4BA2">
      <w:pPr>
        <w:pStyle w:val="SingleTxtG"/>
        <w:tabs>
          <w:tab w:val="left" w:pos="1701"/>
        </w:tabs>
        <w:rPr>
          <w:lang w:val="de-DE"/>
        </w:rPr>
      </w:pPr>
      <w:r w:rsidRPr="00E86E22">
        <w:rPr>
          <w:lang w:val="de-DE"/>
        </w:rPr>
        <w:t>4</w:t>
      </w:r>
      <w:r w:rsidR="00F63F83" w:rsidRPr="00E86E22">
        <w:rPr>
          <w:lang w:val="de-DE"/>
        </w:rPr>
        <w:t>.</w:t>
      </w:r>
      <w:r w:rsidR="00F63F83" w:rsidRPr="00E86E22">
        <w:rPr>
          <w:lang w:val="de-DE"/>
        </w:rPr>
        <w:tab/>
      </w:r>
      <w:r w:rsidR="004A3BE4" w:rsidRPr="00E86E22">
        <w:rPr>
          <w:lang w:val="de-DE"/>
        </w:rPr>
        <w:t>In 1.2.1 Begriffsbestimmung</w:t>
      </w:r>
      <w:r w:rsidR="00DB4BA2" w:rsidRPr="00E86E22">
        <w:rPr>
          <w:lang w:val="de-DE"/>
        </w:rPr>
        <w:t>en die Begriffsbestimmung für</w:t>
      </w:r>
      <w:r w:rsidR="004A3BE4" w:rsidRPr="00E86E22">
        <w:rPr>
          <w:lang w:val="de-DE"/>
        </w:rPr>
        <w:t xml:space="preserve"> den Begriff „Explosionsgruppe:“ </w:t>
      </w:r>
      <w:r w:rsidR="00DB4BA2" w:rsidRPr="00E86E22">
        <w:rPr>
          <w:lang w:val="de-DE"/>
        </w:rPr>
        <w:t>wie folgt neu formulieren (Änderungen zum bestehenden Text sind durch Streichung/Unterstreichung kenntlich gemacht):</w:t>
      </w:r>
    </w:p>
    <w:p w:rsidR="00E927EA" w:rsidRPr="00E86E22" w:rsidRDefault="004A3BE4" w:rsidP="00DB4BA2">
      <w:pPr>
        <w:pStyle w:val="SingleTxtG"/>
        <w:tabs>
          <w:tab w:val="left" w:pos="1701"/>
        </w:tabs>
        <w:rPr>
          <w:lang w:val="de-DE"/>
        </w:rPr>
      </w:pPr>
      <w:r w:rsidRPr="00E86E22">
        <w:rPr>
          <w:lang w:val="de-DE"/>
        </w:rPr>
        <w:t>„</w:t>
      </w:r>
      <w:r w:rsidRPr="00E86E22">
        <w:rPr>
          <w:b/>
          <w:i/>
          <w:lang w:val="de-DE"/>
        </w:rPr>
        <w:t>Explosionsgruppe</w:t>
      </w:r>
      <w:r w:rsidRPr="00E86E22">
        <w:rPr>
          <w:b/>
          <w:i/>
          <w:u w:val="single"/>
          <w:lang w:val="de-DE"/>
        </w:rPr>
        <w:t>/Untergruppe</w:t>
      </w:r>
      <w:r w:rsidRPr="00E86E22">
        <w:rPr>
          <w:b/>
          <w:i/>
          <w:lang w:val="de-DE"/>
        </w:rPr>
        <w:t>:</w:t>
      </w:r>
      <w:r w:rsidRPr="00E86E22">
        <w:rPr>
          <w:lang w:val="de-DE"/>
        </w:rPr>
        <w:t xml:space="preserve"> </w:t>
      </w:r>
      <w:r w:rsidR="00DB4BA2" w:rsidRPr="00E86E22">
        <w:rPr>
          <w:lang w:val="de-DE"/>
        </w:rPr>
        <w:t xml:space="preserve">Einteilung der brennbaren Gase und Dämpfe nach ihrer Zünddurchschlagfähigkeit durch Spalte (Normspaltweite, bestimmt nach festgelegten Bedingungen) und/oder nach dem Mindestzündstromverhältnis sowie der zum Einsatz in explosionsgefährdeten Bereichen zugelassenen </w:t>
      </w:r>
      <w:r w:rsidR="00DB4BA2" w:rsidRPr="00E86E22">
        <w:rPr>
          <w:strike/>
          <w:lang w:val="de-DE"/>
        </w:rPr>
        <w:t>Betriebsmitteln (siehe EN IEC 60079-0:2012)</w:t>
      </w:r>
      <w:r w:rsidR="00DB4BA2" w:rsidRPr="00E86E22">
        <w:rPr>
          <w:lang w:val="de-DE"/>
        </w:rPr>
        <w:t xml:space="preserve"> </w:t>
      </w:r>
      <w:r w:rsidR="00DB4BA2" w:rsidRPr="00E86E22">
        <w:rPr>
          <w:u w:val="single"/>
          <w:lang w:val="de-DE"/>
        </w:rPr>
        <w:t>Anlagen, Geräte und autonomen Schutzsysteme. Für autonome Schutzsysteme erfolgt eine Unterteilung der Explosionsgruppe II B in Untergruppen</w:t>
      </w:r>
      <w:r w:rsidR="00DB4BA2" w:rsidRPr="00E86E22">
        <w:rPr>
          <w:lang w:val="de-DE"/>
        </w:rPr>
        <w:t>.“.</w:t>
      </w:r>
    </w:p>
    <w:p w:rsidR="004A3BE4" w:rsidRPr="00E86E22" w:rsidRDefault="004A3BE4" w:rsidP="004A3BE4">
      <w:pPr>
        <w:pStyle w:val="SingleTxtG"/>
        <w:spacing w:before="120"/>
        <w:rPr>
          <w:lang w:val="de-DE"/>
        </w:rPr>
      </w:pPr>
    </w:p>
    <w:p w:rsidR="00E86E22" w:rsidRDefault="00E86E22">
      <w:pPr>
        <w:suppressAutoHyphens w:val="0"/>
        <w:spacing w:line="240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br w:type="page"/>
      </w:r>
    </w:p>
    <w:p w:rsidR="004A3BE4" w:rsidRPr="00E86E22" w:rsidRDefault="004A3BE4" w:rsidP="004A3BE4">
      <w:pPr>
        <w:pStyle w:val="SingleTxtG"/>
        <w:spacing w:before="120"/>
        <w:rPr>
          <w:b/>
          <w:sz w:val="24"/>
          <w:szCs w:val="24"/>
          <w:lang w:val="de-DE"/>
        </w:rPr>
      </w:pPr>
      <w:r w:rsidRPr="00E86E22">
        <w:rPr>
          <w:b/>
          <w:sz w:val="24"/>
          <w:szCs w:val="24"/>
          <w:lang w:val="de-DE"/>
        </w:rPr>
        <w:lastRenderedPageBreak/>
        <w:t>Vorschlag 2</w:t>
      </w:r>
    </w:p>
    <w:p w:rsidR="00E927EA" w:rsidRPr="00E86E22" w:rsidRDefault="004F078D" w:rsidP="004A3BE4">
      <w:pPr>
        <w:pStyle w:val="SingleTxtG"/>
        <w:tabs>
          <w:tab w:val="left" w:pos="1701"/>
        </w:tabs>
        <w:rPr>
          <w:lang w:val="de-DE"/>
        </w:rPr>
      </w:pPr>
      <w:r w:rsidRPr="00E86E22">
        <w:rPr>
          <w:lang w:val="de-DE"/>
        </w:rPr>
        <w:t>5</w:t>
      </w:r>
      <w:r w:rsidR="00F63F83" w:rsidRPr="00E86E22">
        <w:rPr>
          <w:lang w:val="de-DE"/>
        </w:rPr>
        <w:t>.</w:t>
      </w:r>
      <w:r w:rsidR="00F63F83" w:rsidRPr="00E86E22">
        <w:rPr>
          <w:lang w:val="de-DE"/>
        </w:rPr>
        <w:tab/>
      </w:r>
      <w:r w:rsidR="004A3BE4" w:rsidRPr="00E86E22">
        <w:rPr>
          <w:lang w:val="de-DE"/>
        </w:rPr>
        <w:t>Die in 3.2.3.3 Entscheidungsdiagramm, Schemata und Kriterien für die Festlegung der anwendbaren besonderen</w:t>
      </w:r>
      <w:r w:rsidR="0047237D" w:rsidRPr="00E86E22">
        <w:rPr>
          <w:lang w:val="de-DE"/>
        </w:rPr>
        <w:t xml:space="preserve"> </w:t>
      </w:r>
      <w:r w:rsidR="004A3BE4" w:rsidRPr="00E86E22">
        <w:rPr>
          <w:lang w:val="de-DE"/>
        </w:rPr>
        <w:t>Vorschriften (Spalten (6) bis (20) der Tabelle C)</w:t>
      </w:r>
      <w:r w:rsidR="0047237D" w:rsidRPr="00E86E22">
        <w:rPr>
          <w:lang w:val="de-DE"/>
        </w:rPr>
        <w:t xml:space="preserve"> Spalte (16): Bestimmung der Explosionsgruppe und in 3.2.4.3 Zuordnungskriterien für die Stoffe H. Spalte (16): Bestimmung der Explosionsgruppe jeweils enthaltene Tabelle ersetzen durch:</w:t>
      </w:r>
    </w:p>
    <w:p w:rsidR="0047237D" w:rsidRPr="00E86E22" w:rsidRDefault="0047237D" w:rsidP="004A3BE4">
      <w:pPr>
        <w:pStyle w:val="SingleTxtG"/>
        <w:tabs>
          <w:tab w:val="left" w:pos="1701"/>
        </w:tabs>
        <w:rPr>
          <w:lang w:val="de-DE"/>
        </w:rPr>
      </w:pPr>
    </w:p>
    <w:tbl>
      <w:tblPr>
        <w:tblStyle w:val="TableGrid"/>
        <w:tblW w:w="7042" w:type="dxa"/>
        <w:tblInd w:w="1293" w:type="dxa"/>
        <w:tblLook w:val="04A0" w:firstRow="1" w:lastRow="0" w:firstColumn="1" w:lastColumn="0" w:noHBand="0" w:noVBand="1"/>
      </w:tblPr>
      <w:tblGrid>
        <w:gridCol w:w="1372"/>
        <w:gridCol w:w="1843"/>
        <w:gridCol w:w="1701"/>
        <w:gridCol w:w="2126"/>
      </w:tblGrid>
      <w:tr w:rsidR="0047237D" w:rsidRPr="00E86E22" w:rsidTr="0047237D"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E22">
              <w:rPr>
                <w:rFonts w:ascii="Times New Roman" w:hAnsi="Times New Roman" w:cs="Times New Roman"/>
                <w:sz w:val="20"/>
                <w:szCs w:val="20"/>
              </w:rPr>
              <w:t>Explosions-gruppe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E22">
              <w:rPr>
                <w:rFonts w:ascii="Times New Roman" w:hAnsi="Times New Roman" w:cs="Times New Roman"/>
                <w:sz w:val="20"/>
                <w:szCs w:val="20"/>
              </w:rPr>
              <w:t>Normspaltweite</w:t>
            </w:r>
            <w:r w:rsidRPr="00E86E22">
              <w:rPr>
                <w:rFonts w:ascii="Times New Roman" w:hAnsi="Times New Roman" w:cs="Times New Roman"/>
                <w:sz w:val="20"/>
                <w:szCs w:val="20"/>
              </w:rPr>
              <w:br/>
              <w:t>in mm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E22">
              <w:rPr>
                <w:rFonts w:ascii="Times New Roman" w:hAnsi="Times New Roman" w:cs="Times New Roman"/>
                <w:sz w:val="20"/>
                <w:szCs w:val="20"/>
              </w:rPr>
              <w:t>Untergruppe</w:t>
            </w:r>
            <w:r w:rsidRPr="00E86E22">
              <w:rPr>
                <w:rFonts w:ascii="Times New Roman" w:hAnsi="Times New Roman" w:cs="Times New Roman"/>
                <w:sz w:val="20"/>
                <w:szCs w:val="20"/>
              </w:rPr>
              <w:br/>
              <w:t>von II B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E22">
              <w:rPr>
                <w:rFonts w:ascii="Times New Roman" w:hAnsi="Times New Roman" w:cs="Times New Roman"/>
                <w:sz w:val="20"/>
                <w:szCs w:val="20"/>
              </w:rPr>
              <w:t>Normspaltweite</w:t>
            </w:r>
            <w:r w:rsidRPr="00E86E22">
              <w:rPr>
                <w:rFonts w:ascii="Times New Roman" w:hAnsi="Times New Roman" w:cs="Times New Roman"/>
                <w:sz w:val="20"/>
                <w:szCs w:val="20"/>
              </w:rPr>
              <w:br/>
              <w:t>in mm</w:t>
            </w:r>
          </w:p>
        </w:tc>
      </w:tr>
      <w:tr w:rsidR="0047237D" w:rsidRPr="00E86E22" w:rsidTr="0047237D"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E22">
              <w:rPr>
                <w:rFonts w:ascii="Times New Roman" w:hAnsi="Times New Roman" w:cs="Times New Roman"/>
                <w:sz w:val="20"/>
                <w:szCs w:val="20"/>
              </w:rPr>
              <w:t>II A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E22">
              <w:rPr>
                <w:rFonts w:ascii="Times New Roman" w:hAnsi="Times New Roman" w:cs="Times New Roman"/>
                <w:sz w:val="20"/>
                <w:szCs w:val="20"/>
              </w:rPr>
              <w:t>&gt; 0,9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7D" w:rsidRPr="00E86E22" w:rsidTr="0047237D"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E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534D" w:rsidRPr="00E86E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534D" w:rsidRPr="00E86E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6E22">
              <w:rPr>
                <w:rFonts w:ascii="Times New Roman" w:hAnsi="Times New Roman" w:cs="Times New Roman"/>
                <w:sz w:val="20"/>
                <w:szCs w:val="20"/>
              </w:rPr>
              <w:br/>
              <w:t>II B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E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534D" w:rsidRPr="00E86E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534D" w:rsidRPr="00E86E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6E22">
              <w:rPr>
                <w:rFonts w:ascii="Times New Roman" w:hAnsi="Times New Roman" w:cs="Times New Roman"/>
                <w:sz w:val="20"/>
                <w:szCs w:val="20"/>
              </w:rPr>
              <w:br/>
              <w:t>≥ 0,5 bis ≤ 0,9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E22">
              <w:rPr>
                <w:rFonts w:ascii="Times New Roman" w:hAnsi="Times New Roman" w:cs="Times New Roman"/>
                <w:sz w:val="20"/>
                <w:szCs w:val="20"/>
              </w:rPr>
              <w:t>II B1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E22">
              <w:rPr>
                <w:rFonts w:ascii="Times New Roman" w:hAnsi="Times New Roman" w:cs="Times New Roman"/>
                <w:sz w:val="20"/>
                <w:szCs w:val="20"/>
              </w:rPr>
              <w:t>&gt; 0,85 bis ≤ 0,9</w:t>
            </w:r>
          </w:p>
        </w:tc>
      </w:tr>
      <w:tr w:rsidR="0047237D" w:rsidRPr="00E86E22" w:rsidTr="0047237D">
        <w:tc>
          <w:tcPr>
            <w:tcW w:w="1372" w:type="dxa"/>
            <w:vMerge/>
            <w:tcBorders>
              <w:left w:val="single" w:sz="8" w:space="0" w:color="auto"/>
            </w:tcBorders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E22">
              <w:rPr>
                <w:rFonts w:ascii="Times New Roman" w:hAnsi="Times New Roman" w:cs="Times New Roman"/>
                <w:sz w:val="20"/>
                <w:szCs w:val="20"/>
              </w:rPr>
              <w:t>II B2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E22">
              <w:rPr>
                <w:rFonts w:ascii="Times New Roman" w:hAnsi="Times New Roman" w:cs="Times New Roman"/>
                <w:sz w:val="20"/>
                <w:szCs w:val="20"/>
              </w:rPr>
              <w:t>&gt; 0,75 bis ≤ 0,85</w:t>
            </w:r>
          </w:p>
        </w:tc>
      </w:tr>
      <w:tr w:rsidR="0047237D" w:rsidRPr="00E86E22" w:rsidTr="0047237D">
        <w:tc>
          <w:tcPr>
            <w:tcW w:w="1372" w:type="dxa"/>
            <w:vMerge/>
            <w:tcBorders>
              <w:left w:val="single" w:sz="8" w:space="0" w:color="auto"/>
            </w:tcBorders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E22">
              <w:rPr>
                <w:rFonts w:ascii="Times New Roman" w:hAnsi="Times New Roman" w:cs="Times New Roman"/>
                <w:sz w:val="20"/>
                <w:szCs w:val="20"/>
              </w:rPr>
              <w:t>II B3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E22">
              <w:rPr>
                <w:rFonts w:ascii="Times New Roman" w:hAnsi="Times New Roman" w:cs="Times New Roman"/>
                <w:sz w:val="20"/>
                <w:szCs w:val="20"/>
              </w:rPr>
              <w:t>&gt; 0,65 bis ≤ 0,75</w:t>
            </w:r>
          </w:p>
        </w:tc>
      </w:tr>
      <w:tr w:rsidR="0047237D" w:rsidRPr="00E86E22" w:rsidTr="0047237D">
        <w:trPr>
          <w:trHeight w:val="547"/>
        </w:trPr>
        <w:tc>
          <w:tcPr>
            <w:tcW w:w="137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47237D" w:rsidRPr="00E86E22" w:rsidRDefault="00BC534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E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6E2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7D" w:rsidRPr="00E86E22" w:rsidTr="0047237D"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E22">
              <w:rPr>
                <w:rFonts w:ascii="Times New Roman" w:hAnsi="Times New Roman" w:cs="Times New Roman"/>
                <w:sz w:val="20"/>
                <w:szCs w:val="20"/>
              </w:rPr>
              <w:t>II C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E22">
              <w:rPr>
                <w:rFonts w:ascii="Times New Roman" w:hAnsi="Times New Roman" w:cs="Times New Roman"/>
                <w:sz w:val="20"/>
                <w:szCs w:val="20"/>
              </w:rPr>
              <w:t>&lt; 0,5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37D" w:rsidRPr="00E86E22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237D" w:rsidRPr="00E86E22" w:rsidRDefault="0047237D" w:rsidP="004A3BE4">
      <w:pPr>
        <w:pStyle w:val="SingleTxtG"/>
        <w:tabs>
          <w:tab w:val="left" w:pos="1701"/>
        </w:tabs>
        <w:rPr>
          <w:lang w:val="de-DE"/>
        </w:rPr>
      </w:pPr>
    </w:p>
    <w:p w:rsidR="0047237D" w:rsidRPr="00E86E22" w:rsidRDefault="0047237D" w:rsidP="004A3BE4">
      <w:pPr>
        <w:pStyle w:val="SingleTxtG"/>
        <w:tabs>
          <w:tab w:val="left" w:pos="1701"/>
        </w:tabs>
        <w:rPr>
          <w:lang w:val="de-DE"/>
        </w:rPr>
      </w:pPr>
      <w:r w:rsidRPr="00E86E22">
        <w:rPr>
          <w:lang w:val="de-DE"/>
        </w:rPr>
        <w:t>Die Texte an den beiden oben genannten Fundstellen bleiben unverändert.</w:t>
      </w:r>
    </w:p>
    <w:p w:rsidR="00E63C55" w:rsidRPr="00E86E22" w:rsidRDefault="00E86E22" w:rsidP="00E63C55">
      <w:pPr>
        <w:pStyle w:val="SingleTxtG"/>
        <w:tabs>
          <w:tab w:val="left" w:pos="1701"/>
        </w:tabs>
        <w:spacing w:before="240" w:after="0"/>
        <w:jc w:val="center"/>
        <w:rPr>
          <w:lang w:val="de-DE"/>
        </w:rPr>
      </w:pPr>
      <w:r w:rsidRPr="00E86E22">
        <w:rPr>
          <w:lang w:val="de-DE"/>
        </w:rPr>
        <w:t>***</w:t>
      </w:r>
    </w:p>
    <w:sectPr w:rsidR="00E63C55" w:rsidRPr="00E86E22" w:rsidSect="004F6D51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701" w:right="1134" w:bottom="1928" w:left="1134" w:header="1134" w:footer="17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87" w:rsidRDefault="005E7287" w:rsidP="00226043">
      <w:pPr>
        <w:spacing w:line="240" w:lineRule="auto"/>
      </w:pPr>
      <w:r>
        <w:separator/>
      </w:r>
    </w:p>
  </w:endnote>
  <w:endnote w:type="continuationSeparator" w:id="0">
    <w:p w:rsidR="005E7287" w:rsidRDefault="005E7287" w:rsidP="0022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CB" w:rsidRPr="0072087E" w:rsidRDefault="00655DCB" w:rsidP="00655DCB">
    <w:pPr>
      <w:tabs>
        <w:tab w:val="right" w:pos="3856"/>
        <w:tab w:val="center" w:pos="4536"/>
        <w:tab w:val="left" w:pos="5387"/>
        <w:tab w:val="right" w:pos="9072"/>
      </w:tabs>
      <w:jc w:val="right"/>
      <w:rPr>
        <w:rFonts w:ascii="Arial" w:hAnsi="Arial" w:cs="Arial"/>
      </w:rPr>
    </w:pPr>
    <w:r w:rsidRPr="0072087E">
      <w:rPr>
        <w:rFonts w:ascii="Arial" w:hAnsi="Arial" w:cs="Arial"/>
        <w:sz w:val="12"/>
        <w:lang w:eastAsia="en-GB"/>
      </w:rPr>
      <w:t>mm_weiner/adn/wp15ac2/29/inf9</w:t>
    </w:r>
    <w:r>
      <w:rPr>
        <w:rFonts w:ascii="Arial" w:hAnsi="Arial" w:cs="Arial"/>
        <w:sz w:val="12"/>
        <w:lang w:eastAsia="en-GB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2D" w:rsidRPr="00F8267A" w:rsidRDefault="005F2B2D" w:rsidP="00F8267A">
    <w:pPr>
      <w:jc w:val="right"/>
      <w:rPr>
        <w:b/>
        <w:sz w:val="18"/>
        <w:szCs w:val="18"/>
      </w:rPr>
    </w:pPr>
    <w:r w:rsidRPr="00F8267A">
      <w:rPr>
        <w:b/>
        <w:sz w:val="18"/>
        <w:szCs w:val="18"/>
      </w:rPr>
      <w:fldChar w:fldCharType="begin"/>
    </w:r>
    <w:r w:rsidRPr="00F8267A">
      <w:rPr>
        <w:b/>
        <w:sz w:val="18"/>
        <w:szCs w:val="18"/>
      </w:rPr>
      <w:instrText xml:space="preserve"> PAGE   \* MERGEFORMAT </w:instrText>
    </w:r>
    <w:r w:rsidRPr="00F8267A">
      <w:rPr>
        <w:b/>
        <w:sz w:val="18"/>
        <w:szCs w:val="18"/>
      </w:rPr>
      <w:fldChar w:fldCharType="separate"/>
    </w:r>
    <w:r w:rsidR="00767FBA">
      <w:rPr>
        <w:b/>
        <w:noProof/>
        <w:sz w:val="18"/>
        <w:szCs w:val="18"/>
      </w:rPr>
      <w:t>3</w:t>
    </w:r>
    <w:r w:rsidRPr="00F8267A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87" w:rsidRDefault="005E7287" w:rsidP="00226043">
      <w:pPr>
        <w:spacing w:line="240" w:lineRule="auto"/>
      </w:pPr>
      <w:r>
        <w:separator/>
      </w:r>
    </w:p>
  </w:footnote>
  <w:footnote w:type="continuationSeparator" w:id="0">
    <w:p w:rsidR="005E7287" w:rsidRDefault="005E7287" w:rsidP="00226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2D" w:rsidRPr="00E86E22" w:rsidRDefault="00E86E22" w:rsidP="00E86E22">
    <w:pPr>
      <w:spacing w:line="240" w:lineRule="auto"/>
    </w:pPr>
    <w:r w:rsidRPr="00E86E22">
      <w:rPr>
        <w:rFonts w:ascii="Arial" w:hAnsi="Arial"/>
        <w:sz w:val="16"/>
        <w:szCs w:val="16"/>
        <w:lang w:eastAsia="fr-FR"/>
      </w:rPr>
      <w:t>CCNR-ZKR/ADN/WP.15/AC.2/</w:t>
    </w:r>
    <w:r>
      <w:rPr>
        <w:rFonts w:ascii="Arial" w:hAnsi="Arial"/>
        <w:sz w:val="16"/>
        <w:szCs w:val="16"/>
        <w:lang w:eastAsia="fr-FR"/>
      </w:rPr>
      <w:t>29</w:t>
    </w:r>
    <w:r w:rsidRPr="00E86E22">
      <w:rPr>
        <w:rFonts w:ascii="Arial" w:hAnsi="Arial"/>
        <w:sz w:val="16"/>
        <w:szCs w:val="16"/>
        <w:lang w:eastAsia="fr-FR"/>
      </w:rPr>
      <w:t>/</w:t>
    </w:r>
    <w:r>
      <w:rPr>
        <w:rFonts w:ascii="Arial" w:hAnsi="Arial"/>
        <w:sz w:val="16"/>
        <w:szCs w:val="16"/>
        <w:lang w:eastAsia="fr-FR"/>
      </w:rPr>
      <w:t>INF.</w:t>
    </w:r>
    <w:r w:rsidRPr="00E86E22">
      <w:rPr>
        <w:rFonts w:ascii="Arial" w:hAnsi="Arial"/>
        <w:sz w:val="16"/>
        <w:szCs w:val="16"/>
        <w:lang w:eastAsia="fr-FR"/>
      </w:rPr>
      <w:t>9</w:t>
    </w:r>
    <w:r w:rsidRPr="00E86E22">
      <w:rPr>
        <w:rFonts w:ascii="Arial" w:hAnsi="Arial"/>
        <w:sz w:val="16"/>
        <w:szCs w:val="16"/>
        <w:lang w:eastAsia="fr-FR"/>
      </w:rPr>
      <w:br/>
    </w:r>
    <w:r w:rsidRPr="00E86E22">
      <w:rPr>
        <w:rFonts w:ascii="Arial" w:hAnsi="Arial"/>
        <w:sz w:val="16"/>
        <w:szCs w:val="16"/>
        <w:lang w:val="fr-CH" w:eastAsia="fr-FR"/>
      </w:rPr>
      <w:t xml:space="preserve">Seite </w:t>
    </w:r>
    <w:r w:rsidRPr="00E86E22">
      <w:rPr>
        <w:rFonts w:ascii="Arial" w:hAnsi="Arial"/>
        <w:sz w:val="16"/>
        <w:szCs w:val="16"/>
        <w:lang w:val="fr-CH" w:eastAsia="fr-FR"/>
      </w:rPr>
      <w:fldChar w:fldCharType="begin"/>
    </w:r>
    <w:r w:rsidRPr="00E86E22">
      <w:rPr>
        <w:rFonts w:ascii="Arial" w:hAnsi="Arial"/>
        <w:sz w:val="16"/>
        <w:szCs w:val="16"/>
        <w:lang w:val="fr-CH" w:eastAsia="fr-FR"/>
      </w:rPr>
      <w:instrText xml:space="preserve"> PAGE  \* MERGEFORMAT </w:instrText>
    </w:r>
    <w:r w:rsidRPr="00E86E22">
      <w:rPr>
        <w:rFonts w:ascii="Arial" w:hAnsi="Arial"/>
        <w:sz w:val="16"/>
        <w:szCs w:val="16"/>
        <w:lang w:val="fr-CH" w:eastAsia="fr-FR"/>
      </w:rPr>
      <w:fldChar w:fldCharType="separate"/>
    </w:r>
    <w:r w:rsidR="005425E7" w:rsidRPr="005425E7">
      <w:rPr>
        <w:rFonts w:ascii="Arial" w:hAnsi="Arial"/>
        <w:b/>
        <w:noProof/>
        <w:sz w:val="16"/>
        <w:szCs w:val="16"/>
        <w:lang w:val="fr-CH" w:eastAsia="fr-FR"/>
      </w:rPr>
      <w:t>2</w:t>
    </w:r>
    <w:r w:rsidRPr="00E86E22">
      <w:rPr>
        <w:rFonts w:ascii="Arial" w:hAnsi="Arial"/>
        <w:sz w:val="16"/>
        <w:szCs w:val="16"/>
        <w:lang w:val="fr-CH"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2D" w:rsidRPr="00F8267A" w:rsidRDefault="005F2B2D" w:rsidP="00F8267A">
    <w:pPr>
      <w:pBdr>
        <w:bottom w:val="single" w:sz="4" w:space="4" w:color="auto"/>
      </w:pBdr>
      <w:spacing w:line="240" w:lineRule="auto"/>
      <w:jc w:val="right"/>
      <w:rPr>
        <w:b/>
        <w:sz w:val="18"/>
      </w:rPr>
    </w:pPr>
    <w:r w:rsidRPr="00F8267A">
      <w:rPr>
        <w:b/>
        <w:sz w:val="18"/>
      </w:rPr>
      <w:t>W</w:t>
    </w:r>
    <w:r>
      <w:rPr>
        <w:b/>
        <w:sz w:val="18"/>
      </w:rPr>
      <w:t>P.15/AC.2/28/INF.PDC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E03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201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46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3A2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ACF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0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CA5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2EB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C8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0A3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35578"/>
    <w:multiLevelType w:val="hybridMultilevel"/>
    <w:tmpl w:val="0AEA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044E5"/>
    <w:multiLevelType w:val="hybridMultilevel"/>
    <w:tmpl w:val="A5B23562"/>
    <w:lvl w:ilvl="0" w:tplc="44DE6BA2">
      <w:start w:val="3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2D7275"/>
    <w:multiLevelType w:val="hybridMultilevel"/>
    <w:tmpl w:val="849E4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E5CF4"/>
    <w:multiLevelType w:val="hybridMultilevel"/>
    <w:tmpl w:val="0936BE7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63023B"/>
    <w:multiLevelType w:val="hybridMultilevel"/>
    <w:tmpl w:val="D8B2DD38"/>
    <w:lvl w:ilvl="0" w:tplc="3E7C6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C218A7"/>
    <w:multiLevelType w:val="hybridMultilevel"/>
    <w:tmpl w:val="720470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E63E4B"/>
    <w:multiLevelType w:val="hybridMultilevel"/>
    <w:tmpl w:val="C69E4C7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46A37"/>
    <w:multiLevelType w:val="hybridMultilevel"/>
    <w:tmpl w:val="78E6935E"/>
    <w:lvl w:ilvl="0" w:tplc="5CFA5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1"/>
  </w:num>
  <w:num w:numId="16">
    <w:abstractNumId w:val="15"/>
  </w:num>
  <w:num w:numId="17">
    <w:abstractNumId w:val="14"/>
  </w:num>
  <w:num w:numId="18">
    <w:abstractNumId w:val="13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43"/>
    <w:rsid w:val="00011400"/>
    <w:rsid w:val="000152D3"/>
    <w:rsid w:val="00050A8D"/>
    <w:rsid w:val="00055EF7"/>
    <w:rsid w:val="00056F4F"/>
    <w:rsid w:val="00067EBE"/>
    <w:rsid w:val="00073B32"/>
    <w:rsid w:val="00080D7A"/>
    <w:rsid w:val="000E63F1"/>
    <w:rsid w:val="00100FF0"/>
    <w:rsid w:val="00123E35"/>
    <w:rsid w:val="001342A9"/>
    <w:rsid w:val="001B7E97"/>
    <w:rsid w:val="001C35B0"/>
    <w:rsid w:val="001F0A97"/>
    <w:rsid w:val="00226043"/>
    <w:rsid w:val="00241F8A"/>
    <w:rsid w:val="00393B3A"/>
    <w:rsid w:val="003979E5"/>
    <w:rsid w:val="003C0D82"/>
    <w:rsid w:val="003C10B9"/>
    <w:rsid w:val="003D3E7C"/>
    <w:rsid w:val="00404321"/>
    <w:rsid w:val="00420780"/>
    <w:rsid w:val="004207E1"/>
    <w:rsid w:val="004244BA"/>
    <w:rsid w:val="00470BCA"/>
    <w:rsid w:val="0047237D"/>
    <w:rsid w:val="00481439"/>
    <w:rsid w:val="00497D73"/>
    <w:rsid w:val="004A3BE4"/>
    <w:rsid w:val="004A5E98"/>
    <w:rsid w:val="004B3AFA"/>
    <w:rsid w:val="004B5A77"/>
    <w:rsid w:val="004C24AA"/>
    <w:rsid w:val="004F078D"/>
    <w:rsid w:val="004F6D51"/>
    <w:rsid w:val="00517F5F"/>
    <w:rsid w:val="005425E7"/>
    <w:rsid w:val="00586CA8"/>
    <w:rsid w:val="00597DB6"/>
    <w:rsid w:val="005A230D"/>
    <w:rsid w:val="005B3FAB"/>
    <w:rsid w:val="005C1E05"/>
    <w:rsid w:val="005D3667"/>
    <w:rsid w:val="005D7ADF"/>
    <w:rsid w:val="005E6771"/>
    <w:rsid w:val="005E7287"/>
    <w:rsid w:val="005F2B2D"/>
    <w:rsid w:val="00655DCB"/>
    <w:rsid w:val="006B71A9"/>
    <w:rsid w:val="006F1024"/>
    <w:rsid w:val="00763642"/>
    <w:rsid w:val="00767FBA"/>
    <w:rsid w:val="0079438C"/>
    <w:rsid w:val="007C5AE6"/>
    <w:rsid w:val="007D2107"/>
    <w:rsid w:val="007F3119"/>
    <w:rsid w:val="00816ECE"/>
    <w:rsid w:val="0085326F"/>
    <w:rsid w:val="00866DFE"/>
    <w:rsid w:val="008F2EFF"/>
    <w:rsid w:val="00920A96"/>
    <w:rsid w:val="00930F93"/>
    <w:rsid w:val="00943204"/>
    <w:rsid w:val="009440BA"/>
    <w:rsid w:val="009E4DC9"/>
    <w:rsid w:val="009F58D5"/>
    <w:rsid w:val="00A01B33"/>
    <w:rsid w:val="00A249BB"/>
    <w:rsid w:val="00A413A9"/>
    <w:rsid w:val="00A7290C"/>
    <w:rsid w:val="00A87478"/>
    <w:rsid w:val="00AA3FAD"/>
    <w:rsid w:val="00AD5A9D"/>
    <w:rsid w:val="00AE4690"/>
    <w:rsid w:val="00B039EA"/>
    <w:rsid w:val="00B154BC"/>
    <w:rsid w:val="00B23E2C"/>
    <w:rsid w:val="00B34CAA"/>
    <w:rsid w:val="00B450E3"/>
    <w:rsid w:val="00B52A43"/>
    <w:rsid w:val="00BC534D"/>
    <w:rsid w:val="00C2013E"/>
    <w:rsid w:val="00C65283"/>
    <w:rsid w:val="00C73B46"/>
    <w:rsid w:val="00D42292"/>
    <w:rsid w:val="00D45197"/>
    <w:rsid w:val="00D457AD"/>
    <w:rsid w:val="00D46C11"/>
    <w:rsid w:val="00D55292"/>
    <w:rsid w:val="00D57EF5"/>
    <w:rsid w:val="00D63261"/>
    <w:rsid w:val="00D83F87"/>
    <w:rsid w:val="00D840DE"/>
    <w:rsid w:val="00DA2B2F"/>
    <w:rsid w:val="00DB4BA2"/>
    <w:rsid w:val="00DD396E"/>
    <w:rsid w:val="00E20B80"/>
    <w:rsid w:val="00E63C55"/>
    <w:rsid w:val="00E77661"/>
    <w:rsid w:val="00E86E22"/>
    <w:rsid w:val="00E927EA"/>
    <w:rsid w:val="00EE6C0C"/>
    <w:rsid w:val="00F16E6D"/>
    <w:rsid w:val="00F24796"/>
    <w:rsid w:val="00F2482F"/>
    <w:rsid w:val="00F63F83"/>
    <w:rsid w:val="00F81F01"/>
    <w:rsid w:val="00F8267A"/>
    <w:rsid w:val="00F846E1"/>
    <w:rsid w:val="00F92675"/>
    <w:rsid w:val="00F93C37"/>
    <w:rsid w:val="00FD3C90"/>
    <w:rsid w:val="00FD57B2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E9F2EA5-96D9-45C2-B531-894D985C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8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qFormat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930F93"/>
  </w:style>
  <w:style w:type="character" w:customStyle="1" w:styleId="EndnoteTextChar">
    <w:name w:val="Endnote Text Char"/>
    <w:aliases w:val="2_G Char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930F93"/>
    <w:rPr>
      <w:sz w:val="18"/>
    </w:rPr>
  </w:style>
  <w:style w:type="character" w:styleId="FollowedHyperlink">
    <w:name w:val="FollowedHyperlink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0F93"/>
    <w:rPr>
      <w:b/>
      <w:sz w:val="18"/>
    </w:rPr>
  </w:style>
  <w:style w:type="character" w:styleId="PageNumber">
    <w:name w:val="page number"/>
    <w:aliases w:val="7_G"/>
    <w:qFormat/>
    <w:rsid w:val="00930F93"/>
    <w:rPr>
      <w:rFonts w:ascii="Times New Roman" w:hAnsi="Times New Roman"/>
      <w:b/>
      <w:sz w:val="18"/>
    </w:rPr>
  </w:style>
  <w:style w:type="paragraph" w:styleId="NoSpacing">
    <w:name w:val="No Spacing"/>
    <w:basedOn w:val="Normal"/>
    <w:uiPriority w:val="1"/>
    <w:qFormat/>
    <w:rsid w:val="005E6771"/>
    <w:pPr>
      <w:suppressAutoHyphens w:val="0"/>
      <w:spacing w:line="240" w:lineRule="auto"/>
    </w:pPr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677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ingleTxt">
    <w:name w:val="__Single Txt"/>
    <w:basedOn w:val="Normal"/>
    <w:rsid w:val="00F846E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table" w:styleId="TableGrid">
    <w:name w:val="Table Grid"/>
    <w:basedOn w:val="TableNormal"/>
    <w:uiPriority w:val="59"/>
    <w:rsid w:val="00E927EA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text1"/>
    <w:basedOn w:val="Normal"/>
    <w:rsid w:val="00B52A43"/>
    <w:pPr>
      <w:suppressAutoHyphens w:val="0"/>
      <w:spacing w:line="300" w:lineRule="atLeast"/>
      <w:textAlignment w:val="baseline"/>
    </w:pPr>
    <w:rPr>
      <w:sz w:val="19"/>
      <w:szCs w:val="19"/>
      <w:lang w:val="de-DE" w:eastAsia="de-DE"/>
    </w:rPr>
  </w:style>
  <w:style w:type="paragraph" w:customStyle="1" w:styleId="Default">
    <w:name w:val="Default"/>
    <w:rsid w:val="00B23E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97A1-08B6-438E-820C-35C5B0E7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Luciolle</dc:creator>
  <cp:lastModifiedBy>Caillot</cp:lastModifiedBy>
  <cp:revision>2</cp:revision>
  <cp:lastPrinted>2016-07-04T12:38:00Z</cp:lastPrinted>
  <dcterms:created xsi:type="dcterms:W3CDTF">2016-07-05T13:00:00Z</dcterms:created>
  <dcterms:modified xsi:type="dcterms:W3CDTF">2016-07-05T13:00:00Z</dcterms:modified>
</cp:coreProperties>
</file>