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13" w:rsidRDefault="00B84813" w:rsidP="00B84813">
      <w:pPr>
        <w:spacing w:line="240" w:lineRule="auto"/>
        <w:rPr>
          <w:sz w:val="2"/>
        </w:rPr>
        <w:sectPr w:rsidR="00B84813" w:rsidSect="00B84813">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B84813" w:rsidRDefault="00B84813" w:rsidP="00B84813">
      <w:pPr>
        <w:pStyle w:val="H1"/>
        <w:spacing w:after="120"/>
        <w:rPr>
          <w:sz w:val="28"/>
        </w:rPr>
      </w:pPr>
      <w:r>
        <w:rPr>
          <w:sz w:val="28"/>
        </w:rPr>
        <w:lastRenderedPageBreak/>
        <w:t>Commission économique pour l’Europe</w:t>
      </w:r>
    </w:p>
    <w:p w:rsidR="00B84813" w:rsidRDefault="00B84813" w:rsidP="00B84813">
      <w:pPr>
        <w:pStyle w:val="H1"/>
        <w:spacing w:after="120" w:line="300" w:lineRule="exact"/>
        <w:rPr>
          <w:b w:val="0"/>
          <w:sz w:val="28"/>
        </w:rPr>
      </w:pPr>
      <w:r>
        <w:rPr>
          <w:b w:val="0"/>
          <w:sz w:val="28"/>
        </w:rPr>
        <w:t>Comité des transports intérieurs</w:t>
      </w:r>
    </w:p>
    <w:p w:rsidR="006C0824" w:rsidRPr="00294D47" w:rsidRDefault="006C0824" w:rsidP="006C0824">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294D47">
        <w:rPr>
          <w:lang w:val="fr-CH"/>
        </w:rPr>
        <w:t xml:space="preserve">Groupe de travail des transports </w:t>
      </w:r>
      <w:r w:rsidRPr="00294D47">
        <w:rPr>
          <w:lang w:val="fr-CH"/>
        </w:rPr>
        <w:br/>
        <w:t>de marchandises dangereuses</w:t>
      </w:r>
    </w:p>
    <w:p w:rsidR="006C0824" w:rsidRPr="00294D47" w:rsidRDefault="006C0824" w:rsidP="006C0824">
      <w:pPr>
        <w:spacing w:line="120" w:lineRule="exact"/>
        <w:rPr>
          <w:sz w:val="10"/>
          <w:lang w:val="fr-CH"/>
        </w:rPr>
      </w:pPr>
    </w:p>
    <w:p w:rsidR="006C0824" w:rsidRPr="00294D47" w:rsidRDefault="006C0824" w:rsidP="006C082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294D47">
        <w:rPr>
          <w:lang w:val="fr-CH"/>
        </w:rPr>
        <w:t xml:space="preserve">Réunion commune d’experts sur le Règlement annexé </w:t>
      </w:r>
      <w:r w:rsidRPr="00294D47">
        <w:rPr>
          <w:lang w:val="fr-CH"/>
        </w:rPr>
        <w:br/>
        <w:t xml:space="preserve">à l’Accord européen relatif au transport international </w:t>
      </w:r>
      <w:r w:rsidRPr="00294D47">
        <w:rPr>
          <w:lang w:val="fr-CH"/>
        </w:rPr>
        <w:br/>
        <w:t xml:space="preserve">des marchandises dangereuses par voies de navigation </w:t>
      </w:r>
      <w:r w:rsidRPr="00294D47">
        <w:rPr>
          <w:lang w:val="fr-CH"/>
        </w:rPr>
        <w:br/>
        <w:t>intérieures (ADN) (Comité de sécurité de l’ADN)</w:t>
      </w:r>
    </w:p>
    <w:p w:rsidR="006C0824" w:rsidRPr="00294D47" w:rsidRDefault="006C0824" w:rsidP="006C0824">
      <w:pPr>
        <w:spacing w:line="120" w:lineRule="exact"/>
        <w:rPr>
          <w:sz w:val="10"/>
          <w:lang w:val="fr-CH"/>
        </w:rPr>
      </w:pPr>
    </w:p>
    <w:p w:rsidR="006C0824" w:rsidRPr="00294D47" w:rsidRDefault="006C0824" w:rsidP="006C082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294D47">
        <w:rPr>
          <w:lang w:val="fr-CH"/>
        </w:rPr>
        <w:t>Vingt-huitième session</w:t>
      </w:r>
    </w:p>
    <w:p w:rsidR="006C0824" w:rsidRPr="00294D47" w:rsidRDefault="006C0824" w:rsidP="006C0824">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294D47">
        <w:rPr>
          <w:lang w:val="fr-CH"/>
        </w:rPr>
        <w:t>Genève, 25-29 janvier 2016</w:t>
      </w:r>
    </w:p>
    <w:p w:rsidR="006C0824" w:rsidRPr="00294D47" w:rsidRDefault="006C0824" w:rsidP="006C0824">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294D47">
        <w:rPr>
          <w:lang w:val="fr-CH"/>
        </w:rPr>
        <w:t>Point 1 de l’ordre du jour provisoire</w:t>
      </w:r>
    </w:p>
    <w:p w:rsidR="006C0824" w:rsidRPr="00294D47" w:rsidRDefault="006C0824" w:rsidP="006C082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294D47">
        <w:rPr>
          <w:lang w:val="fr-CH"/>
        </w:rPr>
        <w:t>Adoption de l’ordre du jour</w:t>
      </w:r>
    </w:p>
    <w:p w:rsidR="006C0824" w:rsidRPr="00294D47" w:rsidRDefault="006C0824" w:rsidP="006C0824">
      <w:pPr>
        <w:spacing w:line="120" w:lineRule="exact"/>
        <w:rPr>
          <w:sz w:val="10"/>
          <w:lang w:val="fr-CH"/>
        </w:rPr>
      </w:pPr>
    </w:p>
    <w:p w:rsidR="006C0824" w:rsidRPr="00294D47" w:rsidRDefault="006C0824" w:rsidP="006C0824">
      <w:pPr>
        <w:spacing w:line="120" w:lineRule="exact"/>
        <w:rPr>
          <w:sz w:val="10"/>
          <w:lang w:val="fr-CH"/>
        </w:rPr>
      </w:pPr>
    </w:p>
    <w:p w:rsidR="006C0824" w:rsidRPr="00294D47" w:rsidRDefault="006C0824" w:rsidP="006C0824">
      <w:pPr>
        <w:spacing w:line="120" w:lineRule="exact"/>
        <w:rPr>
          <w:sz w:val="10"/>
          <w:lang w:val="fr-CH"/>
        </w:rPr>
      </w:pPr>
    </w:p>
    <w:p w:rsidR="006C0824" w:rsidRPr="00294D47" w:rsidRDefault="006C0824" w:rsidP="006C0824">
      <w:pPr>
        <w:pStyle w:val="HCH"/>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294D47">
        <w:rPr>
          <w:lang w:val="fr-CH"/>
        </w:rPr>
        <w:tab/>
      </w:r>
      <w:r w:rsidRPr="00294D47">
        <w:rPr>
          <w:lang w:val="fr-CH"/>
        </w:rPr>
        <w:tab/>
        <w:t>Ordre du jour provisoire de la session</w:t>
      </w:r>
      <w:r w:rsidRPr="00294D47">
        <w:rPr>
          <w:rStyle w:val="FootnoteReference"/>
          <w:b w:val="0"/>
          <w:sz w:val="20"/>
          <w:szCs w:val="20"/>
          <w:lang w:val="fr-CH"/>
        </w:rPr>
        <w:footnoteReference w:id="1"/>
      </w:r>
    </w:p>
    <w:p w:rsidR="006C0824" w:rsidRPr="00294D47" w:rsidRDefault="006C0824" w:rsidP="006C0824">
      <w:pPr>
        <w:spacing w:line="120" w:lineRule="exact"/>
        <w:rPr>
          <w:sz w:val="10"/>
          <w:lang w:val="fr-CH"/>
        </w:rPr>
      </w:pPr>
    </w:p>
    <w:p w:rsidR="006C0824" w:rsidRPr="00294D47" w:rsidRDefault="006C0824" w:rsidP="006C0824">
      <w:pPr>
        <w:spacing w:line="120" w:lineRule="exact"/>
        <w:rPr>
          <w:sz w:val="10"/>
          <w:lang w:val="fr-CH"/>
        </w:rPr>
      </w:pPr>
    </w:p>
    <w:p w:rsidR="006C0824" w:rsidRPr="00294D47" w:rsidRDefault="006C0824" w:rsidP="006C082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294D47">
        <w:rPr>
          <w:lang w:val="fr-CH"/>
        </w:rPr>
        <w:tab/>
      </w:r>
      <w:r w:rsidRPr="00294D47">
        <w:rPr>
          <w:lang w:val="fr-CH"/>
        </w:rPr>
        <w:tab/>
        <w:t>Additif</w:t>
      </w:r>
    </w:p>
    <w:p w:rsidR="006C0824" w:rsidRPr="00294D47" w:rsidRDefault="006C0824" w:rsidP="006C0824">
      <w:pPr>
        <w:spacing w:line="120" w:lineRule="exact"/>
        <w:rPr>
          <w:sz w:val="10"/>
          <w:lang w:val="fr-CH"/>
        </w:rPr>
      </w:pPr>
    </w:p>
    <w:p w:rsidR="006C0824" w:rsidRPr="00294D47" w:rsidRDefault="006C0824" w:rsidP="006C082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94D47">
        <w:rPr>
          <w:lang w:val="fr-CH"/>
        </w:rPr>
        <w:tab/>
      </w:r>
      <w:r w:rsidRPr="00294D47">
        <w:rPr>
          <w:lang w:val="fr-CH"/>
        </w:rPr>
        <w:tab/>
        <w:t xml:space="preserve">Liste des documents classés par point de l’ordre </w:t>
      </w:r>
      <w:r w:rsidRPr="00294D47">
        <w:rPr>
          <w:lang w:val="fr-CH"/>
        </w:rPr>
        <w:br/>
        <w:t>du jour et annotations</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spacing w:after="0" w:line="120" w:lineRule="exact"/>
        <w:rPr>
          <w:sz w:val="10"/>
          <w:lang w:val="fr-CH"/>
        </w:rPr>
      </w:pPr>
    </w:p>
    <w:p w:rsidR="006C0824" w:rsidRPr="00294D47" w:rsidRDefault="006C0824" w:rsidP="006C08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94D47">
        <w:rPr>
          <w:lang w:val="fr-CH"/>
        </w:rPr>
        <w:tab/>
        <w:t>1.</w:t>
      </w:r>
      <w:r w:rsidRPr="00294D47">
        <w:rPr>
          <w:lang w:val="fr-CH"/>
        </w:rPr>
        <w:tab/>
        <w:t>Adoption de l’ordre du jour</w:t>
      </w:r>
    </w:p>
    <w:p w:rsidR="006C0824" w:rsidRPr="00294D47" w:rsidRDefault="006C0824" w:rsidP="006C0824">
      <w:pPr>
        <w:pStyle w:val="SingleTxt"/>
        <w:spacing w:after="0" w:line="120" w:lineRule="exact"/>
        <w:rPr>
          <w:sz w:val="10"/>
          <w:lang w:val="fr-CH"/>
        </w:rPr>
      </w:pPr>
    </w:p>
    <w:tbl>
      <w:tblPr>
        <w:tblW w:w="7461" w:type="dxa"/>
        <w:tblInd w:w="1287" w:type="dxa"/>
        <w:tblLayout w:type="fixed"/>
        <w:tblCellMar>
          <w:left w:w="0" w:type="dxa"/>
          <w:right w:w="0" w:type="dxa"/>
        </w:tblCellMar>
        <w:tblLook w:val="0000" w:firstRow="0" w:lastRow="0" w:firstColumn="0" w:lastColumn="0" w:noHBand="0" w:noVBand="0"/>
      </w:tblPr>
      <w:tblGrid>
        <w:gridCol w:w="3794"/>
        <w:gridCol w:w="3667"/>
      </w:tblGrid>
      <w:tr w:rsidR="006C0824" w:rsidRPr="00294D47" w:rsidTr="003C3610">
        <w:tc>
          <w:tcPr>
            <w:tcW w:w="3794" w:type="dxa"/>
            <w:shd w:val="clear" w:color="auto" w:fill="auto"/>
          </w:tcPr>
          <w:p w:rsidR="006C0824" w:rsidRPr="00294D47" w:rsidRDefault="006C0824" w:rsidP="003C3610">
            <w:pPr>
              <w:spacing w:after="120"/>
              <w:rPr>
                <w:lang w:val="fr-CH"/>
              </w:rPr>
            </w:pPr>
            <w:r w:rsidRPr="00294D47">
              <w:rPr>
                <w:lang w:val="fr-CH"/>
              </w:rPr>
              <w:t xml:space="preserve">ECE/TRANS/WP.15/AC.2/57 </w:t>
            </w:r>
            <w:r w:rsidRPr="00294D47">
              <w:rPr>
                <w:lang w:val="fr-CH"/>
              </w:rPr>
              <w:br/>
              <w:t>(secrétariat)</w:t>
            </w:r>
          </w:p>
        </w:tc>
        <w:tc>
          <w:tcPr>
            <w:tcW w:w="3667" w:type="dxa"/>
            <w:shd w:val="clear" w:color="auto" w:fill="auto"/>
          </w:tcPr>
          <w:p w:rsidR="006C0824" w:rsidRPr="00294D47" w:rsidRDefault="006C0824" w:rsidP="003C3610">
            <w:pPr>
              <w:spacing w:after="120"/>
              <w:rPr>
                <w:lang w:val="fr-CH"/>
              </w:rPr>
            </w:pPr>
            <w:r w:rsidRPr="00294D47">
              <w:rPr>
                <w:lang w:val="fr-CH"/>
              </w:rPr>
              <w:t>Ordre du jour provisoire</w:t>
            </w:r>
          </w:p>
        </w:tc>
      </w:tr>
      <w:tr w:rsidR="006C0824" w:rsidRPr="00294D47" w:rsidTr="003C3610">
        <w:tc>
          <w:tcPr>
            <w:tcW w:w="3794" w:type="dxa"/>
            <w:shd w:val="clear" w:color="auto" w:fill="auto"/>
          </w:tcPr>
          <w:p w:rsidR="006C0824" w:rsidRPr="00294D47" w:rsidRDefault="006C0824" w:rsidP="003C3610">
            <w:pPr>
              <w:spacing w:after="120"/>
              <w:rPr>
                <w:lang w:val="fr-CH"/>
              </w:rPr>
            </w:pPr>
            <w:r w:rsidRPr="00294D47">
              <w:rPr>
                <w:lang w:val="fr-CH"/>
              </w:rPr>
              <w:t>ECE/TRANS/WP.15/AC.2/57/Add.1 (secrétariat)</w:t>
            </w:r>
          </w:p>
        </w:tc>
        <w:tc>
          <w:tcPr>
            <w:tcW w:w="3667" w:type="dxa"/>
            <w:shd w:val="clear" w:color="auto" w:fill="auto"/>
          </w:tcPr>
          <w:p w:rsidR="006C0824" w:rsidRPr="00294D47" w:rsidRDefault="006C0824" w:rsidP="003C3610">
            <w:pPr>
              <w:spacing w:after="120"/>
              <w:rPr>
                <w:lang w:val="fr-CH"/>
              </w:rPr>
            </w:pPr>
            <w:r w:rsidRPr="00294D47">
              <w:rPr>
                <w:lang w:val="fr-CH"/>
              </w:rPr>
              <w:t>Liste des documents classés par point de l’ordre du jour et annotations</w:t>
            </w:r>
          </w:p>
        </w:tc>
      </w:tr>
      <w:tr w:rsidR="006C0824" w:rsidRPr="00294D47" w:rsidTr="003C3610">
        <w:tc>
          <w:tcPr>
            <w:tcW w:w="3794" w:type="dxa"/>
            <w:shd w:val="clear" w:color="auto" w:fill="auto"/>
          </w:tcPr>
          <w:p w:rsidR="006C0824" w:rsidRPr="00294D47" w:rsidRDefault="006C0824" w:rsidP="003C3610">
            <w:pPr>
              <w:spacing w:after="120"/>
              <w:rPr>
                <w:lang w:val="fr-CH"/>
              </w:rPr>
            </w:pPr>
            <w:r w:rsidRPr="00294D47">
              <w:rPr>
                <w:lang w:val="fr-CH"/>
              </w:rPr>
              <w:t>Documents de référence</w:t>
            </w:r>
          </w:p>
        </w:tc>
        <w:tc>
          <w:tcPr>
            <w:tcW w:w="3667" w:type="dxa"/>
            <w:shd w:val="clear" w:color="auto" w:fill="auto"/>
          </w:tcPr>
          <w:p w:rsidR="006C0824" w:rsidRPr="00294D47" w:rsidRDefault="006C0824" w:rsidP="003C3610">
            <w:pPr>
              <w:spacing w:after="120"/>
              <w:rPr>
                <w:lang w:val="fr-CH"/>
              </w:rPr>
            </w:pPr>
          </w:p>
        </w:tc>
      </w:tr>
      <w:tr w:rsidR="006C0824" w:rsidRPr="00294D47" w:rsidTr="003C3610">
        <w:tc>
          <w:tcPr>
            <w:tcW w:w="3794" w:type="dxa"/>
            <w:shd w:val="clear" w:color="auto" w:fill="auto"/>
          </w:tcPr>
          <w:p w:rsidR="006C0824" w:rsidRPr="00294D47" w:rsidRDefault="006C0824" w:rsidP="003C3610">
            <w:pPr>
              <w:spacing w:after="120"/>
              <w:rPr>
                <w:lang w:val="fr-CH"/>
              </w:rPr>
            </w:pPr>
            <w:r w:rsidRPr="00294D47">
              <w:rPr>
                <w:lang w:val="fr-CH"/>
              </w:rPr>
              <w:t>ECE/TRANS/243, vol. I et II et Corr.1 à 3</w:t>
            </w:r>
          </w:p>
        </w:tc>
        <w:tc>
          <w:tcPr>
            <w:tcW w:w="3667" w:type="dxa"/>
            <w:shd w:val="clear" w:color="auto" w:fill="auto"/>
          </w:tcPr>
          <w:p w:rsidR="006C0824" w:rsidRPr="00294D47" w:rsidRDefault="006C0824" w:rsidP="003C3610">
            <w:pPr>
              <w:spacing w:after="120"/>
              <w:rPr>
                <w:lang w:val="fr-CH"/>
              </w:rPr>
            </w:pPr>
            <w:r w:rsidRPr="00294D47">
              <w:rPr>
                <w:lang w:val="fr-CH"/>
              </w:rPr>
              <w:t>ADN 2015 (texte de synthèse)</w:t>
            </w:r>
          </w:p>
        </w:tc>
      </w:tr>
      <w:tr w:rsidR="006C0824" w:rsidRPr="00294D47" w:rsidTr="003C3610">
        <w:tc>
          <w:tcPr>
            <w:tcW w:w="3794" w:type="dxa"/>
            <w:shd w:val="clear" w:color="auto" w:fill="auto"/>
          </w:tcPr>
          <w:p w:rsidR="006C0824" w:rsidRPr="00294D47" w:rsidRDefault="006C0824" w:rsidP="003C3610">
            <w:pPr>
              <w:spacing w:after="120"/>
              <w:rPr>
                <w:lang w:val="fr-CH"/>
              </w:rPr>
            </w:pPr>
            <w:r w:rsidRPr="00294D47">
              <w:rPr>
                <w:lang w:val="fr-CH"/>
              </w:rPr>
              <w:t>ECE/TRANS/WP.15/AC.2/56</w:t>
            </w:r>
          </w:p>
        </w:tc>
        <w:tc>
          <w:tcPr>
            <w:tcW w:w="3667" w:type="dxa"/>
            <w:shd w:val="clear" w:color="auto" w:fill="auto"/>
          </w:tcPr>
          <w:p w:rsidR="006C0824" w:rsidRPr="00294D47" w:rsidRDefault="006C0824" w:rsidP="003C3610">
            <w:pPr>
              <w:spacing w:after="120"/>
              <w:rPr>
                <w:lang w:val="fr-CH"/>
              </w:rPr>
            </w:pPr>
            <w:r w:rsidRPr="00294D47">
              <w:rPr>
                <w:lang w:val="fr-CH"/>
              </w:rPr>
              <w:t>Rapport du Comité de sécurité de l’ADN sur sa vingt-septième session</w:t>
            </w:r>
          </w:p>
        </w:tc>
      </w:tr>
    </w:tbl>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spacing w:after="0" w:line="120" w:lineRule="exact"/>
        <w:rPr>
          <w:sz w:val="10"/>
          <w:lang w:val="fr-CH"/>
        </w:rPr>
      </w:pPr>
    </w:p>
    <w:p w:rsidR="006C0824" w:rsidRPr="00294D47" w:rsidRDefault="006C0824" w:rsidP="006C08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94D47">
        <w:rPr>
          <w:lang w:val="fr-CH"/>
        </w:rPr>
        <w:tab/>
        <w:t>2.</w:t>
      </w:r>
      <w:r w:rsidRPr="00294D47">
        <w:rPr>
          <w:lang w:val="fr-CH"/>
        </w:rPr>
        <w:tab/>
        <w:t>Élection du Bureau pour 2016</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rPr>
          <w:lang w:val="fr-CH"/>
        </w:rPr>
      </w:pPr>
      <w:r w:rsidRPr="00294D47">
        <w:rPr>
          <w:lang w:val="fr-CH"/>
        </w:rPr>
        <w:tab/>
        <w:t>Le Comité de sécurité devrait élire un président et un vice-président pour ses sessions de 2016.</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94D47">
        <w:rPr>
          <w:lang w:val="fr-CH"/>
        </w:rPr>
        <w:lastRenderedPageBreak/>
        <w:tab/>
        <w:t>3.</w:t>
      </w:r>
      <w:r w:rsidRPr="00294D47">
        <w:rPr>
          <w:lang w:val="fr-CH"/>
        </w:rPr>
        <w:tab/>
        <w:t xml:space="preserve">Questions découlant des travaux d’organes des Nations Unies </w:t>
      </w:r>
      <w:r w:rsidRPr="00294D47">
        <w:rPr>
          <w:lang w:val="fr-CH"/>
        </w:rPr>
        <w:br/>
        <w:t>ou d’autres organisations</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rPr>
          <w:lang w:val="fr-CH"/>
        </w:rPr>
      </w:pPr>
      <w:r w:rsidRPr="00294D47">
        <w:rPr>
          <w:lang w:val="fr-CH"/>
        </w:rPr>
        <w:tab/>
        <w:t>Le Comité de sécurité souhaitera sans doute être informé des activités d’autres organes et organisations ayant une incidence sur ses travaux.</w:t>
      </w:r>
    </w:p>
    <w:p w:rsidR="006C0824" w:rsidRPr="00294D47" w:rsidRDefault="006C0824" w:rsidP="006C0824">
      <w:pPr>
        <w:pStyle w:val="SingleTxt"/>
        <w:tabs>
          <w:tab w:val="left" w:pos="8640"/>
        </w:tabs>
        <w:rPr>
          <w:lang w:val="fr-CH"/>
        </w:rPr>
      </w:pPr>
      <w:r w:rsidRPr="00294D47">
        <w:rPr>
          <w:lang w:val="fr-CH"/>
        </w:rPr>
        <w:tab/>
        <w:t>Le Comité de sécurité sera informé de l’évaluation par le secrétariat de la CEE des incidences mondiales et régionales des Règlements CEE mais aussi des Recommandations de l’ONU relatives au transport des marchandises dangereuses.</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94D47">
        <w:rPr>
          <w:lang w:val="fr-CH"/>
        </w:rPr>
        <w:tab/>
        <w:t>4.</w:t>
      </w:r>
      <w:r w:rsidRPr="00294D47">
        <w:rPr>
          <w:lang w:val="fr-CH"/>
        </w:rPr>
        <w:tab/>
        <w:t xml:space="preserve">Mise en œuvre de l’Accord européen relatif au transport international </w:t>
      </w:r>
      <w:r w:rsidRPr="00294D47">
        <w:rPr>
          <w:lang w:val="fr-CH"/>
        </w:rPr>
        <w:br/>
        <w:t>des marchandises dangereuses par voies de navigation intérieures (ADN)</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rPr>
          <w:lang w:val="fr-CH"/>
        </w:rPr>
      </w:pPr>
      <w:r w:rsidRPr="00294D47">
        <w:rPr>
          <w:lang w:val="fr-CH"/>
        </w:rPr>
        <w:tab/>
        <w:t>a)</w:t>
      </w:r>
      <w:r w:rsidRPr="00294D47">
        <w:rPr>
          <w:lang w:val="fr-CH"/>
        </w:rPr>
        <w:tab/>
        <w:t>État de l’ADN</w:t>
      </w:r>
    </w:p>
    <w:p w:rsidR="006C0824" w:rsidRPr="00294D47" w:rsidRDefault="006C0824" w:rsidP="006C0824">
      <w:pPr>
        <w:pStyle w:val="SingleTxt"/>
        <w:rPr>
          <w:lang w:val="fr-CH"/>
        </w:rPr>
      </w:pPr>
      <w:r w:rsidRPr="00294D47">
        <w:rPr>
          <w:lang w:val="fr-CH"/>
        </w:rPr>
        <w:tab/>
        <w:t>Le Comité de sécurité sera informé de l’état de l’ADN.</w:t>
      </w:r>
    </w:p>
    <w:p w:rsidR="006C0824" w:rsidRPr="00294D47" w:rsidRDefault="006C0824" w:rsidP="006C0824">
      <w:pPr>
        <w:pStyle w:val="SingleTxt"/>
        <w:rPr>
          <w:lang w:val="fr-CH"/>
        </w:rPr>
      </w:pPr>
      <w:r w:rsidRPr="00294D47">
        <w:rPr>
          <w:lang w:val="fr-CH"/>
        </w:rPr>
        <w:tab/>
        <w:t>b)</w:t>
      </w:r>
      <w:r w:rsidRPr="00294D47">
        <w:rPr>
          <w:lang w:val="fr-CH"/>
        </w:rPr>
        <w:tab/>
        <w:t>Autorisations spéciales, dérogations et équivalences</w:t>
      </w:r>
    </w:p>
    <w:p w:rsidR="006C0824" w:rsidRPr="00294D47" w:rsidRDefault="006C0824" w:rsidP="006C0824">
      <w:pPr>
        <w:pStyle w:val="SingleTxt"/>
        <w:spacing w:after="0" w:line="120" w:lineRule="exact"/>
        <w:rPr>
          <w:sz w:val="10"/>
          <w:lang w:val="fr-CH"/>
        </w:rPr>
      </w:pPr>
    </w:p>
    <w:tbl>
      <w:tblPr>
        <w:tblW w:w="7461" w:type="dxa"/>
        <w:tblInd w:w="1287" w:type="dxa"/>
        <w:tblLayout w:type="fixed"/>
        <w:tblCellMar>
          <w:left w:w="0" w:type="dxa"/>
          <w:right w:w="0" w:type="dxa"/>
        </w:tblCellMar>
        <w:tblLook w:val="0000" w:firstRow="0" w:lastRow="0" w:firstColumn="0" w:lastColumn="0" w:noHBand="0" w:noVBand="0"/>
      </w:tblPr>
      <w:tblGrid>
        <w:gridCol w:w="3794"/>
        <w:gridCol w:w="3667"/>
      </w:tblGrid>
      <w:tr w:rsidR="006C0824" w:rsidRPr="00294D47" w:rsidTr="003C3610">
        <w:tc>
          <w:tcPr>
            <w:tcW w:w="3794" w:type="dxa"/>
            <w:shd w:val="clear" w:color="auto" w:fill="auto"/>
          </w:tcPr>
          <w:p w:rsidR="006C0824" w:rsidRPr="00294D47" w:rsidRDefault="006C0824" w:rsidP="003C3610">
            <w:pPr>
              <w:spacing w:after="120"/>
              <w:rPr>
                <w:lang w:val="fr-CH"/>
              </w:rPr>
            </w:pPr>
            <w:r w:rsidRPr="00294D47">
              <w:rPr>
                <w:lang w:val="fr-CH"/>
              </w:rPr>
              <w:t>INF.02 (Pays-Bas)</w:t>
            </w:r>
          </w:p>
        </w:tc>
        <w:tc>
          <w:tcPr>
            <w:tcW w:w="3667" w:type="dxa"/>
            <w:shd w:val="clear" w:color="auto" w:fill="auto"/>
          </w:tcPr>
          <w:p w:rsidR="006C0824" w:rsidRPr="00294D47" w:rsidRDefault="006C0824" w:rsidP="003C3610">
            <w:pPr>
              <w:spacing w:after="120"/>
              <w:rPr>
                <w:lang w:val="fr-CH"/>
              </w:rPr>
            </w:pPr>
            <w:r w:rsidRPr="00294D47">
              <w:rPr>
                <w:spacing w:val="-2"/>
                <w:lang w:val="fr-CH"/>
              </w:rPr>
              <w:t>Autorisations spéciales pour les Nos ONU 2187</w:t>
            </w:r>
            <w:r w:rsidRPr="00294D47">
              <w:rPr>
                <w:lang w:val="fr-CH"/>
              </w:rPr>
              <w:t xml:space="preserve"> et 3295</w:t>
            </w:r>
          </w:p>
        </w:tc>
      </w:tr>
      <w:tr w:rsidR="006C0824" w:rsidRPr="00294D47" w:rsidTr="003C3610">
        <w:tc>
          <w:tcPr>
            <w:tcW w:w="3794" w:type="dxa"/>
            <w:shd w:val="clear" w:color="auto" w:fill="auto"/>
          </w:tcPr>
          <w:p w:rsidR="006C0824" w:rsidRPr="00294D47" w:rsidRDefault="006C0824" w:rsidP="003C3610">
            <w:pPr>
              <w:spacing w:after="120"/>
              <w:rPr>
                <w:lang w:val="fr-CH"/>
              </w:rPr>
            </w:pPr>
            <w:r w:rsidRPr="00294D47">
              <w:rPr>
                <w:lang w:val="fr-CH"/>
              </w:rPr>
              <w:t>INF.03 (Pays-Bas)</w:t>
            </w:r>
          </w:p>
        </w:tc>
        <w:tc>
          <w:tcPr>
            <w:tcW w:w="3667" w:type="dxa"/>
            <w:shd w:val="clear" w:color="auto" w:fill="auto"/>
          </w:tcPr>
          <w:p w:rsidR="006C0824" w:rsidRPr="00294D47" w:rsidRDefault="006C0824" w:rsidP="003C3610">
            <w:pPr>
              <w:spacing w:after="120"/>
              <w:rPr>
                <w:lang w:val="fr-CH"/>
              </w:rPr>
            </w:pPr>
            <w:r w:rsidRPr="00294D47">
              <w:rPr>
                <w:lang w:val="fr-CH"/>
              </w:rPr>
              <w:t>Dérogation temporaire pour les bateaux</w:t>
            </w:r>
            <w:r>
              <w:rPr>
                <w:lang w:val="fr-CH"/>
              </w:rPr>
              <w:t>-</w:t>
            </w:r>
            <w:r w:rsidRPr="00294D47">
              <w:rPr>
                <w:lang w:val="fr-CH"/>
              </w:rPr>
              <w:t xml:space="preserve"> citernes </w:t>
            </w:r>
            <w:proofErr w:type="spellStart"/>
            <w:r w:rsidRPr="00294D47">
              <w:rPr>
                <w:lang w:val="fr-CH"/>
              </w:rPr>
              <w:t>Chemgas</w:t>
            </w:r>
            <w:proofErr w:type="spellEnd"/>
            <w:r w:rsidRPr="00294D47">
              <w:rPr>
                <w:lang w:val="fr-CH"/>
              </w:rPr>
              <w:t xml:space="preserve"> 851</w:t>
            </w:r>
          </w:p>
        </w:tc>
      </w:tr>
    </w:tbl>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rPr>
          <w:lang w:val="fr-CH"/>
        </w:rPr>
      </w:pPr>
      <w:r w:rsidRPr="00294D47">
        <w:rPr>
          <w:lang w:val="fr-CH"/>
        </w:rPr>
        <w:tab/>
        <w:t>Toutes les autres propositions d’autorisation spéciale ou de dérogation reçues par le secrétariat après la publication du présent ordre du jour provisoire feront l’objet de documents sans cote.</w:t>
      </w:r>
    </w:p>
    <w:p w:rsidR="006C0824" w:rsidRPr="00294D47" w:rsidRDefault="006C0824" w:rsidP="006C0824">
      <w:pPr>
        <w:pStyle w:val="SingleTxt"/>
        <w:rPr>
          <w:lang w:val="fr-CH"/>
        </w:rPr>
      </w:pPr>
      <w:r w:rsidRPr="00294D47">
        <w:rPr>
          <w:lang w:val="fr-CH"/>
        </w:rPr>
        <w:tab/>
        <w:t>c)</w:t>
      </w:r>
      <w:r w:rsidRPr="00294D47">
        <w:rPr>
          <w:lang w:val="fr-CH"/>
        </w:rPr>
        <w:tab/>
        <w:t>Interprétation du Règlement annexé à l’ADN</w:t>
      </w:r>
    </w:p>
    <w:p w:rsidR="006C0824" w:rsidRPr="00294D47" w:rsidRDefault="006C0824" w:rsidP="006C0824">
      <w:pPr>
        <w:pStyle w:val="SingleTxt"/>
        <w:rPr>
          <w:lang w:val="fr-CH"/>
        </w:rPr>
      </w:pPr>
      <w:r w:rsidRPr="00294D47">
        <w:rPr>
          <w:lang w:val="fr-CH"/>
        </w:rPr>
        <w:tab/>
        <w:t>Le Comité de sécurité est prié d’examiner l’interprétation de toutes les dispositions du Règlement annexé à l’ADN qui sont considérées comme ambiguës.</w:t>
      </w:r>
    </w:p>
    <w:p w:rsidR="006C0824" w:rsidRPr="00294D47" w:rsidRDefault="006C0824" w:rsidP="006C0824">
      <w:pPr>
        <w:pStyle w:val="SingleTxt"/>
        <w:tabs>
          <w:tab w:val="left" w:pos="8640"/>
        </w:tabs>
        <w:rPr>
          <w:lang w:val="fr-CH"/>
        </w:rPr>
      </w:pPr>
      <w:r w:rsidRPr="00294D47">
        <w:rPr>
          <w:lang w:val="fr-CH"/>
        </w:rPr>
        <w:tab/>
        <w:t>d)</w:t>
      </w:r>
      <w:r w:rsidRPr="00294D47">
        <w:rPr>
          <w:lang w:val="fr-CH"/>
        </w:rPr>
        <w:tab/>
        <w:t>Formation des experts</w:t>
      </w:r>
    </w:p>
    <w:p w:rsidR="006C0824" w:rsidRPr="00294D47" w:rsidRDefault="006C0824" w:rsidP="006C0824">
      <w:pPr>
        <w:pStyle w:val="SingleTxt"/>
        <w:rPr>
          <w:lang w:val="fr-CH"/>
        </w:rPr>
      </w:pPr>
      <w:r w:rsidRPr="00294D47">
        <w:rPr>
          <w:lang w:val="fr-CH"/>
        </w:rPr>
        <w:tab/>
        <w:t xml:space="preserve">Le Comité de sécurité souhaitera peut-être examiner les renseignements communiqués par l’Allemagne à propos des cours de formation ADN agréés (ECE/TRANS/WP.15/AC.2/2016/19). Il a proposé des modifications à la directive sur l’utilisation du catalogue des questions qui doit être soumis à l’examen de l’expert de l’ADN transmise par la Belgique (ECE/TRANS/WP.15/AC.2/2016/27). </w:t>
      </w:r>
    </w:p>
    <w:p w:rsidR="006C0824" w:rsidRPr="00294D47" w:rsidRDefault="006C0824" w:rsidP="006C0824">
      <w:pPr>
        <w:pStyle w:val="SingleTxt"/>
        <w:rPr>
          <w:lang w:val="fr-CH"/>
        </w:rPr>
      </w:pPr>
      <w:r w:rsidRPr="00294D47">
        <w:rPr>
          <w:lang w:val="fr-CH"/>
        </w:rPr>
        <w:tab/>
        <w:t>Toutes les propositions reçues après la publication du présent ordre du jour provisoire feront l’objet de document sans cote.</w:t>
      </w:r>
    </w:p>
    <w:p w:rsidR="006C0824" w:rsidRPr="00294D47" w:rsidRDefault="006C0824" w:rsidP="006C0824">
      <w:pPr>
        <w:pStyle w:val="SingleTxt"/>
        <w:rPr>
          <w:lang w:val="fr-CH"/>
        </w:rPr>
      </w:pPr>
      <w:r w:rsidRPr="00294D47">
        <w:rPr>
          <w:lang w:val="fr-CH"/>
        </w:rPr>
        <w:tab/>
        <w:t>e)</w:t>
      </w:r>
      <w:r w:rsidRPr="00294D47">
        <w:rPr>
          <w:lang w:val="fr-CH"/>
        </w:rPr>
        <w:tab/>
        <w:t>Questions relatives aux sociétés de classification</w:t>
      </w:r>
    </w:p>
    <w:p w:rsidR="006C0824" w:rsidRDefault="006C0824" w:rsidP="006C0824">
      <w:pPr>
        <w:pStyle w:val="SingleTxt"/>
        <w:rPr>
          <w:lang w:val="fr-CH"/>
        </w:rPr>
      </w:pPr>
      <w:r w:rsidRPr="00294D47">
        <w:rPr>
          <w:lang w:val="fr-CH"/>
        </w:rPr>
        <w:tab/>
        <w:t>La liste des sociétés de classification agréées par les Parties contractantes à l’ADN peut être consultée à l’adresse suivante : www.unece.org/trans/danger/publi/</w:t>
      </w:r>
      <w:r w:rsidRPr="00294D47">
        <w:rPr>
          <w:lang w:val="fr-CH"/>
        </w:rPr>
        <w:br/>
      </w:r>
      <w:proofErr w:type="spellStart"/>
      <w:r w:rsidRPr="00294D47">
        <w:rPr>
          <w:lang w:val="fr-CH"/>
        </w:rPr>
        <w:t>adn</w:t>
      </w:r>
      <w:proofErr w:type="spellEnd"/>
      <w:r w:rsidRPr="00294D47">
        <w:rPr>
          <w:lang w:val="fr-CH"/>
        </w:rPr>
        <w:t>/adnclassifications.html. Aucun</w:t>
      </w:r>
      <w:r>
        <w:rPr>
          <w:lang w:val="fr-CH"/>
        </w:rPr>
        <w:t xml:space="preserve"> </w:t>
      </w:r>
      <w:r w:rsidRPr="00294D47">
        <w:rPr>
          <w:lang w:val="fr-CH"/>
        </w:rPr>
        <w:t>nouvel</w:t>
      </w:r>
      <w:r>
        <w:rPr>
          <w:lang w:val="fr-CH"/>
        </w:rPr>
        <w:t xml:space="preserve"> agrément de</w:t>
      </w:r>
      <w:r w:rsidRPr="00294D47">
        <w:rPr>
          <w:lang w:val="fr-CH"/>
        </w:rPr>
        <w:t xml:space="preserve"> société de classification n’a été </w:t>
      </w:r>
      <w:proofErr w:type="gramStart"/>
      <w:r w:rsidRPr="00294D47">
        <w:rPr>
          <w:lang w:val="fr-CH"/>
        </w:rPr>
        <w:t>annoncée</w:t>
      </w:r>
      <w:proofErr w:type="gramEnd"/>
      <w:r w:rsidRPr="00294D47">
        <w:rPr>
          <w:lang w:val="fr-CH"/>
        </w:rPr>
        <w:t xml:space="preserve"> au secrétariat depuis la dernière session du Comité de sécurité. </w:t>
      </w:r>
    </w:p>
    <w:p w:rsidR="006C0824" w:rsidRPr="00294D47" w:rsidRDefault="006C0824" w:rsidP="006C0824">
      <w:pPr>
        <w:pStyle w:val="SingleTxt"/>
        <w:rPr>
          <w:lang w:val="fr-CH"/>
        </w:rPr>
      </w:pPr>
      <w:r>
        <w:rPr>
          <w:lang w:val="fr-CH"/>
        </w:rPr>
        <w:tab/>
      </w:r>
      <w:r w:rsidRPr="00294D47">
        <w:rPr>
          <w:lang w:val="fr-CH"/>
        </w:rPr>
        <w:t xml:space="preserve">Comme l’a noté le Comité de sécurité à sa vingt-septième session (ECE/TRANS/WP.15/AC.2/56, par. 8 à 10), les preuves de certification selon la norme EN ISO/CEI 17020:2012 fournies par les sociétés de classification recommandées ADN, à l’exception du Shipping </w:t>
      </w:r>
      <w:proofErr w:type="spellStart"/>
      <w:r w:rsidRPr="00294D47">
        <w:rPr>
          <w:lang w:val="fr-CH"/>
        </w:rPr>
        <w:t>Register</w:t>
      </w:r>
      <w:proofErr w:type="spellEnd"/>
      <w:r>
        <w:rPr>
          <w:lang w:val="fr-CH"/>
        </w:rPr>
        <w:t xml:space="preserve"> of </w:t>
      </w:r>
      <w:r w:rsidRPr="00294D47">
        <w:rPr>
          <w:lang w:val="fr-CH"/>
        </w:rPr>
        <w:t>Ukraine sont insuffisantes et devraient être étayées en vue de la vingt-huitième session du Comité de sécurité.</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94D47">
        <w:rPr>
          <w:lang w:val="fr-CH"/>
        </w:rPr>
        <w:tab/>
        <w:t>5.</w:t>
      </w:r>
      <w:r w:rsidRPr="00294D47">
        <w:rPr>
          <w:lang w:val="fr-CH"/>
        </w:rPr>
        <w:tab/>
        <w:t>Propositions d’amendements au Règlement annexé à l’ADN</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rPr>
          <w:lang w:val="fr-CH"/>
        </w:rPr>
      </w:pPr>
      <w:r w:rsidRPr="00294D47">
        <w:rPr>
          <w:lang w:val="fr-CH"/>
        </w:rPr>
        <w:tab/>
        <w:t>a)</w:t>
      </w:r>
      <w:r w:rsidRPr="00294D47">
        <w:rPr>
          <w:lang w:val="fr-CH"/>
        </w:rPr>
        <w:tab/>
        <w:t>Travaux de la Réunion commune RID/ADR/ADN</w:t>
      </w:r>
    </w:p>
    <w:p w:rsidR="006C0824" w:rsidRPr="00294D47" w:rsidRDefault="006C0824" w:rsidP="006C0824">
      <w:pPr>
        <w:pStyle w:val="SingleTxt"/>
        <w:rPr>
          <w:lang w:val="fr-CH"/>
        </w:rPr>
      </w:pPr>
      <w:r w:rsidRPr="00294D47">
        <w:rPr>
          <w:lang w:val="fr-CH"/>
        </w:rPr>
        <w:lastRenderedPageBreak/>
        <w:tab/>
        <w:t>Le Comité de sécurité souhaitera peut-être examiner les projets d’amendements se rapportant à l’ADN qui ont été adoptés par la Réunion commune RID/ADR/ADN, sur la base des propositions formulées par le Groupe de travail ad hoc de l’harmonisation des règlements RID/ADR/ADN avec les Recommandations de l’ONU relatives au transport des marchandises dangereuses (ECE/TRANS/WP.15/ AC.2/2016/1), ainsi que toutes les modifications ou corrections qui auront été proposées lors de la quatre-vingt-dix-neuvième session du Groupe de travail des transports de marchandises dangereuses (WP.15) (9-13 novembre 2015) (voir ECE/TRANS/WP.15/230 et Add.1).</w:t>
      </w:r>
    </w:p>
    <w:p w:rsidR="006C0824" w:rsidRPr="00294D47" w:rsidRDefault="006C0824" w:rsidP="006C0824">
      <w:pPr>
        <w:pStyle w:val="SingleTxt"/>
        <w:rPr>
          <w:lang w:val="fr-CH"/>
        </w:rPr>
      </w:pPr>
      <w:r w:rsidRPr="00294D47">
        <w:rPr>
          <w:lang w:val="fr-CH"/>
        </w:rPr>
        <w:tab/>
        <w:t>La Réunion commune RID/ADR/ADN a tenu sa session d’automne 2015 à Genève du 15 au 25 septembre. On en trouvera le rapport dans les documents ECE/TRANS/WP.15/AC.1/140 et Add.1 et 2).</w:t>
      </w:r>
    </w:p>
    <w:p w:rsidR="006C0824" w:rsidRPr="00294D47" w:rsidRDefault="006C0824" w:rsidP="006C0824">
      <w:pPr>
        <w:pStyle w:val="SingleTxt"/>
        <w:rPr>
          <w:lang w:val="fr-CH"/>
        </w:rPr>
      </w:pPr>
      <w:r w:rsidRPr="00294D47">
        <w:rPr>
          <w:lang w:val="fr-CH"/>
        </w:rPr>
        <w:tab/>
        <w:t>Les autres propositions d’amendements relatives à l’ADN qui ont été adoptées par la Réunion commune et par le WP.15 en 2014 et en 2015 sont reproduites dans le document ECE/TRANS/WP.15/AC.2/2016/16.</w:t>
      </w:r>
    </w:p>
    <w:p w:rsidR="006C0824" w:rsidRPr="00294D47" w:rsidRDefault="006C0824" w:rsidP="006C0824">
      <w:pPr>
        <w:pStyle w:val="SingleTxt"/>
        <w:rPr>
          <w:lang w:val="fr-CH"/>
        </w:rPr>
      </w:pPr>
      <w:r w:rsidRPr="00294D47">
        <w:rPr>
          <w:lang w:val="fr-CH"/>
        </w:rPr>
        <w:tab/>
        <w:t>b)</w:t>
      </w:r>
      <w:r w:rsidRPr="00294D47">
        <w:rPr>
          <w:lang w:val="fr-CH"/>
        </w:rPr>
        <w:tab/>
        <w:t>Autres propositions</w:t>
      </w:r>
    </w:p>
    <w:p w:rsidR="006C0824" w:rsidRPr="007B786E" w:rsidRDefault="006C0824" w:rsidP="006C0824">
      <w:pPr>
        <w:pStyle w:val="SingleTxt"/>
        <w:rPr>
          <w:lang w:val="fr-CH"/>
        </w:rPr>
      </w:pPr>
      <w:r w:rsidRPr="00294D47">
        <w:rPr>
          <w:lang w:val="fr-CH"/>
        </w:rPr>
        <w:tab/>
        <w:t>Les propositions d’amendements ci-dessous ont été soumises :</w:t>
      </w:r>
    </w:p>
    <w:p w:rsidR="006C0824" w:rsidRPr="007B786E" w:rsidRDefault="006C0824" w:rsidP="006C0824">
      <w:pPr>
        <w:pStyle w:val="SingleTxt"/>
        <w:spacing w:after="0" w:line="120" w:lineRule="exact"/>
        <w:rPr>
          <w:sz w:val="10"/>
          <w:lang w:val="fr-CH"/>
        </w:rPr>
      </w:pPr>
    </w:p>
    <w:tbl>
      <w:tblPr>
        <w:tblW w:w="8777" w:type="dxa"/>
        <w:tblInd w:w="1267" w:type="dxa"/>
        <w:tblLayout w:type="fixed"/>
        <w:tblCellMar>
          <w:left w:w="0" w:type="dxa"/>
          <w:right w:w="0" w:type="dxa"/>
        </w:tblCellMar>
        <w:tblLook w:val="0000" w:firstRow="0" w:lastRow="0" w:firstColumn="0" w:lastColumn="0" w:noHBand="0" w:noVBand="0"/>
      </w:tblPr>
      <w:tblGrid>
        <w:gridCol w:w="3683"/>
        <w:gridCol w:w="5094"/>
      </w:tblGrid>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ECE/TRANS/WP.15/AC.2/2016/2 </w:t>
            </w:r>
            <w:r w:rsidRPr="00294D47">
              <w:rPr>
                <w:lang w:val="fr-CH"/>
              </w:rPr>
              <w:br/>
              <w:t>(CCNR)</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Proposition de modification du tableau C</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ECE/TRANS/WP.15/AC.2/2016/2/Corr.1 (CCNR) (français seulement)</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Proposition de modification du tableau C</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ECE/TRANS/WP.15/AC.2/2016/3 </w:t>
            </w:r>
            <w:r>
              <w:rPr>
                <w:lang w:val="fr-CH"/>
              </w:rPr>
              <w:br/>
            </w:r>
            <w:r w:rsidRPr="00294D47">
              <w:rPr>
                <w:lang w:val="fr-CH"/>
              </w:rPr>
              <w:t>(CCNR)</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Note concernant la classification des flotteurs</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ECE/TRANS/WP.15/AC.2/2016/4 </w:t>
            </w:r>
            <w:r w:rsidRPr="00294D47">
              <w:rPr>
                <w:lang w:val="fr-CH"/>
              </w:rPr>
              <w:br/>
              <w:t>(CCNR)</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 xml:space="preserve">Affectation de sous-groupes dans le groupe d’explosion II B </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ECE/TRANS/WP.15/AC.2/2016/5 </w:t>
            </w:r>
            <w:r w:rsidRPr="00294D47">
              <w:rPr>
                <w:lang w:val="fr-CH"/>
              </w:rPr>
              <w:br/>
              <w:t>(Autriche)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9.3.1.14 – Exigences relatives à la stabilité à l’état intact des bateaux-citernes de type G</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ECE/TRANS/WP.15/AC.2/2016/6 </w:t>
            </w:r>
            <w:r>
              <w:rPr>
                <w:lang w:val="fr-CH"/>
              </w:rPr>
              <w:br/>
            </w:r>
            <w:r w:rsidRPr="00294D47">
              <w:rPr>
                <w:lang w:val="fr-CH"/>
              </w:rPr>
              <w:t>(CCNR)</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Proposition de modification du tableau C</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ECE/TRANS/WP.15/AC.2/2016/7 </w:t>
            </w:r>
            <w:r>
              <w:rPr>
                <w:lang w:val="fr-CH"/>
              </w:rPr>
              <w:br/>
            </w:r>
            <w:r w:rsidRPr="00294D47">
              <w:rPr>
                <w:lang w:val="fr-CH"/>
              </w:rPr>
              <w:t>(CCNR)</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Proposition de texte pour les commentaires relatifs au tableau C et à la colonne (5) « Dangers »</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ECE/TRANS/WP.15/AC.2/2016/8 </w:t>
            </w:r>
            <w:r>
              <w:rPr>
                <w:lang w:val="fr-CH"/>
              </w:rPr>
              <w:br/>
            </w:r>
            <w:r w:rsidRPr="00294D47">
              <w:rPr>
                <w:lang w:val="fr-CH"/>
              </w:rPr>
              <w:t>(CCNR)</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Proposition de modification des observations 35 et 36 dans la colonne 20) du tableau C</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ECE/TRANS/WP.15/AC.2/2016/9 </w:t>
            </w:r>
            <w:r>
              <w:rPr>
                <w:lang w:val="fr-CH"/>
              </w:rPr>
              <w:br/>
            </w:r>
            <w:r w:rsidRPr="00294D47">
              <w:rPr>
                <w:lang w:val="fr-CH"/>
              </w:rPr>
              <w:t>(CCNR)</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Actualisation du critère de la pression de vapeur pour les matières dangereuses pour l’environnement du groupe N1</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ECE/TRANS/WP.15/AC.2/2016/10 (Allemagne)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8.3.1 – Personnes autorisées à bord</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ECE/TRANS/WP.15/AC.2/2016/11 (Allemagne)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1.16.2.5 de l’ADN – Assistance lors de la délivrance des certificats d’agrément</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ECE/TRANS/WP.15/AC.2/2016/12 (Allemagne)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1.4.2.2.1 c) de l’ADN – Obligations du transporteur</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ECE/TRANS/WP.15/AC.2/2016/13 </w:t>
            </w:r>
            <w:r w:rsidRPr="00294D47">
              <w:rPr>
                <w:lang w:val="fr-CH"/>
              </w:rPr>
              <w:br/>
              <w:t>(CCNR)</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Modification du paragraphe 1.6.7.4.2 – Dispositions transitoires applicables aux matières</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lastRenderedPageBreak/>
              <w:t>ECE/TRANS/WP.15/AC.2/2016/14 (Allemagne)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Paragraphe 7.2.4.9 de l’ADN – Transbordement</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ECE/TRANS/WP.15/AC.2/2016/15 (Allemagne)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Paragraphe 7.2.4.16.9 b) de l’ADN – Décompression des citernes à cargaison</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ECE/TRANS/WP.15/AC.2/2016/17 (Allemagne)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Chapitre 8.2.2 – Dispositions spéciales concernant la formation des experts</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ECE/TRANS/WP.15/AC.2/2016/18 (Allemagne)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1.4.3 – Obligations du remplisseur et du déchargeur</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ECE/TRANS/WP.15/AC.2/2016/20 </w:t>
            </w:r>
            <w:r w:rsidRPr="00294D47">
              <w:rPr>
                <w:lang w:val="fr-CH"/>
              </w:rPr>
              <w:br/>
              <w:t>(France au nom du groupe de travail informel travaillant par correspondance)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Propositions d’amendements au chapitre 1.16 et au paragraphe</w:t>
            </w:r>
            <w:r>
              <w:rPr>
                <w:lang w:val="fr-CH"/>
              </w:rPr>
              <w:t xml:space="preserve"> </w:t>
            </w:r>
            <w:r w:rsidRPr="00294D47">
              <w:rPr>
                <w:lang w:val="fr-CH"/>
              </w:rPr>
              <w:t>9.3.X.8.1 – Propositions d’amendements corollaires et d’amendements supplémentaires</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ECE/TRANS/WP.15/AC.2/2016/22 </w:t>
            </w:r>
            <w:r w:rsidRPr="00294D47">
              <w:rPr>
                <w:lang w:val="fr-CH"/>
              </w:rPr>
              <w:br/>
              <w:t>(UENF, ERSTU et OEB)</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Matériaux de construction</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ECE/TRANS/WP.15/AC.2/2015/25/Rev.1 (Sociétés de classification recommandées ADN)</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Installation à air comprimé sur le pont</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ECE/TRANS/WP.15/AC.2/2016/23 </w:t>
            </w:r>
            <w:r w:rsidRPr="00294D47">
              <w:rPr>
                <w:lang w:val="fr-CH"/>
              </w:rPr>
              <w:br/>
              <w:t>(Pays-Bas)</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Propositions visant à modifier et préciser la Disposition spéciale 803</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 xml:space="preserve">ECE/TRANS/WP.15/AC.2/2016/24 </w:t>
            </w:r>
            <w:r w:rsidRPr="00294D47">
              <w:rPr>
                <w:lang w:val="fr-CH"/>
              </w:rPr>
              <w:br/>
              <w:t>(Pays-Bas et France)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Proposition de modification du paragraphe 7.2.4.25.5</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ECE/TRANS/WP.15/AC.2/2016/26 (</w:t>
            </w:r>
            <w:proofErr w:type="spellStart"/>
            <w:r w:rsidRPr="00294D47">
              <w:rPr>
                <w:lang w:val="fr-CH"/>
              </w:rPr>
              <w:t>FuelsEurope</w:t>
            </w:r>
            <w:proofErr w:type="spellEnd"/>
            <w:r w:rsidRPr="00294D47">
              <w:rPr>
                <w:lang w:val="fr-CH"/>
              </w:rPr>
              <w:t>)</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Proposition de dérogation à la prescription du 7.2.4.25.5 selon laquelle les mélanges gaz/air survenant lors du chargement d’huiles de chauffe lourdes doivent être renvoyés à terre (Numéro ONU 3082)</w:t>
            </w:r>
          </w:p>
        </w:tc>
      </w:tr>
      <w:tr w:rsidR="006C0824" w:rsidRPr="00294D47" w:rsidTr="003C3610">
        <w:tc>
          <w:tcPr>
            <w:tcW w:w="3683"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40"/>
              <w:rPr>
                <w:lang w:val="fr-CH"/>
              </w:rPr>
            </w:pPr>
            <w:r w:rsidRPr="00294D47">
              <w:rPr>
                <w:lang w:val="fr-CH"/>
              </w:rPr>
              <w:t>INF.04/Rev.1 (France)</w:t>
            </w:r>
          </w:p>
        </w:tc>
        <w:tc>
          <w:tcPr>
            <w:tcW w:w="5094" w:type="dxa"/>
            <w:shd w:val="clear" w:color="auto" w:fill="auto"/>
          </w:tcPr>
          <w:p w:rsidR="006C0824" w:rsidRPr="00294D47" w:rsidRDefault="006C0824" w:rsidP="003C3610">
            <w:pPr>
              <w:tabs>
                <w:tab w:val="left" w:pos="288"/>
                <w:tab w:val="left" w:pos="576"/>
                <w:tab w:val="left" w:pos="864"/>
                <w:tab w:val="left" w:pos="1152"/>
              </w:tabs>
              <w:suppressAutoHyphens/>
              <w:spacing w:before="40" w:after="80"/>
              <w:ind w:right="397"/>
              <w:jc w:val="both"/>
              <w:rPr>
                <w:lang w:val="fr-CH"/>
              </w:rPr>
            </w:pPr>
            <w:r w:rsidRPr="00294D47">
              <w:rPr>
                <w:lang w:val="fr-CH"/>
              </w:rPr>
              <w:t>Proposition de correction de l’ADN 2017</w:t>
            </w:r>
          </w:p>
        </w:tc>
      </w:tr>
    </w:tbl>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rPr>
          <w:lang w:val="fr-CH"/>
        </w:rPr>
      </w:pPr>
      <w:r w:rsidRPr="00294D47">
        <w:rPr>
          <w:lang w:val="fr-CH"/>
        </w:rPr>
        <w:tab/>
        <w:t>c)</w:t>
      </w:r>
      <w:r w:rsidRPr="00294D47">
        <w:rPr>
          <w:lang w:val="fr-CH"/>
        </w:rPr>
        <w:tab/>
        <w:t>Vérification des amendements adoptés lors de sessions précédentes</w:t>
      </w:r>
    </w:p>
    <w:p w:rsidR="006C0824" w:rsidRPr="00294D47" w:rsidRDefault="006C0824" w:rsidP="006C0824">
      <w:pPr>
        <w:pStyle w:val="SingleTxt"/>
        <w:rPr>
          <w:lang w:val="fr-CH"/>
        </w:rPr>
      </w:pPr>
      <w:r w:rsidRPr="00294D47">
        <w:rPr>
          <w:lang w:val="fr-CH"/>
        </w:rPr>
        <w:tab/>
        <w:t>En outre, le Comité de sécurité est censé vérifier les amendements adoptés lors de ses sessions précédentes, qui doivent entrer en vigueur le 1</w:t>
      </w:r>
      <w:r w:rsidRPr="00294D47">
        <w:rPr>
          <w:vertAlign w:val="superscript"/>
          <w:lang w:val="fr-CH"/>
        </w:rPr>
        <w:t>er</w:t>
      </w:r>
      <w:r w:rsidRPr="00294D47">
        <w:rPr>
          <w:lang w:val="fr-CH"/>
        </w:rPr>
        <w:t> janvier 2017 (ECE/ADN/2016/1).</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94D47">
        <w:rPr>
          <w:lang w:val="fr-CH"/>
        </w:rPr>
        <w:tab/>
        <w:t>6.</w:t>
      </w:r>
      <w:r w:rsidRPr="00294D47">
        <w:rPr>
          <w:lang w:val="fr-CH"/>
        </w:rPr>
        <w:tab/>
        <w:t>Rapports des groupes de travail informel</w:t>
      </w:r>
      <w:r>
        <w:rPr>
          <w:lang w:val="fr-CH"/>
        </w:rPr>
        <w:t>s</w:t>
      </w:r>
    </w:p>
    <w:p w:rsidR="006C0824" w:rsidRPr="00294D47" w:rsidRDefault="006C0824" w:rsidP="006C0824">
      <w:pPr>
        <w:pStyle w:val="SingleTxt"/>
        <w:spacing w:after="0" w:line="120" w:lineRule="exact"/>
        <w:rPr>
          <w:sz w:val="10"/>
          <w:lang w:val="fr-CH"/>
        </w:rPr>
      </w:pPr>
    </w:p>
    <w:tbl>
      <w:tblPr>
        <w:tblW w:w="7461" w:type="dxa"/>
        <w:tblInd w:w="1287" w:type="dxa"/>
        <w:tblLayout w:type="fixed"/>
        <w:tblCellMar>
          <w:left w:w="0" w:type="dxa"/>
          <w:right w:w="0" w:type="dxa"/>
        </w:tblCellMar>
        <w:tblLook w:val="0000" w:firstRow="0" w:lastRow="0" w:firstColumn="0" w:lastColumn="0" w:noHBand="0" w:noVBand="0"/>
      </w:tblPr>
      <w:tblGrid>
        <w:gridCol w:w="3794"/>
        <w:gridCol w:w="3667"/>
      </w:tblGrid>
      <w:tr w:rsidR="006C0824" w:rsidRPr="00294D47" w:rsidTr="003C3610">
        <w:tc>
          <w:tcPr>
            <w:tcW w:w="3794" w:type="dxa"/>
            <w:shd w:val="clear" w:color="auto" w:fill="auto"/>
          </w:tcPr>
          <w:p w:rsidR="006C0824" w:rsidRPr="00294D47" w:rsidRDefault="006C0824" w:rsidP="003C3610">
            <w:pPr>
              <w:spacing w:after="120"/>
              <w:rPr>
                <w:lang w:val="fr-CH"/>
              </w:rPr>
            </w:pPr>
            <w:r w:rsidRPr="00294D47">
              <w:rPr>
                <w:lang w:val="fr-CH"/>
              </w:rPr>
              <w:t>ECE/TRANS/WP.15/AC.2/2016/21 (CCNR)</w:t>
            </w:r>
          </w:p>
        </w:tc>
        <w:tc>
          <w:tcPr>
            <w:tcW w:w="3667" w:type="dxa"/>
            <w:shd w:val="clear" w:color="auto" w:fill="auto"/>
          </w:tcPr>
          <w:p w:rsidR="006C0824" w:rsidRPr="00294D47" w:rsidRDefault="006C0824" w:rsidP="003C3610">
            <w:pPr>
              <w:spacing w:after="120"/>
              <w:rPr>
                <w:lang w:val="fr-CH"/>
              </w:rPr>
            </w:pPr>
            <w:r w:rsidRPr="00294D47">
              <w:rPr>
                <w:lang w:val="fr-CH"/>
              </w:rPr>
              <w:t>Rapport de la dixième réunion du groupe de travail informel sur la protection contre les explosions à bord des bateaux-citernes</w:t>
            </w:r>
          </w:p>
        </w:tc>
      </w:tr>
      <w:tr w:rsidR="006C0824" w:rsidRPr="00294D47" w:rsidTr="003C3610">
        <w:tc>
          <w:tcPr>
            <w:tcW w:w="3794" w:type="dxa"/>
            <w:shd w:val="clear" w:color="auto" w:fill="auto"/>
          </w:tcPr>
          <w:p w:rsidR="006C0824" w:rsidRPr="00294D47" w:rsidRDefault="006C0824" w:rsidP="003C3610">
            <w:pPr>
              <w:spacing w:after="120"/>
              <w:rPr>
                <w:lang w:val="fr-CH"/>
              </w:rPr>
            </w:pPr>
            <w:r w:rsidRPr="00294D47">
              <w:rPr>
                <w:lang w:val="fr-CH"/>
              </w:rPr>
              <w:t xml:space="preserve">ECE/TRANS/WP.15/AC.2/2016/25 </w:t>
            </w:r>
            <w:r>
              <w:rPr>
                <w:lang w:val="fr-CH"/>
              </w:rPr>
              <w:br/>
            </w:r>
            <w:r w:rsidRPr="00294D47">
              <w:rPr>
                <w:lang w:val="fr-CH"/>
              </w:rPr>
              <w:t>(Pays-Bas)</w:t>
            </w:r>
          </w:p>
        </w:tc>
        <w:tc>
          <w:tcPr>
            <w:tcW w:w="3667" w:type="dxa"/>
            <w:shd w:val="clear" w:color="auto" w:fill="auto"/>
          </w:tcPr>
          <w:p w:rsidR="006C0824" w:rsidRPr="00294D47" w:rsidRDefault="006C0824" w:rsidP="003C3610">
            <w:pPr>
              <w:spacing w:after="120"/>
              <w:rPr>
                <w:lang w:val="fr-CH"/>
              </w:rPr>
            </w:pPr>
            <w:r w:rsidRPr="00294D47">
              <w:rPr>
                <w:lang w:val="fr-CH"/>
              </w:rPr>
              <w:t>Rapport de la quatrième réunion du groupe de travail informel sur le dégazage des citernes à marchandises</w:t>
            </w:r>
          </w:p>
        </w:tc>
      </w:tr>
    </w:tbl>
    <w:p w:rsidR="006C0824" w:rsidRPr="006C0824" w:rsidRDefault="006C0824" w:rsidP="006C0824">
      <w:pPr>
        <w:pStyle w:val="SingleTxt"/>
        <w:spacing w:after="0" w:line="120" w:lineRule="exact"/>
        <w:rPr>
          <w:sz w:val="10"/>
          <w:lang w:val="fr-CH"/>
        </w:rPr>
      </w:pPr>
    </w:p>
    <w:p w:rsidR="006C0824" w:rsidRPr="006C0824" w:rsidRDefault="006C0824" w:rsidP="006C0824">
      <w:pPr>
        <w:pStyle w:val="SingleTxt"/>
        <w:spacing w:after="0" w:line="120" w:lineRule="exact"/>
        <w:rPr>
          <w:sz w:val="10"/>
          <w:lang w:val="fr-CH"/>
        </w:rPr>
      </w:pPr>
    </w:p>
    <w:p w:rsidR="006C0824" w:rsidRPr="00294D47" w:rsidRDefault="006C0824" w:rsidP="006C0824">
      <w:pPr>
        <w:pStyle w:val="SingleTxt"/>
        <w:rPr>
          <w:lang w:val="fr-CH"/>
        </w:rPr>
      </w:pPr>
      <w:r w:rsidRPr="00294D47">
        <w:rPr>
          <w:lang w:val="fr-CH"/>
        </w:rPr>
        <w:tab/>
        <w:t>Les rapports des groupes de travail informel qui seront reçus après la publication du présent ordre du jour annoté feront l’objet de documents sans cote.</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94D47">
        <w:rPr>
          <w:lang w:val="fr-CH"/>
        </w:rPr>
        <w:tab/>
        <w:t>7.</w:t>
      </w:r>
      <w:r w:rsidRPr="00294D47">
        <w:rPr>
          <w:lang w:val="fr-CH"/>
        </w:rPr>
        <w:tab/>
        <w:t>Programme de travail et calendrier des réunions</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rPr>
          <w:lang w:val="fr-CH"/>
        </w:rPr>
      </w:pPr>
      <w:r w:rsidRPr="00294D47">
        <w:rPr>
          <w:lang w:val="fr-CH"/>
        </w:rPr>
        <w:tab/>
        <w:t xml:space="preserve">La seizième session du Comité d’administration de l’ADN s’ouvrira le 29 janvier 2016 à midi. La vingt-neuvième session du Comité de sécurité devrait se tenir à </w:t>
      </w:r>
      <w:r w:rsidRPr="00294D47">
        <w:rPr>
          <w:lang w:val="fr-CH"/>
        </w:rPr>
        <w:lastRenderedPageBreak/>
        <w:t>Genève du 22 au 26</w:t>
      </w:r>
      <w:r>
        <w:rPr>
          <w:lang w:val="fr-CH"/>
        </w:rPr>
        <w:t> </w:t>
      </w:r>
      <w:r w:rsidRPr="00294D47">
        <w:rPr>
          <w:lang w:val="fr-CH"/>
        </w:rPr>
        <w:t>août 2016. La dix-septième session du Comité de gestion de l’ADN devrait se tenir le 26</w:t>
      </w:r>
      <w:r>
        <w:rPr>
          <w:lang w:val="fr-CH"/>
        </w:rPr>
        <w:t> </w:t>
      </w:r>
      <w:r w:rsidRPr="00294D47">
        <w:rPr>
          <w:lang w:val="fr-CH"/>
        </w:rPr>
        <w:t>août 2016. La date limite pour la soumission des documents a été fixée au 27 mai 2016.</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94D47">
        <w:rPr>
          <w:lang w:val="fr-CH"/>
        </w:rPr>
        <w:tab/>
        <w:t>8.</w:t>
      </w:r>
      <w:r w:rsidRPr="00294D47">
        <w:rPr>
          <w:lang w:val="fr-CH"/>
        </w:rPr>
        <w:tab/>
        <w:t>Questions diverses</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rPr>
          <w:lang w:val="fr-CH"/>
        </w:rPr>
      </w:pPr>
      <w:r w:rsidRPr="00294D47">
        <w:rPr>
          <w:lang w:val="fr-CH"/>
        </w:rPr>
        <w:tab/>
        <w:t>Le Comité de sécurité souhaitera peut-être examiner d’autres questions se rapportant à ses travaux au titre de ce point de l’ordre du jour.</w:t>
      </w:r>
    </w:p>
    <w:p w:rsidR="006C0824" w:rsidRPr="00294D47" w:rsidRDefault="006C0824" w:rsidP="006C0824">
      <w:pPr>
        <w:pStyle w:val="SingleTxt"/>
        <w:rPr>
          <w:lang w:val="fr-CH"/>
        </w:rPr>
      </w:pPr>
      <w:r w:rsidRPr="00294D47">
        <w:rPr>
          <w:lang w:val="fr-CH"/>
        </w:rPr>
        <w:tab/>
        <w:t>À la vingt-septième session, le représentant de l’</w:t>
      </w:r>
      <w:proofErr w:type="spellStart"/>
      <w:r w:rsidRPr="00294D47">
        <w:rPr>
          <w:lang w:val="fr-CH"/>
        </w:rPr>
        <w:t>European</w:t>
      </w:r>
      <w:proofErr w:type="spellEnd"/>
      <w:r w:rsidRPr="00294D47">
        <w:rPr>
          <w:lang w:val="fr-CH"/>
        </w:rPr>
        <w:t xml:space="preserve"> </w:t>
      </w:r>
      <w:proofErr w:type="spellStart"/>
      <w:r w:rsidRPr="00294D47">
        <w:rPr>
          <w:lang w:val="fr-CH"/>
        </w:rPr>
        <w:t>Bulk</w:t>
      </w:r>
      <w:proofErr w:type="spellEnd"/>
      <w:r w:rsidRPr="00294D47">
        <w:rPr>
          <w:lang w:val="fr-CH"/>
        </w:rPr>
        <w:t xml:space="preserve"> </w:t>
      </w:r>
      <w:proofErr w:type="spellStart"/>
      <w:r w:rsidRPr="00294D47">
        <w:rPr>
          <w:lang w:val="fr-CH"/>
        </w:rPr>
        <w:t>Oil</w:t>
      </w:r>
      <w:proofErr w:type="spellEnd"/>
      <w:r w:rsidRPr="00294D47">
        <w:rPr>
          <w:lang w:val="fr-CH"/>
        </w:rPr>
        <w:t xml:space="preserve"> Traders Association (EBOTA) a été prié de présenter de nouveaux documents pour appuyer sa demande de participer aux réunions en qualité d’organisation non gouvernementale.</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294D47">
        <w:rPr>
          <w:lang w:val="fr-CH"/>
        </w:rPr>
        <w:tab/>
        <w:t>9.</w:t>
      </w:r>
      <w:r w:rsidRPr="00294D47">
        <w:rPr>
          <w:lang w:val="fr-CH"/>
        </w:rPr>
        <w:tab/>
        <w:t>Adoption du rapport</w:t>
      </w:r>
    </w:p>
    <w:p w:rsidR="006C0824" w:rsidRPr="00294D47" w:rsidRDefault="006C0824" w:rsidP="006C0824">
      <w:pPr>
        <w:pStyle w:val="SingleTxt"/>
        <w:spacing w:after="0" w:line="120" w:lineRule="exact"/>
        <w:rPr>
          <w:sz w:val="10"/>
          <w:lang w:val="fr-CH"/>
        </w:rPr>
      </w:pPr>
    </w:p>
    <w:p w:rsidR="006C0824" w:rsidRPr="00294D47" w:rsidRDefault="006C0824" w:rsidP="006C0824">
      <w:pPr>
        <w:pStyle w:val="SingleTxt"/>
        <w:rPr>
          <w:lang w:val="fr-CH"/>
        </w:rPr>
      </w:pPr>
      <w:r w:rsidRPr="00294D47">
        <w:rPr>
          <w:lang w:val="fr-CH"/>
        </w:rPr>
        <w:tab/>
        <w:t>Le Comité de sécurité souhaitera peut-être adopter le rapport de sa vingt-huitième session sur la base d’un projet établi par le secrétariat.</w:t>
      </w:r>
    </w:p>
    <w:p w:rsidR="006C0824" w:rsidRPr="00294D47" w:rsidRDefault="006C0824" w:rsidP="006C0824">
      <w:pPr>
        <w:pStyle w:val="SingleTxt"/>
        <w:spacing w:after="0" w:line="240" w:lineRule="auto"/>
        <w:rPr>
          <w:lang w:val="fr-CH"/>
        </w:rPr>
      </w:pPr>
      <w:r w:rsidRPr="00294D47">
        <w:rPr>
          <w:noProof/>
          <w:w w:val="100"/>
          <w:lang w:val="en-GB" w:eastAsia="en-GB"/>
        </w:rPr>
        <mc:AlternateContent>
          <mc:Choice Requires="wps">
            <w:drawing>
              <wp:anchor distT="0" distB="0" distL="114300" distR="114300" simplePos="0" relativeHeight="251659264" behindDoc="0" locked="0" layoutInCell="1" allowOverlap="1" wp14:anchorId="6478B510" wp14:editId="05C7120A">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p w:rsidR="00B84813" w:rsidRDefault="00B84813" w:rsidP="00B84813">
      <w:pPr>
        <w:pStyle w:val="H1"/>
        <w:spacing w:after="120" w:line="300" w:lineRule="exact"/>
        <w:rPr>
          <w:b w:val="0"/>
          <w:sz w:val="28"/>
        </w:rPr>
      </w:pPr>
    </w:p>
    <w:sectPr w:rsidR="00B84813" w:rsidSect="00B84813">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0E" w:rsidRDefault="0074560E" w:rsidP="00F3330B">
      <w:pPr>
        <w:spacing w:line="240" w:lineRule="auto"/>
      </w:pPr>
      <w:r>
        <w:separator/>
      </w:r>
    </w:p>
  </w:endnote>
  <w:endnote w:type="continuationSeparator" w:id="0">
    <w:p w:rsidR="0074560E" w:rsidRDefault="0074560E"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84813" w:rsidTr="00B84813">
      <w:trPr>
        <w:jc w:val="center"/>
      </w:trPr>
      <w:tc>
        <w:tcPr>
          <w:tcW w:w="5126" w:type="dxa"/>
          <w:shd w:val="clear" w:color="auto" w:fill="auto"/>
        </w:tcPr>
        <w:p w:rsidR="00B84813" w:rsidRPr="00B84813" w:rsidRDefault="00B84813" w:rsidP="00B8481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3EAF">
            <w:rPr>
              <w:b w:val="0"/>
              <w:w w:val="103"/>
              <w:sz w:val="14"/>
            </w:rPr>
            <w:t>GE.15-20032</w:t>
          </w:r>
          <w:r>
            <w:rPr>
              <w:b w:val="0"/>
              <w:w w:val="103"/>
              <w:sz w:val="14"/>
            </w:rPr>
            <w:fldChar w:fldCharType="end"/>
          </w:r>
        </w:p>
      </w:tc>
      <w:tc>
        <w:tcPr>
          <w:tcW w:w="5127" w:type="dxa"/>
          <w:shd w:val="clear" w:color="auto" w:fill="auto"/>
        </w:tcPr>
        <w:p w:rsidR="00B84813" w:rsidRPr="00B84813" w:rsidRDefault="00B84813" w:rsidP="00B84813">
          <w:pPr>
            <w:pStyle w:val="Footer"/>
            <w:rPr>
              <w:w w:val="103"/>
            </w:rPr>
          </w:pPr>
          <w:r>
            <w:rPr>
              <w:w w:val="103"/>
            </w:rPr>
            <w:fldChar w:fldCharType="begin"/>
          </w:r>
          <w:r>
            <w:rPr>
              <w:w w:val="103"/>
            </w:rPr>
            <w:instrText xml:space="preserve"> PAGE  \* Arabic  \* MERGEFORMAT </w:instrText>
          </w:r>
          <w:r>
            <w:rPr>
              <w:w w:val="103"/>
            </w:rPr>
            <w:fldChar w:fldCharType="separate"/>
          </w:r>
          <w:r w:rsidR="00CF5945">
            <w:rPr>
              <w:noProof/>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F5945">
            <w:rPr>
              <w:noProof/>
              <w:w w:val="103"/>
            </w:rPr>
            <w:t>4</w:t>
          </w:r>
          <w:r>
            <w:rPr>
              <w:w w:val="103"/>
            </w:rPr>
            <w:fldChar w:fldCharType="end"/>
          </w:r>
        </w:p>
      </w:tc>
    </w:tr>
  </w:tbl>
  <w:p w:rsidR="00B84813" w:rsidRPr="00B84813" w:rsidRDefault="00B84813" w:rsidP="00B84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84813" w:rsidTr="00B84813">
      <w:trPr>
        <w:jc w:val="center"/>
      </w:trPr>
      <w:tc>
        <w:tcPr>
          <w:tcW w:w="5126" w:type="dxa"/>
          <w:shd w:val="clear" w:color="auto" w:fill="auto"/>
        </w:tcPr>
        <w:p w:rsidR="00B84813" w:rsidRPr="00B84813" w:rsidRDefault="00B84813" w:rsidP="00B84813">
          <w:pPr>
            <w:pStyle w:val="Footer"/>
            <w:jc w:val="right"/>
            <w:rPr>
              <w:w w:val="103"/>
            </w:rPr>
          </w:pPr>
          <w:r>
            <w:rPr>
              <w:w w:val="103"/>
            </w:rPr>
            <w:fldChar w:fldCharType="begin"/>
          </w:r>
          <w:r>
            <w:rPr>
              <w:w w:val="103"/>
            </w:rPr>
            <w:instrText xml:space="preserve"> PAGE  \* Arabic  \* MERGEFORMAT </w:instrText>
          </w:r>
          <w:r>
            <w:rPr>
              <w:w w:val="103"/>
            </w:rPr>
            <w:fldChar w:fldCharType="separate"/>
          </w:r>
          <w:r w:rsidR="00CF5945">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F5945">
            <w:rPr>
              <w:noProof/>
              <w:w w:val="103"/>
            </w:rPr>
            <w:t>5</w:t>
          </w:r>
          <w:r>
            <w:rPr>
              <w:w w:val="103"/>
            </w:rPr>
            <w:fldChar w:fldCharType="end"/>
          </w:r>
        </w:p>
      </w:tc>
      <w:tc>
        <w:tcPr>
          <w:tcW w:w="5127" w:type="dxa"/>
          <w:shd w:val="clear" w:color="auto" w:fill="auto"/>
        </w:tcPr>
        <w:p w:rsidR="00B84813" w:rsidRPr="00B84813" w:rsidRDefault="00B84813" w:rsidP="00B8481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653EAF">
            <w:rPr>
              <w:b w:val="0"/>
              <w:w w:val="103"/>
              <w:sz w:val="14"/>
            </w:rPr>
            <w:t>GE.15-20032</w:t>
          </w:r>
          <w:r>
            <w:rPr>
              <w:b w:val="0"/>
              <w:w w:val="103"/>
              <w:sz w:val="14"/>
            </w:rPr>
            <w:fldChar w:fldCharType="end"/>
          </w:r>
        </w:p>
      </w:tc>
    </w:tr>
  </w:tbl>
  <w:p w:rsidR="00B84813" w:rsidRPr="00B84813" w:rsidRDefault="00B84813" w:rsidP="00B84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813" w:rsidRDefault="00B84813">
    <w:pPr>
      <w:pStyle w:val="Footer"/>
    </w:pPr>
    <w:r>
      <w:rPr>
        <w:noProof/>
        <w:lang w:val="en-GB" w:eastAsia="en-GB"/>
      </w:rPr>
      <w:drawing>
        <wp:anchor distT="0" distB="0" distL="114300" distR="114300" simplePos="0" relativeHeight="251658240" behindDoc="0" locked="0" layoutInCell="1" allowOverlap="1" wp14:anchorId="32007C37" wp14:editId="57AA2577">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ECE/TRANS/WP.15/AC.2/57/Add.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E/TRANS/WP.15/AC.2/57/Add.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B84813" w:rsidTr="00B84813">
      <w:tc>
        <w:tcPr>
          <w:tcW w:w="3859" w:type="dxa"/>
        </w:tcPr>
        <w:p w:rsidR="00B84813" w:rsidRDefault="00B84813" w:rsidP="00B84813">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653EAF">
            <w:rPr>
              <w:b w:val="0"/>
              <w:sz w:val="20"/>
            </w:rPr>
            <w:t>GE.15-20032 (F)</w:t>
          </w:r>
          <w:r>
            <w:rPr>
              <w:b w:val="0"/>
              <w:sz w:val="20"/>
            </w:rPr>
            <w:fldChar w:fldCharType="end"/>
          </w:r>
          <w:r>
            <w:rPr>
              <w:b w:val="0"/>
              <w:sz w:val="20"/>
            </w:rPr>
            <w:t xml:space="preserve">    2</w:t>
          </w:r>
          <w:r w:rsidR="001D093A">
            <w:rPr>
              <w:b w:val="0"/>
              <w:sz w:val="20"/>
            </w:rPr>
            <w:t>4</w:t>
          </w:r>
          <w:r>
            <w:rPr>
              <w:b w:val="0"/>
              <w:sz w:val="20"/>
            </w:rPr>
            <w:t>1115    251115</w:t>
          </w:r>
        </w:p>
        <w:p w:rsidR="00B84813" w:rsidRPr="00B84813" w:rsidRDefault="00B84813" w:rsidP="00B84813">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653EAF">
            <w:rPr>
              <w:rFonts w:ascii="Barcode 3 of 9 by request" w:hAnsi="Barcode 3 of 9 by request"/>
              <w:b w:val="0"/>
              <w:spacing w:val="0"/>
              <w:w w:val="100"/>
              <w:sz w:val="24"/>
            </w:rPr>
            <w:t>*1520032*</w:t>
          </w:r>
          <w:r>
            <w:rPr>
              <w:rFonts w:ascii="Barcode 3 of 9 by request" w:hAnsi="Barcode 3 of 9 by request"/>
              <w:b w:val="0"/>
              <w:spacing w:val="0"/>
              <w:w w:val="100"/>
              <w:sz w:val="24"/>
            </w:rPr>
            <w:fldChar w:fldCharType="end"/>
          </w:r>
        </w:p>
      </w:tc>
      <w:tc>
        <w:tcPr>
          <w:tcW w:w="5127" w:type="dxa"/>
        </w:tcPr>
        <w:p w:rsidR="00B84813" w:rsidRDefault="00B84813" w:rsidP="00B84813">
          <w:pPr>
            <w:pStyle w:val="Footer"/>
            <w:spacing w:line="240" w:lineRule="atLeast"/>
            <w:jc w:val="right"/>
            <w:rPr>
              <w:b w:val="0"/>
              <w:sz w:val="20"/>
            </w:rPr>
          </w:pPr>
          <w:r>
            <w:rPr>
              <w:b w:val="0"/>
              <w:noProof/>
              <w:sz w:val="20"/>
              <w:lang w:val="en-GB" w:eastAsia="en-GB"/>
            </w:rPr>
            <w:drawing>
              <wp:inline distT="0" distB="0" distL="0" distR="0" wp14:anchorId="356C3E1E" wp14:editId="1497D05B">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B84813" w:rsidRPr="00B84813" w:rsidRDefault="00B84813" w:rsidP="00B84813">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0E" w:rsidRPr="003E47D8" w:rsidRDefault="0074560E" w:rsidP="003E47D8">
      <w:pPr>
        <w:pStyle w:val="Footer"/>
        <w:spacing w:after="80"/>
        <w:rPr>
          <w:sz w:val="16"/>
        </w:rPr>
      </w:pPr>
      <w:r w:rsidRPr="003E47D8">
        <w:rPr>
          <w:sz w:val="16"/>
        </w:rPr>
        <w:t>__________________</w:t>
      </w:r>
    </w:p>
  </w:footnote>
  <w:footnote w:type="continuationSeparator" w:id="0">
    <w:p w:rsidR="0074560E" w:rsidRPr="003E47D8" w:rsidRDefault="0074560E" w:rsidP="003E47D8">
      <w:pPr>
        <w:pStyle w:val="Footer"/>
        <w:spacing w:after="80"/>
        <w:rPr>
          <w:sz w:val="16"/>
        </w:rPr>
      </w:pPr>
      <w:r w:rsidRPr="003E47D8">
        <w:rPr>
          <w:sz w:val="16"/>
        </w:rPr>
        <w:t>__________________</w:t>
      </w:r>
    </w:p>
  </w:footnote>
  <w:footnote w:id="1">
    <w:p w:rsidR="006C0824" w:rsidRPr="00756819" w:rsidRDefault="006C0824" w:rsidP="006C08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t xml:space="preserve">Diffusé en allemand par la Commission centrale pour la navigation du Rhin sous la cote </w:t>
      </w:r>
      <w:r>
        <w:rPr>
          <w:szCs w:val="18"/>
        </w:rPr>
        <w:t>CCNR/ZKR/ADN/WP.15/AC.2/57/Add.1</w:t>
      </w:r>
      <w:r>
        <w:rPr>
          <w:i/>
          <w:iCs/>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84813" w:rsidTr="00B84813">
      <w:trPr>
        <w:trHeight w:hRule="exact" w:val="864"/>
        <w:jc w:val="center"/>
      </w:trPr>
      <w:tc>
        <w:tcPr>
          <w:tcW w:w="4882" w:type="dxa"/>
          <w:shd w:val="clear" w:color="auto" w:fill="auto"/>
          <w:vAlign w:val="bottom"/>
        </w:tcPr>
        <w:p w:rsidR="00B84813" w:rsidRPr="00B84813" w:rsidRDefault="00B84813" w:rsidP="00B8481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53EAF">
            <w:rPr>
              <w:b/>
              <w:color w:val="000000"/>
            </w:rPr>
            <w:t>ECE/TRANS/WP.15/AC.2/57/Add.1</w:t>
          </w:r>
          <w:r>
            <w:rPr>
              <w:b/>
              <w:color w:val="000000"/>
            </w:rPr>
            <w:fldChar w:fldCharType="end"/>
          </w:r>
        </w:p>
      </w:tc>
      <w:tc>
        <w:tcPr>
          <w:tcW w:w="5127" w:type="dxa"/>
          <w:shd w:val="clear" w:color="auto" w:fill="auto"/>
          <w:vAlign w:val="bottom"/>
        </w:tcPr>
        <w:p w:rsidR="00B84813" w:rsidRDefault="00B84813" w:rsidP="00B84813">
          <w:pPr>
            <w:pStyle w:val="Header"/>
          </w:pPr>
        </w:p>
      </w:tc>
    </w:tr>
  </w:tbl>
  <w:p w:rsidR="00B84813" w:rsidRPr="00B84813" w:rsidRDefault="00B84813" w:rsidP="00B8481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B84813" w:rsidTr="00B84813">
      <w:trPr>
        <w:trHeight w:hRule="exact" w:val="864"/>
        <w:jc w:val="center"/>
      </w:trPr>
      <w:tc>
        <w:tcPr>
          <w:tcW w:w="4882" w:type="dxa"/>
          <w:shd w:val="clear" w:color="auto" w:fill="auto"/>
          <w:vAlign w:val="bottom"/>
        </w:tcPr>
        <w:p w:rsidR="00B84813" w:rsidRDefault="00B84813" w:rsidP="00B84813">
          <w:pPr>
            <w:pStyle w:val="Header"/>
          </w:pPr>
        </w:p>
      </w:tc>
      <w:tc>
        <w:tcPr>
          <w:tcW w:w="5127" w:type="dxa"/>
          <w:shd w:val="clear" w:color="auto" w:fill="auto"/>
          <w:vAlign w:val="bottom"/>
        </w:tcPr>
        <w:p w:rsidR="00B84813" w:rsidRPr="00B84813" w:rsidRDefault="00B84813" w:rsidP="00B8481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653EAF">
            <w:rPr>
              <w:b/>
              <w:color w:val="000000"/>
            </w:rPr>
            <w:t>ECE/TRANS/WP.15/AC.2/57/Add.1</w:t>
          </w:r>
          <w:r>
            <w:rPr>
              <w:b/>
              <w:color w:val="000000"/>
            </w:rPr>
            <w:fldChar w:fldCharType="end"/>
          </w:r>
        </w:p>
      </w:tc>
    </w:tr>
  </w:tbl>
  <w:p w:rsidR="00B84813" w:rsidRPr="00B84813" w:rsidRDefault="00B84813" w:rsidP="00B8481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B84813" w:rsidTr="00B84813">
      <w:trPr>
        <w:trHeight w:hRule="exact" w:val="864"/>
      </w:trPr>
      <w:tc>
        <w:tcPr>
          <w:tcW w:w="1267" w:type="dxa"/>
          <w:tcBorders>
            <w:bottom w:val="single" w:sz="4" w:space="0" w:color="auto"/>
          </w:tcBorders>
          <w:shd w:val="clear" w:color="auto" w:fill="auto"/>
          <w:vAlign w:val="bottom"/>
        </w:tcPr>
        <w:p w:rsidR="00B84813" w:rsidRDefault="00B84813" w:rsidP="00B84813">
          <w:pPr>
            <w:pStyle w:val="Header"/>
            <w:spacing w:after="120"/>
          </w:pPr>
        </w:p>
      </w:tc>
      <w:tc>
        <w:tcPr>
          <w:tcW w:w="2059" w:type="dxa"/>
          <w:tcBorders>
            <w:bottom w:val="single" w:sz="4" w:space="0" w:color="auto"/>
          </w:tcBorders>
          <w:shd w:val="clear" w:color="auto" w:fill="auto"/>
          <w:vAlign w:val="bottom"/>
        </w:tcPr>
        <w:p w:rsidR="00B84813" w:rsidRPr="00B84813" w:rsidRDefault="00B84813" w:rsidP="00B84813">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B84813" w:rsidRDefault="00B84813" w:rsidP="00B84813">
          <w:pPr>
            <w:pStyle w:val="Header"/>
            <w:spacing w:after="120"/>
          </w:pPr>
        </w:p>
      </w:tc>
      <w:tc>
        <w:tcPr>
          <w:tcW w:w="6653" w:type="dxa"/>
          <w:gridSpan w:val="4"/>
          <w:tcBorders>
            <w:bottom w:val="single" w:sz="4" w:space="0" w:color="auto"/>
          </w:tcBorders>
          <w:shd w:val="clear" w:color="auto" w:fill="auto"/>
          <w:vAlign w:val="bottom"/>
        </w:tcPr>
        <w:p w:rsidR="00B84813" w:rsidRPr="00B84813" w:rsidRDefault="00B84813" w:rsidP="00B84813">
          <w:pPr>
            <w:spacing w:after="80" w:line="240" w:lineRule="auto"/>
            <w:jc w:val="right"/>
            <w:rPr>
              <w:position w:val="-4"/>
            </w:rPr>
          </w:pPr>
          <w:r>
            <w:rPr>
              <w:position w:val="-4"/>
              <w:sz w:val="40"/>
            </w:rPr>
            <w:t>ECE</w:t>
          </w:r>
          <w:r>
            <w:rPr>
              <w:position w:val="-4"/>
            </w:rPr>
            <w:t>/TRANS/WP.15/AC.2/57/Add.1</w:t>
          </w:r>
        </w:p>
      </w:tc>
    </w:tr>
    <w:tr w:rsidR="00B84813" w:rsidRPr="00B84813" w:rsidTr="00B84813">
      <w:trPr>
        <w:gridAfter w:val="1"/>
        <w:wAfter w:w="18" w:type="dxa"/>
        <w:trHeight w:hRule="exact" w:val="2880"/>
      </w:trPr>
      <w:tc>
        <w:tcPr>
          <w:tcW w:w="1267" w:type="dxa"/>
          <w:tcBorders>
            <w:top w:val="single" w:sz="4" w:space="0" w:color="auto"/>
            <w:bottom w:val="single" w:sz="12" w:space="0" w:color="auto"/>
          </w:tcBorders>
          <w:shd w:val="clear" w:color="auto" w:fill="auto"/>
        </w:tcPr>
        <w:p w:rsidR="00B84813" w:rsidRPr="00B84813" w:rsidRDefault="00B84813" w:rsidP="00B84813">
          <w:pPr>
            <w:pStyle w:val="Header"/>
            <w:spacing w:before="120" w:line="240" w:lineRule="auto"/>
            <w:ind w:left="-72"/>
            <w:jc w:val="center"/>
          </w:pPr>
          <w:r>
            <w:t xml:space="preserve">  </w:t>
          </w:r>
          <w:r>
            <w:rPr>
              <w:noProof/>
              <w:lang w:val="en-GB" w:eastAsia="en-GB"/>
            </w:rPr>
            <w:drawing>
              <wp:inline distT="0" distB="0" distL="0" distR="0" wp14:anchorId="45AF9568" wp14:editId="7C039F3A">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84813" w:rsidRPr="00B84813" w:rsidRDefault="00B84813" w:rsidP="00B84813">
          <w:pPr>
            <w:pStyle w:val="XLarge"/>
            <w:spacing w:before="109"/>
          </w:pPr>
          <w:r>
            <w:t>Conseil économique et social</w:t>
          </w:r>
        </w:p>
      </w:tc>
      <w:tc>
        <w:tcPr>
          <w:tcW w:w="245" w:type="dxa"/>
          <w:tcBorders>
            <w:top w:val="single" w:sz="4" w:space="0" w:color="auto"/>
            <w:bottom w:val="single" w:sz="12" w:space="0" w:color="auto"/>
          </w:tcBorders>
          <w:shd w:val="clear" w:color="auto" w:fill="auto"/>
        </w:tcPr>
        <w:p w:rsidR="00B84813" w:rsidRPr="00B84813" w:rsidRDefault="00B84813" w:rsidP="00B84813">
          <w:pPr>
            <w:pStyle w:val="Header"/>
            <w:spacing w:before="109"/>
          </w:pPr>
        </w:p>
      </w:tc>
      <w:tc>
        <w:tcPr>
          <w:tcW w:w="3280" w:type="dxa"/>
          <w:tcBorders>
            <w:top w:val="single" w:sz="4" w:space="0" w:color="auto"/>
            <w:bottom w:val="single" w:sz="12" w:space="0" w:color="auto"/>
          </w:tcBorders>
          <w:shd w:val="clear" w:color="auto" w:fill="auto"/>
        </w:tcPr>
        <w:p w:rsidR="00B84813" w:rsidRDefault="00B84813" w:rsidP="00B84813">
          <w:pPr>
            <w:pStyle w:val="Distribution"/>
            <w:rPr>
              <w:color w:val="000000"/>
            </w:rPr>
          </w:pPr>
          <w:r>
            <w:rPr>
              <w:color w:val="000000"/>
            </w:rPr>
            <w:t xml:space="preserve">Distr. </w:t>
          </w:r>
          <w:proofErr w:type="spellStart"/>
          <w:r>
            <w:rPr>
              <w:color w:val="000000"/>
            </w:rPr>
            <w:t>générale</w:t>
          </w:r>
          <w:proofErr w:type="spellEnd"/>
        </w:p>
        <w:p w:rsidR="00B84813" w:rsidRDefault="00B84813" w:rsidP="00B84813">
          <w:pPr>
            <w:pStyle w:val="Publication"/>
            <w:rPr>
              <w:color w:val="000000"/>
            </w:rPr>
          </w:pPr>
          <w:r>
            <w:rPr>
              <w:color w:val="000000"/>
            </w:rPr>
            <w:t xml:space="preserve">16 </w:t>
          </w:r>
          <w:proofErr w:type="spellStart"/>
          <w:r>
            <w:rPr>
              <w:color w:val="000000"/>
            </w:rPr>
            <w:t>novembre</w:t>
          </w:r>
          <w:proofErr w:type="spellEnd"/>
          <w:r>
            <w:rPr>
              <w:color w:val="000000"/>
            </w:rPr>
            <w:t xml:space="preserve"> 2015</w:t>
          </w:r>
        </w:p>
        <w:p w:rsidR="00B84813" w:rsidRDefault="00B84813" w:rsidP="00B84813">
          <w:pPr>
            <w:rPr>
              <w:lang w:val="en-US"/>
            </w:rPr>
          </w:pPr>
          <w:proofErr w:type="spellStart"/>
          <w:r>
            <w:rPr>
              <w:lang w:val="en-US"/>
            </w:rPr>
            <w:t>Français</w:t>
          </w:r>
          <w:proofErr w:type="spellEnd"/>
        </w:p>
        <w:p w:rsidR="00B84813" w:rsidRPr="00B84813" w:rsidRDefault="00B84813" w:rsidP="00B84813">
          <w:pPr>
            <w:pStyle w:val="Original"/>
            <w:rPr>
              <w:color w:val="000000"/>
            </w:rPr>
          </w:pPr>
          <w:r>
            <w:rPr>
              <w:color w:val="000000"/>
            </w:rPr>
            <w:t xml:space="preserve">Original : </w:t>
          </w:r>
          <w:proofErr w:type="spellStart"/>
          <w:r>
            <w:rPr>
              <w:color w:val="000000"/>
            </w:rPr>
            <w:t>anglais</w:t>
          </w:r>
          <w:proofErr w:type="spellEnd"/>
        </w:p>
      </w:tc>
    </w:tr>
  </w:tbl>
  <w:p w:rsidR="00B84813" w:rsidRPr="00B84813" w:rsidRDefault="00B84813" w:rsidP="00B84813">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SortMethod w:val="0003"/>
  <w:defaultTabStop w:val="720"/>
  <w:doNotHyphenateCaps/>
  <w:evenAndOddHeaders/>
  <w:characterSpacingControl w:val="doNotCompress"/>
  <w:hdrShapeDefaults>
    <o:shapedefaults v:ext="edit" spidmax="4097"/>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0032*"/>
    <w:docVar w:name="CreationDt" w:val="11/25/2015 3:23: PM"/>
    <w:docVar w:name="DocCategory" w:val="Doc"/>
    <w:docVar w:name="DocType" w:val="Final"/>
    <w:docVar w:name="DutyStation" w:val="Geneva"/>
    <w:docVar w:name="FooterJN" w:val="GE.15-20032"/>
    <w:docVar w:name="jobn" w:val="GE.15-20032 (F)"/>
    <w:docVar w:name="jobnDT" w:val="GE.15-20032 (F)   251115"/>
    <w:docVar w:name="jobnDTDT" w:val="GE.15-20032 (F)   251115   251115"/>
    <w:docVar w:name="JobNo" w:val="GE.1520032F"/>
    <w:docVar w:name="JobNo2" w:val="GE.1526220F"/>
    <w:docVar w:name="LocalDrive" w:val="0"/>
    <w:docVar w:name="OandT" w:val="BEAUNEE"/>
    <w:docVar w:name="PaperSize" w:val="A4"/>
    <w:docVar w:name="sss1" w:val="ECE/TRANS/WP.15/AC.2/57/Add.1"/>
    <w:docVar w:name="sss2" w:val="-"/>
    <w:docVar w:name="Symbol1" w:val="ECE/TRANS/WP.15/AC.2/57/Add.1"/>
    <w:docVar w:name="Symbol2" w:val="-"/>
  </w:docVars>
  <w:rsids>
    <w:rsidRoot w:val="0074560E"/>
    <w:rsid w:val="000015B8"/>
    <w:rsid w:val="000046A5"/>
    <w:rsid w:val="000055FB"/>
    <w:rsid w:val="00010C97"/>
    <w:rsid w:val="000125FC"/>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23812"/>
    <w:rsid w:val="001256F6"/>
    <w:rsid w:val="001262BA"/>
    <w:rsid w:val="00126FB2"/>
    <w:rsid w:val="00127266"/>
    <w:rsid w:val="0013186C"/>
    <w:rsid w:val="00132A45"/>
    <w:rsid w:val="001359FA"/>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D83"/>
    <w:rsid w:val="00180387"/>
    <w:rsid w:val="001818CC"/>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93A"/>
    <w:rsid w:val="001D0E60"/>
    <w:rsid w:val="001D272D"/>
    <w:rsid w:val="001D280C"/>
    <w:rsid w:val="001D294E"/>
    <w:rsid w:val="001D688B"/>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1C09"/>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D99"/>
    <w:rsid w:val="005B74B8"/>
    <w:rsid w:val="005C1353"/>
    <w:rsid w:val="005C1587"/>
    <w:rsid w:val="005C3A63"/>
    <w:rsid w:val="005C65C2"/>
    <w:rsid w:val="005C765D"/>
    <w:rsid w:val="005C7B4D"/>
    <w:rsid w:val="005D7CA9"/>
    <w:rsid w:val="005E0F5F"/>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3EAF"/>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0824"/>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3131"/>
    <w:rsid w:val="0074339E"/>
    <w:rsid w:val="00744BE5"/>
    <w:rsid w:val="00744D58"/>
    <w:rsid w:val="00745376"/>
    <w:rsid w:val="0074560E"/>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48E"/>
    <w:rsid w:val="007B1E17"/>
    <w:rsid w:val="007B4C73"/>
    <w:rsid w:val="007C0C1F"/>
    <w:rsid w:val="007C206E"/>
    <w:rsid w:val="007C29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3006"/>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A5E"/>
    <w:rsid w:val="00A55810"/>
    <w:rsid w:val="00A56CDD"/>
    <w:rsid w:val="00A56E3B"/>
    <w:rsid w:val="00A57C5A"/>
    <w:rsid w:val="00A64AD2"/>
    <w:rsid w:val="00A72C1F"/>
    <w:rsid w:val="00A72F5E"/>
    <w:rsid w:val="00A75482"/>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756"/>
    <w:rsid w:val="00B70DA9"/>
    <w:rsid w:val="00B712B0"/>
    <w:rsid w:val="00B71478"/>
    <w:rsid w:val="00B71802"/>
    <w:rsid w:val="00B7200B"/>
    <w:rsid w:val="00B76414"/>
    <w:rsid w:val="00B77EB8"/>
    <w:rsid w:val="00B81A2A"/>
    <w:rsid w:val="00B82E95"/>
    <w:rsid w:val="00B84109"/>
    <w:rsid w:val="00B84813"/>
    <w:rsid w:val="00B85BDA"/>
    <w:rsid w:val="00B870D6"/>
    <w:rsid w:val="00B874A9"/>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945"/>
    <w:rsid w:val="00CF5E7B"/>
    <w:rsid w:val="00CF7A75"/>
    <w:rsid w:val="00D00362"/>
    <w:rsid w:val="00D01153"/>
    <w:rsid w:val="00D02293"/>
    <w:rsid w:val="00D026B6"/>
    <w:rsid w:val="00D03953"/>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EF35BE"/>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5AE0"/>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B82E95"/>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B84813"/>
    <w:rPr>
      <w:sz w:val="16"/>
      <w:szCs w:val="16"/>
    </w:rPr>
  </w:style>
  <w:style w:type="paragraph" w:styleId="CommentText">
    <w:name w:val="annotation text"/>
    <w:basedOn w:val="Normal"/>
    <w:link w:val="CommentTextChar"/>
    <w:uiPriority w:val="99"/>
    <w:semiHidden/>
    <w:unhideWhenUsed/>
    <w:rsid w:val="00B84813"/>
    <w:pPr>
      <w:spacing w:line="240" w:lineRule="auto"/>
    </w:pPr>
    <w:rPr>
      <w:szCs w:val="20"/>
    </w:rPr>
  </w:style>
  <w:style w:type="character" w:customStyle="1" w:styleId="CommentTextChar">
    <w:name w:val="Comment Text Char"/>
    <w:basedOn w:val="DefaultParagraphFont"/>
    <w:link w:val="CommentText"/>
    <w:uiPriority w:val="99"/>
    <w:semiHidden/>
    <w:rsid w:val="00B8481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B84813"/>
    <w:rPr>
      <w:b/>
      <w:bCs/>
    </w:rPr>
  </w:style>
  <w:style w:type="character" w:customStyle="1" w:styleId="CommentSubjectChar">
    <w:name w:val="Comment Subject Char"/>
    <w:basedOn w:val="CommentTextChar"/>
    <w:link w:val="CommentSubject"/>
    <w:uiPriority w:val="99"/>
    <w:semiHidden/>
    <w:rsid w:val="00B84813"/>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B82E95"/>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B84813"/>
    <w:rPr>
      <w:sz w:val="16"/>
      <w:szCs w:val="16"/>
    </w:rPr>
  </w:style>
  <w:style w:type="paragraph" w:styleId="CommentText">
    <w:name w:val="annotation text"/>
    <w:basedOn w:val="Normal"/>
    <w:link w:val="CommentTextChar"/>
    <w:uiPriority w:val="99"/>
    <w:semiHidden/>
    <w:unhideWhenUsed/>
    <w:rsid w:val="00B84813"/>
    <w:pPr>
      <w:spacing w:line="240" w:lineRule="auto"/>
    </w:pPr>
    <w:rPr>
      <w:szCs w:val="20"/>
    </w:rPr>
  </w:style>
  <w:style w:type="character" w:customStyle="1" w:styleId="CommentTextChar">
    <w:name w:val="Comment Text Char"/>
    <w:basedOn w:val="DefaultParagraphFont"/>
    <w:link w:val="CommentText"/>
    <w:uiPriority w:val="99"/>
    <w:semiHidden/>
    <w:rsid w:val="00B8481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B84813"/>
    <w:rPr>
      <w:b/>
      <w:bCs/>
    </w:rPr>
  </w:style>
  <w:style w:type="character" w:customStyle="1" w:styleId="CommentSubjectChar">
    <w:name w:val="Comment Subject Char"/>
    <w:basedOn w:val="CommentTextChar"/>
    <w:link w:val="CommentSubject"/>
    <w:uiPriority w:val="99"/>
    <w:semiHidden/>
    <w:rsid w:val="00B84813"/>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D11C-D866-4222-91C3-04504388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creator>Beaunee</dc:creator>
  <cp:lastModifiedBy>Caillot</cp:lastModifiedBy>
  <cp:revision>2</cp:revision>
  <cp:lastPrinted>2015-11-25T14:28:00Z</cp:lastPrinted>
  <dcterms:created xsi:type="dcterms:W3CDTF">2015-12-14T09:21:00Z</dcterms:created>
  <dcterms:modified xsi:type="dcterms:W3CDTF">2015-12-14T09:21:00Z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1520032F</vt:lpwstr>
  </property>
  <property fmtid="{D5CDD505-2E9C-101B-9397-08002B2CF9AE}" pid="3" name="ODSRefJobNo">
    <vt:lpwstr>1526220F</vt:lpwstr>
  </property>
  <property fmtid="{D5CDD505-2E9C-101B-9397-08002B2CF9AE}" pid="4" name="Symbol1">
    <vt:lpwstr>ECE/TRANS/WP.15/AC.2/57/Add.1</vt:lpwstr>
  </property>
  <property fmtid="{D5CDD505-2E9C-101B-9397-08002B2CF9AE}" pid="5" name="Symbol2">
    <vt:lpwstr/>
  </property>
  <property fmtid="{D5CDD505-2E9C-101B-9397-08002B2CF9AE}" pid="6" name="Translator">
    <vt:lpwstr/>
  </property>
  <property fmtid="{D5CDD505-2E9C-101B-9397-08002B2CF9AE}" pid="7" name="Operator">
    <vt:lpwstr>BEAUNEE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16 novembre 2015</vt:lpwstr>
  </property>
  <property fmtid="{D5CDD505-2E9C-101B-9397-08002B2CF9AE}" pid="12" name="Original">
    <vt:lpwstr>anglais</vt:lpwstr>
  </property>
  <property fmtid="{D5CDD505-2E9C-101B-9397-08002B2CF9AE}" pid="13" name="Release Date">
    <vt:lpwstr>251115</vt:lpwstr>
  </property>
</Properties>
</file>