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7F20FA">
        <w:trPr>
          <w:trHeight w:hRule="exact" w:val="851"/>
        </w:trPr>
        <w:tc>
          <w:tcPr>
            <w:tcW w:w="1276" w:type="dxa"/>
            <w:tcBorders>
              <w:bottom w:val="single" w:sz="4" w:space="0" w:color="auto"/>
            </w:tcBorders>
          </w:tcPr>
          <w:p w:rsidR="00F35BAF" w:rsidRPr="00DB58B5" w:rsidRDefault="00F35BAF" w:rsidP="002A44B7">
            <w:bookmarkStart w:id="0" w:name="_GoBack"/>
            <w:bookmarkEnd w:id="0"/>
          </w:p>
        </w:tc>
        <w:tc>
          <w:tcPr>
            <w:tcW w:w="2268" w:type="dxa"/>
            <w:tcBorders>
              <w:bottom w:val="single" w:sz="4" w:space="0" w:color="auto"/>
            </w:tcBorders>
            <w:vAlign w:val="bottom"/>
          </w:tcPr>
          <w:p w:rsidR="00F35BAF" w:rsidRPr="00DB58B5" w:rsidRDefault="00F35BAF" w:rsidP="00926B22">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2A44B7" w:rsidP="002A44B7">
            <w:pPr>
              <w:jc w:val="right"/>
            </w:pPr>
            <w:r w:rsidRPr="002A44B7">
              <w:rPr>
                <w:sz w:val="40"/>
              </w:rPr>
              <w:t>ECE</w:t>
            </w:r>
            <w:r>
              <w:t>/TRANS/WP.15/AC.2/2016/49</w:t>
            </w:r>
          </w:p>
        </w:tc>
      </w:tr>
      <w:tr w:rsidR="00F35BAF" w:rsidRPr="00DB58B5" w:rsidTr="00926B22">
        <w:trPr>
          <w:trHeight w:hRule="exact" w:val="2835"/>
        </w:trPr>
        <w:tc>
          <w:tcPr>
            <w:tcW w:w="1276" w:type="dxa"/>
            <w:tcBorders>
              <w:top w:val="single" w:sz="4" w:space="0" w:color="auto"/>
              <w:bottom w:val="single" w:sz="12" w:space="0" w:color="auto"/>
            </w:tcBorders>
          </w:tcPr>
          <w:p w:rsidR="00F35BAF" w:rsidRPr="00DB58B5" w:rsidRDefault="00F35BAF" w:rsidP="00926B22">
            <w:pPr>
              <w:spacing w:before="120"/>
              <w:jc w:val="center"/>
            </w:pPr>
            <w:r>
              <w:rPr>
                <w:noProof/>
                <w:lang w:val="en-US"/>
              </w:rPr>
              <w:drawing>
                <wp:inline distT="0" distB="0" distL="0" distR="0" wp14:anchorId="036B1E73" wp14:editId="3F7BE30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926B22">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2A44B7" w:rsidP="00926B22">
            <w:pPr>
              <w:spacing w:before="240"/>
            </w:pPr>
            <w:r>
              <w:t>Distr. générale</w:t>
            </w:r>
          </w:p>
          <w:p w:rsidR="002A44B7" w:rsidRDefault="00AD2020" w:rsidP="002A44B7">
            <w:pPr>
              <w:spacing w:line="240" w:lineRule="exact"/>
            </w:pPr>
            <w:r>
              <w:t>8</w:t>
            </w:r>
            <w:r w:rsidR="002A44B7">
              <w:t xml:space="preserve"> juin 2016</w:t>
            </w:r>
          </w:p>
          <w:p w:rsidR="002A44B7" w:rsidRDefault="002A44B7" w:rsidP="002A44B7">
            <w:pPr>
              <w:spacing w:line="240" w:lineRule="exact"/>
            </w:pPr>
            <w:r>
              <w:t>Français</w:t>
            </w:r>
          </w:p>
          <w:p w:rsidR="002A44B7" w:rsidRPr="00DB58B5" w:rsidRDefault="002A44B7" w:rsidP="002A44B7">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w:t>
      </w:r>
      <w:r w:rsidR="00321934">
        <w:rPr>
          <w:b/>
          <w:sz w:val="28"/>
          <w:szCs w:val="28"/>
        </w:rPr>
        <w:t>’</w:t>
      </w:r>
      <w:r w:rsidRPr="000312C0">
        <w:rPr>
          <w:b/>
          <w:sz w:val="28"/>
          <w:szCs w:val="28"/>
        </w:rPr>
        <w:t>Europe</w:t>
      </w:r>
    </w:p>
    <w:p w:rsidR="007F20FA" w:rsidRDefault="007F20FA" w:rsidP="007F20FA">
      <w:pPr>
        <w:spacing w:before="120"/>
        <w:rPr>
          <w:sz w:val="28"/>
          <w:szCs w:val="28"/>
        </w:rPr>
      </w:pPr>
      <w:r w:rsidRPr="00685843">
        <w:rPr>
          <w:sz w:val="28"/>
          <w:szCs w:val="28"/>
        </w:rPr>
        <w:t>Comité des transports intérieurs</w:t>
      </w:r>
    </w:p>
    <w:p w:rsidR="002A44B7" w:rsidRPr="009E01B8" w:rsidRDefault="002A44B7" w:rsidP="00AF0CB5">
      <w:pPr>
        <w:spacing w:before="120"/>
        <w:rPr>
          <w:b/>
          <w:sz w:val="24"/>
          <w:szCs w:val="24"/>
        </w:rPr>
      </w:pPr>
      <w:r w:rsidRPr="009E01B8">
        <w:rPr>
          <w:b/>
          <w:sz w:val="24"/>
          <w:szCs w:val="24"/>
        </w:rPr>
        <w:t>Groupe de travail des transports</w:t>
      </w:r>
      <w:r>
        <w:rPr>
          <w:b/>
          <w:sz w:val="24"/>
          <w:szCs w:val="24"/>
        </w:rPr>
        <w:t xml:space="preserve"> </w:t>
      </w:r>
      <w:r w:rsidRPr="009E01B8">
        <w:rPr>
          <w:b/>
          <w:sz w:val="24"/>
          <w:szCs w:val="24"/>
        </w:rPr>
        <w:t>de marchandises dangereuses</w:t>
      </w:r>
    </w:p>
    <w:p w:rsidR="002A44B7" w:rsidRPr="004812F5" w:rsidRDefault="002A44B7" w:rsidP="00AF0CB5">
      <w:pPr>
        <w:spacing w:before="120"/>
        <w:rPr>
          <w:b/>
        </w:rPr>
      </w:pPr>
      <w:r w:rsidRPr="004812F5">
        <w:rPr>
          <w:b/>
          <w:lang w:val="fr-FR"/>
        </w:rPr>
        <w:t>Réunion commune d</w:t>
      </w:r>
      <w:r w:rsidR="00321934">
        <w:rPr>
          <w:b/>
          <w:lang w:val="fr-FR"/>
        </w:rPr>
        <w:t>’</w:t>
      </w:r>
      <w:r w:rsidRPr="004812F5">
        <w:rPr>
          <w:b/>
          <w:lang w:val="fr-FR"/>
        </w:rPr>
        <w:t>experts sur le Règlement annexé</w:t>
      </w:r>
      <w:r w:rsidR="00955DDE">
        <w:rPr>
          <w:b/>
          <w:lang w:val="fr-FR"/>
        </w:rPr>
        <w:t xml:space="preserve"> </w:t>
      </w:r>
      <w:r>
        <w:rPr>
          <w:b/>
          <w:lang w:val="fr-FR"/>
        </w:rPr>
        <w:br/>
      </w:r>
      <w:r w:rsidRPr="004812F5">
        <w:rPr>
          <w:b/>
          <w:lang w:val="fr-FR"/>
        </w:rPr>
        <w:t>à l</w:t>
      </w:r>
      <w:r w:rsidR="00321934">
        <w:rPr>
          <w:b/>
          <w:lang w:val="fr-FR"/>
        </w:rPr>
        <w:t>’</w:t>
      </w:r>
      <w:r w:rsidRPr="004812F5">
        <w:rPr>
          <w:b/>
          <w:lang w:val="fr-FR"/>
        </w:rPr>
        <w:t>Accord européen</w:t>
      </w:r>
      <w:r>
        <w:rPr>
          <w:b/>
          <w:lang w:val="fr-FR"/>
        </w:rPr>
        <w:t xml:space="preserve"> </w:t>
      </w:r>
      <w:r w:rsidRPr="004812F5">
        <w:rPr>
          <w:b/>
          <w:lang w:val="fr-FR"/>
        </w:rPr>
        <w:t>relatif au transport international</w:t>
      </w:r>
      <w:r w:rsidR="00955DDE">
        <w:rPr>
          <w:b/>
          <w:lang w:val="fr-FR"/>
        </w:rPr>
        <w:t xml:space="preserve"> </w:t>
      </w:r>
      <w:r>
        <w:rPr>
          <w:b/>
          <w:lang w:val="fr-FR"/>
        </w:rPr>
        <w:br/>
      </w:r>
      <w:r w:rsidRPr="004812F5">
        <w:rPr>
          <w:b/>
          <w:lang w:val="fr-FR"/>
        </w:rPr>
        <w:t xml:space="preserve">des marchandises </w:t>
      </w:r>
      <w:r w:rsidRPr="004812F5">
        <w:rPr>
          <w:b/>
          <w:bCs/>
          <w:iCs/>
          <w:lang w:val="fr-FR"/>
        </w:rPr>
        <w:t>dangereuses par voies</w:t>
      </w:r>
      <w:r>
        <w:rPr>
          <w:b/>
          <w:bCs/>
          <w:iCs/>
          <w:lang w:val="fr-FR"/>
        </w:rPr>
        <w:t xml:space="preserve"> </w:t>
      </w:r>
      <w:r w:rsidRPr="004812F5">
        <w:rPr>
          <w:b/>
          <w:bCs/>
          <w:iCs/>
          <w:lang w:val="fr-FR"/>
        </w:rPr>
        <w:t>de navigation</w:t>
      </w:r>
      <w:r w:rsidR="00955DDE">
        <w:rPr>
          <w:b/>
          <w:bCs/>
          <w:iCs/>
          <w:lang w:val="fr-FR"/>
        </w:rPr>
        <w:t xml:space="preserve"> </w:t>
      </w:r>
      <w:r>
        <w:rPr>
          <w:b/>
          <w:bCs/>
          <w:iCs/>
          <w:lang w:val="fr-FR"/>
        </w:rPr>
        <w:br/>
      </w:r>
      <w:r w:rsidRPr="004812F5">
        <w:rPr>
          <w:b/>
          <w:bCs/>
          <w:iCs/>
          <w:lang w:val="fr-FR"/>
        </w:rPr>
        <w:t xml:space="preserve">intérieures (ADN) </w:t>
      </w:r>
      <w:r w:rsidRPr="004812F5">
        <w:rPr>
          <w:b/>
          <w:bCs/>
          <w:lang w:val="fr-FR"/>
        </w:rPr>
        <w:t>(Comité de sécurité de l</w:t>
      </w:r>
      <w:r w:rsidR="00321934">
        <w:rPr>
          <w:b/>
          <w:bCs/>
          <w:lang w:val="fr-FR"/>
        </w:rPr>
        <w:t>’</w:t>
      </w:r>
      <w:r w:rsidRPr="004812F5">
        <w:rPr>
          <w:b/>
          <w:bCs/>
          <w:lang w:val="fr-FR"/>
        </w:rPr>
        <w:t>ADN)</w:t>
      </w:r>
    </w:p>
    <w:p w:rsidR="002A44B7" w:rsidRPr="00234E40" w:rsidRDefault="002A44B7" w:rsidP="00AF0CB5">
      <w:pPr>
        <w:spacing w:before="120"/>
        <w:rPr>
          <w:b/>
        </w:rPr>
      </w:pPr>
      <w:r w:rsidRPr="002A44B7">
        <w:rPr>
          <w:b/>
        </w:rPr>
        <w:t>Vingt-neuvième</w:t>
      </w:r>
      <w:r>
        <w:rPr>
          <w:b/>
        </w:rPr>
        <w:t xml:space="preserve"> </w:t>
      </w:r>
      <w:r w:rsidRPr="00234E40">
        <w:rPr>
          <w:b/>
        </w:rPr>
        <w:t>session</w:t>
      </w:r>
    </w:p>
    <w:p w:rsidR="002A44B7" w:rsidRDefault="002A44B7" w:rsidP="00AF0CB5">
      <w:r>
        <w:t>Genève, 22-</w:t>
      </w:r>
      <w:r w:rsidRPr="009A37E1">
        <w:t>26 août 2016</w:t>
      </w:r>
    </w:p>
    <w:p w:rsidR="002A44B7" w:rsidRDefault="002A44B7" w:rsidP="00AF0CB5">
      <w:r w:rsidRPr="00B93E72">
        <w:t xml:space="preserve">Point </w:t>
      </w:r>
      <w:r w:rsidRPr="009A37E1">
        <w:t xml:space="preserve">5 </w:t>
      </w:r>
      <w:r w:rsidRPr="00B93E72">
        <w:t>de l</w:t>
      </w:r>
      <w:r w:rsidR="00321934">
        <w:t>’</w:t>
      </w:r>
      <w:r w:rsidRPr="00B93E72">
        <w:t>ordre du jour provisoire</w:t>
      </w:r>
    </w:p>
    <w:p w:rsidR="002A44B7" w:rsidRPr="002A44B7" w:rsidRDefault="002A44B7" w:rsidP="002A44B7">
      <w:pPr>
        <w:rPr>
          <w:b/>
        </w:rPr>
      </w:pPr>
      <w:r w:rsidRPr="002A44B7">
        <w:rPr>
          <w:b/>
        </w:rPr>
        <w:t>Rapport des groupes de travail informels</w:t>
      </w:r>
    </w:p>
    <w:p w:rsidR="002A44B7" w:rsidRPr="009A37E1" w:rsidRDefault="002A44B7" w:rsidP="002A44B7">
      <w:pPr>
        <w:pStyle w:val="HChG"/>
      </w:pPr>
      <w:r w:rsidRPr="009A37E1">
        <w:tab/>
      </w:r>
      <w:r w:rsidRPr="009A37E1">
        <w:tab/>
        <w:t xml:space="preserve">Rapport du groupe de travail informel </w:t>
      </w:r>
      <w:r>
        <w:br/>
        <w:t xml:space="preserve">du </w:t>
      </w:r>
      <w:r w:rsidRPr="009A37E1">
        <w:t>dégazage des citernes</w:t>
      </w:r>
    </w:p>
    <w:p w:rsidR="002A44B7" w:rsidRPr="009A37E1" w:rsidRDefault="002A44B7" w:rsidP="002A44B7">
      <w:pPr>
        <w:pStyle w:val="H1G"/>
        <w:rPr>
          <w:szCs w:val="24"/>
          <w:vertAlign w:val="superscript"/>
        </w:rPr>
      </w:pPr>
      <w:r w:rsidRPr="009A37E1">
        <w:tab/>
      </w:r>
      <w:r w:rsidRPr="009A37E1">
        <w:tab/>
        <w:t xml:space="preserve">Communication du Gouvernement </w:t>
      </w:r>
      <w:r>
        <w:t>néerlandais</w:t>
      </w:r>
      <w:r w:rsidRPr="002A44B7">
        <w:rPr>
          <w:rStyle w:val="FootnoteReference"/>
          <w:b w:val="0"/>
        </w:rPr>
        <w:footnoteReference w:id="2"/>
      </w:r>
      <w:r w:rsidRPr="00AD2020">
        <w:rPr>
          <w:b w:val="0"/>
          <w:sz w:val="20"/>
          <w:vertAlign w:val="superscript"/>
        </w:rPr>
        <w:t xml:space="preserve">, </w:t>
      </w:r>
      <w:r w:rsidRPr="002A44B7">
        <w:rPr>
          <w:rStyle w:val="FootnoteReference"/>
          <w:b w:val="0"/>
        </w:rPr>
        <w:footnoteReference w:id="3"/>
      </w:r>
    </w:p>
    <w:p w:rsidR="002A44B7" w:rsidRPr="008D1360" w:rsidRDefault="002A44B7" w:rsidP="002A44B7">
      <w:pPr>
        <w:pStyle w:val="HChG"/>
      </w:pPr>
      <w:r w:rsidRPr="009A37E1">
        <w:tab/>
      </w:r>
      <w:r w:rsidRPr="008D1360">
        <w:t>I.</w:t>
      </w:r>
      <w:r w:rsidRPr="008D1360">
        <w:rPr>
          <w:sz w:val="24"/>
          <w:szCs w:val="24"/>
        </w:rPr>
        <w:tab/>
      </w:r>
      <w:r w:rsidRPr="008D1360">
        <w:t>Introduction</w:t>
      </w:r>
    </w:p>
    <w:p w:rsidR="002A44B7" w:rsidRPr="00CB76B0" w:rsidRDefault="002A44B7" w:rsidP="002A44B7">
      <w:pPr>
        <w:pStyle w:val="ParNoG"/>
      </w:pPr>
      <w:r w:rsidRPr="00CB76B0">
        <w:t>À sa vingt-huitième session, le Comité de sécurité de l</w:t>
      </w:r>
      <w:r w:rsidR="00321934">
        <w:t>’</w:t>
      </w:r>
      <w:r>
        <w:t>A</w:t>
      </w:r>
      <w:r w:rsidRPr="00CB76B0">
        <w:t>D</w:t>
      </w:r>
      <w:r>
        <w:t>N</w:t>
      </w:r>
      <w:r w:rsidRPr="00CB76B0">
        <w:t xml:space="preserve"> a examiné le rapport de la quatrième </w:t>
      </w:r>
      <w:r>
        <w:t>réu</w:t>
      </w:r>
      <w:r w:rsidRPr="00CB76B0">
        <w:t>nion du groupe de travail informel du dégazage des citernes</w:t>
      </w:r>
      <w:r>
        <w:t xml:space="preserve"> </w:t>
      </w:r>
      <w:r w:rsidRPr="00CB76B0">
        <w:t>(ECE/TRANS/WP.15/AC.2/2016/25). D</w:t>
      </w:r>
      <w:r w:rsidR="00321934">
        <w:t>’</w:t>
      </w:r>
      <w:r w:rsidRPr="00CB76B0">
        <w:t>après le rapport du Comité, les propositions soumises par le groupe de travail informel ont été examinées et adoptées jus</w:t>
      </w:r>
      <w:r>
        <w:t>qu</w:t>
      </w:r>
      <w:r w:rsidR="00321934">
        <w:t>’</w:t>
      </w:r>
      <w:r>
        <w:t>au paragraphe </w:t>
      </w:r>
      <w:r w:rsidRPr="00CB76B0">
        <w:t>7.2.3.7.3</w:t>
      </w:r>
      <w:r>
        <w:t>, à l</w:t>
      </w:r>
      <w:r w:rsidR="00321934">
        <w:t>’</w:t>
      </w:r>
      <w:r>
        <w:t>exception de l</w:t>
      </w:r>
      <w:r w:rsidR="00321934">
        <w:t>’</w:t>
      </w:r>
      <w:r>
        <w:t>ajout d</w:t>
      </w:r>
      <w:r w:rsidR="00321934">
        <w:t>’</w:t>
      </w:r>
      <w:r>
        <w:t xml:space="preserve">une phrase au </w:t>
      </w:r>
      <w:r w:rsidRPr="00CB76B0">
        <w:t xml:space="preserve">1.1.2.5 </w:t>
      </w:r>
      <w:r>
        <w:t>et sous réserve de modifications mineures</w:t>
      </w:r>
      <w:r w:rsidRPr="00CB76B0">
        <w:t xml:space="preserve">. Le groupe a été prié de se réunir avant la session suivante </w:t>
      </w:r>
      <w:r>
        <w:t>pour discuter de</w:t>
      </w:r>
      <w:r w:rsidRPr="00CB76B0">
        <w:t xml:space="preserve"> certaines questions soulevées pendant la session et d</w:t>
      </w:r>
      <w:r w:rsidR="00321934">
        <w:t>’</w:t>
      </w:r>
      <w:r w:rsidRPr="00CB76B0">
        <w:t xml:space="preserve">établir la version définitive </w:t>
      </w:r>
      <w:r>
        <w:t>des propositions d</w:t>
      </w:r>
      <w:r w:rsidR="00321934">
        <w:t>’</w:t>
      </w:r>
      <w:r>
        <w:t xml:space="preserve">amendements </w:t>
      </w:r>
      <w:r w:rsidRPr="00CB76B0">
        <w:t>(ECE/TRANS/WP.15/AC.2/58</w:t>
      </w:r>
      <w:r>
        <w:t>, par. </w:t>
      </w:r>
      <w:r w:rsidRPr="00CB76B0">
        <w:t>73</w:t>
      </w:r>
      <w:r>
        <w:t xml:space="preserve"> et 7</w:t>
      </w:r>
      <w:r w:rsidRPr="00CB76B0">
        <w:t>4).</w:t>
      </w:r>
    </w:p>
    <w:p w:rsidR="002A44B7" w:rsidRPr="00350DFD" w:rsidRDefault="002A44B7" w:rsidP="002A44B7">
      <w:pPr>
        <w:pStyle w:val="ParNoG"/>
        <w:tabs>
          <w:tab w:val="clear" w:pos="1701"/>
        </w:tabs>
      </w:pPr>
      <w:r w:rsidRPr="00D44404">
        <w:t>La plupart des amendements proposés par le groupe de travail informel ayant déjà été adoptés à la session précédente du Comite de sécurité de l</w:t>
      </w:r>
      <w:r w:rsidR="00321934">
        <w:t>’</w:t>
      </w:r>
      <w:r w:rsidRPr="00D44404">
        <w:t xml:space="preserve">ADN, </w:t>
      </w:r>
      <w:r>
        <w:t xml:space="preserve">et puisque le groupe </w:t>
      </w:r>
      <w:r>
        <w:lastRenderedPageBreak/>
        <w:t>s</w:t>
      </w:r>
      <w:r w:rsidR="00321934">
        <w:t>’</w:t>
      </w:r>
      <w:r>
        <w:t>était déjà penché sur la version définitive des propositions d</w:t>
      </w:r>
      <w:r w:rsidR="00321934">
        <w:t>’</w:t>
      </w:r>
      <w:r>
        <w:t xml:space="preserve">amendements à sa dernière réunion, tenue à </w:t>
      </w:r>
      <w:r w:rsidRPr="00D44404">
        <w:t xml:space="preserve">Braunschweig </w:t>
      </w:r>
      <w:r>
        <w:t xml:space="preserve">(Allemagne) le </w:t>
      </w:r>
      <w:r w:rsidR="00585556">
        <w:t>13 </w:t>
      </w:r>
      <w:r>
        <w:t xml:space="preserve">octobre </w:t>
      </w:r>
      <w:r w:rsidRPr="00D44404">
        <w:t xml:space="preserve">2015, </w:t>
      </w:r>
      <w:r>
        <w:t>il a été décidé de former un groupe de correspondance</w:t>
      </w:r>
      <w:r w:rsidRPr="00D44404">
        <w:t xml:space="preserve">. </w:t>
      </w:r>
      <w:r>
        <w:t>Il serait ainsi possible d</w:t>
      </w:r>
      <w:r w:rsidR="00321934">
        <w:t>’</w:t>
      </w:r>
      <w:r>
        <w:t>étudier les dernières questions et suggestions en suspens et de mettre au point la version définitive des propositions</w:t>
      </w:r>
      <w:r w:rsidRPr="00350DFD">
        <w:t xml:space="preserve">. À cette fin, le groupe de </w:t>
      </w:r>
      <w:r>
        <w:t>corresponda</w:t>
      </w:r>
      <w:r w:rsidRPr="00350DFD">
        <w:t>nce s</w:t>
      </w:r>
      <w:r w:rsidR="00321934">
        <w:t>’</w:t>
      </w:r>
      <w:r w:rsidRPr="00350DFD">
        <w:t>est appuyé sur les principes adoptés lors de ses précédentes réunions (ECE/TRANS/WP.15/AC.2/2015/29), sur son examen des propositions d</w:t>
      </w:r>
      <w:r w:rsidR="00321934">
        <w:t>’</w:t>
      </w:r>
      <w:r w:rsidRPr="00350DFD">
        <w:t>amendements à l</w:t>
      </w:r>
      <w:r w:rsidR="00321934">
        <w:t>’</w:t>
      </w:r>
      <w:r>
        <w:t>A</w:t>
      </w:r>
      <w:r w:rsidRPr="00350DFD">
        <w:t>D</w:t>
      </w:r>
      <w:r>
        <w:t>N</w:t>
      </w:r>
      <w:r w:rsidRPr="00350DFD">
        <w:t xml:space="preserve"> conformément aux objectifs qu</w:t>
      </w:r>
      <w:r w:rsidR="00321934">
        <w:t>’</w:t>
      </w:r>
      <w:r w:rsidRPr="00350DFD">
        <w:t>il s</w:t>
      </w:r>
      <w:r w:rsidR="00321934">
        <w:t>’</w:t>
      </w:r>
      <w:r w:rsidRPr="00350DFD">
        <w:t>était fixé</w:t>
      </w:r>
      <w:r>
        <w:t xml:space="preserve"> </w:t>
      </w:r>
      <w:r w:rsidRPr="00350DFD">
        <w:t xml:space="preserve">(document </w:t>
      </w:r>
      <w:r>
        <w:t xml:space="preserve">informel </w:t>
      </w:r>
      <w:r w:rsidRPr="00350DFD">
        <w:t xml:space="preserve">INF.18 </w:t>
      </w:r>
      <w:r>
        <w:t xml:space="preserve">de la vingt-cinquième </w:t>
      </w:r>
      <w:r w:rsidRPr="00350DFD">
        <w:t xml:space="preserve">session </w:t>
      </w:r>
      <w:r>
        <w:t xml:space="preserve">et </w:t>
      </w:r>
      <w:r w:rsidRPr="00350DFD">
        <w:t xml:space="preserve">document </w:t>
      </w:r>
      <w:r>
        <w:t xml:space="preserve">informel </w:t>
      </w:r>
      <w:r w:rsidRPr="00350DFD">
        <w:t xml:space="preserve">INF.19 </w:t>
      </w:r>
      <w:r>
        <w:t xml:space="preserve">de la vingt-sixième </w:t>
      </w:r>
      <w:r w:rsidRPr="00350DFD">
        <w:t xml:space="preserve">session) </w:t>
      </w:r>
      <w:r>
        <w:t xml:space="preserve">et sur </w:t>
      </w:r>
      <w:r w:rsidRPr="00350DFD">
        <w:t xml:space="preserve">les observations et les suggestions émises par le </w:t>
      </w:r>
      <w:r>
        <w:t>Comité de sécurité de l</w:t>
      </w:r>
      <w:r w:rsidR="00321934">
        <w:t>’</w:t>
      </w:r>
      <w:r w:rsidRPr="00350DFD">
        <w:t>ADN</w:t>
      </w:r>
      <w:r>
        <w:t>, à sa session d</w:t>
      </w:r>
      <w:r w:rsidR="00321934">
        <w:t>’</w:t>
      </w:r>
      <w:r>
        <w:t xml:space="preserve">août </w:t>
      </w:r>
      <w:r w:rsidRPr="00350DFD">
        <w:t>2015</w:t>
      </w:r>
      <w:r>
        <w:t xml:space="preserve">, au sujet des troisième et quatrième rapports du groupe de travail informel </w:t>
      </w:r>
      <w:r w:rsidRPr="00350DFD">
        <w:t>(ECE/TRANS/WP.15/AC.2/56</w:t>
      </w:r>
      <w:r>
        <w:t>, par.</w:t>
      </w:r>
      <w:r w:rsidR="00A96454">
        <w:t> </w:t>
      </w:r>
      <w:r w:rsidRPr="00350DFD">
        <w:t>70</w:t>
      </w:r>
      <w:r>
        <w:t xml:space="preserve"> à 74, et </w:t>
      </w:r>
      <w:r w:rsidRPr="00350DFD">
        <w:t>ECE/TRANS/WP.15/AC.2/58, par</w:t>
      </w:r>
      <w:r w:rsidR="00A96454">
        <w:t>. </w:t>
      </w:r>
      <w:r w:rsidRPr="00350DFD">
        <w:t>73</w:t>
      </w:r>
      <w:r>
        <w:t xml:space="preserve"> et </w:t>
      </w:r>
      <w:r w:rsidRPr="00350DFD">
        <w:t>74).</w:t>
      </w:r>
    </w:p>
    <w:p w:rsidR="002A44B7" w:rsidRPr="009E3B96" w:rsidRDefault="002A44B7" w:rsidP="002A44B7">
      <w:pPr>
        <w:pStyle w:val="HChG"/>
        <w:rPr>
          <w:lang w:val="en-US"/>
        </w:rPr>
      </w:pPr>
      <w:r w:rsidRPr="00350DFD">
        <w:tab/>
      </w:r>
      <w:r w:rsidRPr="009E3B96">
        <w:rPr>
          <w:lang w:val="en-US"/>
        </w:rPr>
        <w:t>II.</w:t>
      </w:r>
      <w:r w:rsidRPr="009E3B96">
        <w:rPr>
          <w:lang w:val="en-US"/>
        </w:rPr>
        <w:tab/>
      </w:r>
      <w:r>
        <w:rPr>
          <w:lang w:val="en-US"/>
        </w:rPr>
        <w:t>Questions examinées</w:t>
      </w:r>
    </w:p>
    <w:p w:rsidR="002A44B7" w:rsidRPr="000E6C14" w:rsidRDefault="002A44B7" w:rsidP="002A44B7">
      <w:pPr>
        <w:pStyle w:val="ParNoG"/>
        <w:tabs>
          <w:tab w:val="clear" w:pos="1701"/>
        </w:tabs>
      </w:pPr>
      <w:r w:rsidRPr="000E6C14">
        <w:t>Compte tenu du rapport de la quatrième r</w:t>
      </w:r>
      <w:r>
        <w:t>é</w:t>
      </w:r>
      <w:r w:rsidRPr="000E6C14">
        <w:t>union du groupe de travail informel (ECE/TRANS/WP.15/AC.2/2016/25), examiné par le Comité de sécurité de l</w:t>
      </w:r>
      <w:r w:rsidR="00321934">
        <w:t>’</w:t>
      </w:r>
      <w:r w:rsidRPr="000E6C14">
        <w:t xml:space="preserve">ADN à sa session de janvier 2016, et des modifications qui avaient déjà été </w:t>
      </w:r>
      <w:r>
        <w:t>adopté</w:t>
      </w:r>
      <w:r w:rsidRPr="000E6C14">
        <w:t xml:space="preserve">es à titre provisoire par le Comité, le </w:t>
      </w:r>
      <w:r>
        <w:t>groupe de trav</w:t>
      </w:r>
      <w:r w:rsidRPr="000E6C14">
        <w:t>a</w:t>
      </w:r>
      <w:r>
        <w:t>i</w:t>
      </w:r>
      <w:r w:rsidRPr="000E6C14">
        <w:t xml:space="preserve">l informel </w:t>
      </w:r>
      <w:r>
        <w:t>formule les suggestions suivantes :</w:t>
      </w:r>
    </w:p>
    <w:p w:rsidR="002A44B7" w:rsidRPr="00DA0940" w:rsidRDefault="002A44B7" w:rsidP="002A44B7">
      <w:pPr>
        <w:pStyle w:val="Bullet1G"/>
      </w:pPr>
      <w:r>
        <w:t>Supprimer la modification du 1.1.2.5 ;</w:t>
      </w:r>
    </w:p>
    <w:p w:rsidR="002A44B7" w:rsidRPr="000E6C14" w:rsidRDefault="002A44B7" w:rsidP="002A44B7">
      <w:pPr>
        <w:pStyle w:val="Bullet1G"/>
      </w:pPr>
      <w:r>
        <w:t>Supprimer la modification de « </w:t>
      </w:r>
      <w:r w:rsidRPr="000E6C14">
        <w:t>Détecteu</w:t>
      </w:r>
      <w:r>
        <w:t>r de gaz inflammables »</w:t>
      </w:r>
      <w:r w:rsidRPr="000E6C14">
        <w:t xml:space="preserve"> au 1.2.1, puisque la question </w:t>
      </w:r>
      <w:r>
        <w:t xml:space="preserve">est examinée par le groupe de travail informel de </w:t>
      </w:r>
      <w:r w:rsidRPr="000E6C14">
        <w:t>l</w:t>
      </w:r>
      <w:r>
        <w:t>a protection contre l</w:t>
      </w:r>
      <w:r w:rsidR="00321934">
        <w:t>’</w:t>
      </w:r>
      <w:r>
        <w:t>explosion ;</w:t>
      </w:r>
    </w:p>
    <w:p w:rsidR="002A44B7" w:rsidRPr="000E6C14" w:rsidRDefault="002A44B7" w:rsidP="002A44B7">
      <w:pPr>
        <w:pStyle w:val="Bullet1G"/>
      </w:pPr>
      <w:r w:rsidRPr="000E6C14">
        <w:t>Ajouter au 1.2.1 la traduction allemande de l</w:t>
      </w:r>
      <w:r w:rsidR="00321934">
        <w:t>’</w:t>
      </w:r>
      <w:r w:rsidRPr="000E6C14">
        <w:t xml:space="preserve">abréviation de </w:t>
      </w:r>
      <w:r>
        <w:t>« la limite supérieure d</w:t>
      </w:r>
      <w:r w:rsidR="00321934">
        <w:t>’</w:t>
      </w:r>
      <w:r>
        <w:t>explosivité » ;</w:t>
      </w:r>
    </w:p>
    <w:p w:rsidR="002A44B7" w:rsidRPr="000E6C14" w:rsidRDefault="002A44B7" w:rsidP="002A44B7">
      <w:pPr>
        <w:pStyle w:val="Bullet1G"/>
      </w:pPr>
      <w:r w:rsidRPr="000E6C14">
        <w:t>Ajouter au 7.2.3.7.2 (premier paragraphe</w:t>
      </w:r>
      <w:r>
        <w:t>) « sous les ponts ou dans des zones à forte densité de population » ;</w:t>
      </w:r>
    </w:p>
    <w:p w:rsidR="002A44B7" w:rsidRPr="000E6C14" w:rsidRDefault="002A44B7" w:rsidP="002A44B7">
      <w:pPr>
        <w:pStyle w:val="Bullet1G"/>
      </w:pPr>
      <w:r w:rsidRPr="000E6C14">
        <w:t>Ajouter au 7.2.3.7.3 un renvoi exprès au premier paragraphe du 7.2.3.7.2.</w:t>
      </w:r>
    </w:p>
    <w:p w:rsidR="002A44B7" w:rsidRPr="009E3B96" w:rsidRDefault="002A44B7" w:rsidP="002A44B7">
      <w:pPr>
        <w:pStyle w:val="HChG"/>
        <w:rPr>
          <w:lang w:val="en-US"/>
        </w:rPr>
      </w:pPr>
      <w:r w:rsidRPr="000E6C14">
        <w:tab/>
      </w:r>
      <w:r w:rsidRPr="009E3B96">
        <w:rPr>
          <w:lang w:val="en-US"/>
        </w:rPr>
        <w:t>III.</w:t>
      </w:r>
      <w:r w:rsidRPr="009E3B96">
        <w:rPr>
          <w:lang w:val="en-US"/>
        </w:rPr>
        <w:tab/>
        <w:t>Propos</w:t>
      </w:r>
      <w:r>
        <w:rPr>
          <w:lang w:val="en-US"/>
        </w:rPr>
        <w:t>ition</w:t>
      </w:r>
    </w:p>
    <w:p w:rsidR="00F9573C" w:rsidRDefault="002A44B7" w:rsidP="002A44B7">
      <w:pPr>
        <w:pStyle w:val="ParNoG"/>
        <w:tabs>
          <w:tab w:val="clear" w:pos="1701"/>
        </w:tabs>
      </w:pPr>
      <w:r w:rsidRPr="009A37E1">
        <w:t>Le Comité de sécurité de l</w:t>
      </w:r>
      <w:r w:rsidR="00321934">
        <w:t>’</w:t>
      </w:r>
      <w:r w:rsidRPr="009A37E1">
        <w:t xml:space="preserve">ADN est </w:t>
      </w:r>
      <w:r>
        <w:t xml:space="preserve">invité à </w:t>
      </w:r>
      <w:r w:rsidRPr="009A37E1">
        <w:t>examiner les propositions de modification du Règlement annexé à l</w:t>
      </w:r>
      <w:r w:rsidR="00321934">
        <w:t>’</w:t>
      </w:r>
      <w:r w:rsidRPr="009A37E1">
        <w:t>ADN, qui sont reproduites dans l</w:t>
      </w:r>
      <w:r w:rsidR="00321934">
        <w:t>’</w:t>
      </w:r>
      <w:r w:rsidRPr="009A37E1">
        <w:t xml:space="preserve">annexe </w:t>
      </w:r>
      <w:r>
        <w:t>du</w:t>
      </w:r>
      <w:r w:rsidRPr="009A37E1">
        <w:t xml:space="preserve"> présent document.</w:t>
      </w:r>
    </w:p>
    <w:p w:rsidR="00255189" w:rsidRDefault="00255189" w:rsidP="00255189">
      <w:pPr>
        <w:pStyle w:val="SingleTxtG"/>
      </w:pPr>
    </w:p>
    <w:p w:rsidR="00255189" w:rsidRDefault="00255189" w:rsidP="00D050B6">
      <w:pPr>
        <w:pStyle w:val="SingleTxtG"/>
        <w:sectPr w:rsidR="00255189" w:rsidSect="002A44B7">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pPr>
    </w:p>
    <w:p w:rsidR="003E324E" w:rsidRPr="007E651B" w:rsidRDefault="003E324E" w:rsidP="005B1CF1">
      <w:pPr>
        <w:pStyle w:val="HChG"/>
      </w:pPr>
      <w:r w:rsidRPr="007E651B">
        <w:lastRenderedPageBreak/>
        <w:t>Annexe</w:t>
      </w:r>
    </w:p>
    <w:p w:rsidR="003E324E" w:rsidRDefault="003E324E" w:rsidP="005B1CF1">
      <w:pPr>
        <w:pStyle w:val="HChG"/>
      </w:pPr>
      <w:r w:rsidRPr="007E651B">
        <w:tab/>
      </w:r>
      <w:r w:rsidR="005B1CF1">
        <w:tab/>
      </w:r>
      <w:r w:rsidRPr="0030753D">
        <w:t>Propositions d</w:t>
      </w:r>
      <w:r w:rsidR="00321934">
        <w:t>’</w:t>
      </w:r>
      <w:r w:rsidRPr="0030753D">
        <w:t>amendements à l</w:t>
      </w:r>
      <w:r w:rsidR="00321934">
        <w:t>’</w:t>
      </w:r>
      <w:r w:rsidRPr="0030753D">
        <w:t>ADN 2015</w:t>
      </w:r>
    </w:p>
    <w:tbl>
      <w:tblPr>
        <w:tblW w:w="12581" w:type="dxa"/>
        <w:tblInd w:w="283" w:type="dxa"/>
        <w:tblLayout w:type="fixed"/>
        <w:tblCellMar>
          <w:left w:w="0" w:type="dxa"/>
          <w:right w:w="0" w:type="dxa"/>
        </w:tblCellMar>
        <w:tblLook w:val="0000" w:firstRow="0" w:lastRow="0" w:firstColumn="0" w:lastColumn="0" w:noHBand="0" w:noVBand="0"/>
      </w:tblPr>
      <w:tblGrid>
        <w:gridCol w:w="1328"/>
        <w:gridCol w:w="5976"/>
        <w:gridCol w:w="5046"/>
        <w:gridCol w:w="9"/>
        <w:gridCol w:w="222"/>
      </w:tblGrid>
      <w:tr w:rsidR="003E324E" w:rsidRPr="003E324E" w:rsidTr="003E324E">
        <w:trPr>
          <w:tblHeader/>
        </w:trPr>
        <w:tc>
          <w:tcPr>
            <w:tcW w:w="1328" w:type="dxa"/>
            <w:tcBorders>
              <w:top w:val="single" w:sz="4" w:space="0" w:color="auto"/>
              <w:bottom w:val="single" w:sz="12" w:space="0" w:color="auto"/>
            </w:tcBorders>
            <w:shd w:val="clear" w:color="auto" w:fill="auto"/>
            <w:vAlign w:val="bottom"/>
          </w:tcPr>
          <w:p w:rsidR="003E324E" w:rsidRPr="003E324E" w:rsidRDefault="003E324E" w:rsidP="003E324E">
            <w:pPr>
              <w:suppressAutoHyphens w:val="0"/>
              <w:spacing w:before="80" w:after="80" w:line="200" w:lineRule="exact"/>
              <w:ind w:right="113"/>
              <w:rPr>
                <w:i/>
                <w:sz w:val="16"/>
              </w:rPr>
            </w:pPr>
            <w:r w:rsidRPr="003E324E">
              <w:rPr>
                <w:i/>
                <w:sz w:val="16"/>
              </w:rPr>
              <w:t>Proposition</w:t>
            </w:r>
          </w:p>
        </w:tc>
        <w:tc>
          <w:tcPr>
            <w:tcW w:w="5976" w:type="dxa"/>
            <w:tcBorders>
              <w:top w:val="single" w:sz="4" w:space="0" w:color="auto"/>
              <w:bottom w:val="single" w:sz="12" w:space="0" w:color="auto"/>
            </w:tcBorders>
            <w:shd w:val="clear" w:color="auto" w:fill="auto"/>
            <w:vAlign w:val="bottom"/>
          </w:tcPr>
          <w:p w:rsidR="003E324E" w:rsidRPr="003E324E" w:rsidRDefault="003E324E" w:rsidP="003E324E">
            <w:pPr>
              <w:suppressAutoHyphens w:val="0"/>
              <w:spacing w:before="80" w:after="80" w:line="200" w:lineRule="exact"/>
              <w:ind w:right="113"/>
              <w:rPr>
                <w:i/>
                <w:sz w:val="16"/>
              </w:rPr>
            </w:pPr>
          </w:p>
        </w:tc>
        <w:tc>
          <w:tcPr>
            <w:tcW w:w="5277" w:type="dxa"/>
            <w:gridSpan w:val="3"/>
            <w:tcBorders>
              <w:top w:val="single" w:sz="4" w:space="0" w:color="auto"/>
              <w:bottom w:val="single" w:sz="12" w:space="0" w:color="auto"/>
            </w:tcBorders>
            <w:shd w:val="clear" w:color="auto" w:fill="auto"/>
            <w:vAlign w:val="bottom"/>
          </w:tcPr>
          <w:p w:rsidR="003E324E" w:rsidRPr="003E324E" w:rsidRDefault="003E324E" w:rsidP="003E324E">
            <w:pPr>
              <w:suppressAutoHyphens w:val="0"/>
              <w:spacing w:before="80" w:after="80" w:line="200" w:lineRule="exact"/>
              <w:ind w:right="113"/>
              <w:rPr>
                <w:i/>
                <w:sz w:val="16"/>
              </w:rPr>
            </w:pPr>
            <w:r w:rsidRPr="003E324E">
              <w:rPr>
                <w:i/>
                <w:sz w:val="16"/>
              </w:rPr>
              <w:t>Explication</w:t>
            </w:r>
          </w:p>
        </w:tc>
      </w:tr>
      <w:tr w:rsidR="003E324E" w:rsidRPr="003E324E" w:rsidTr="003E324E">
        <w:trPr>
          <w:trHeight w:hRule="exact" w:val="113"/>
          <w:tblHeader/>
        </w:trPr>
        <w:tc>
          <w:tcPr>
            <w:tcW w:w="1328" w:type="dxa"/>
            <w:tcBorders>
              <w:top w:val="single" w:sz="12" w:space="0" w:color="auto"/>
            </w:tcBorders>
            <w:shd w:val="clear" w:color="auto" w:fill="auto"/>
          </w:tcPr>
          <w:p w:rsidR="003E324E" w:rsidRPr="003E324E" w:rsidRDefault="003E324E" w:rsidP="003E324E">
            <w:pPr>
              <w:suppressAutoHyphens w:val="0"/>
              <w:spacing w:before="40" w:after="120"/>
              <w:ind w:right="113"/>
            </w:pPr>
          </w:p>
        </w:tc>
        <w:tc>
          <w:tcPr>
            <w:tcW w:w="5976" w:type="dxa"/>
            <w:tcBorders>
              <w:top w:val="single" w:sz="12" w:space="0" w:color="auto"/>
            </w:tcBorders>
            <w:shd w:val="clear" w:color="auto" w:fill="auto"/>
          </w:tcPr>
          <w:p w:rsidR="003E324E" w:rsidRPr="003E324E" w:rsidRDefault="003E324E" w:rsidP="003E324E">
            <w:pPr>
              <w:suppressAutoHyphens w:val="0"/>
              <w:spacing w:before="40" w:after="120"/>
              <w:ind w:right="113"/>
            </w:pPr>
          </w:p>
        </w:tc>
        <w:tc>
          <w:tcPr>
            <w:tcW w:w="5277" w:type="dxa"/>
            <w:gridSpan w:val="3"/>
            <w:tcBorders>
              <w:top w:val="single" w:sz="12"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c>
          <w:tcPr>
            <w:tcW w:w="12581" w:type="dxa"/>
            <w:gridSpan w:val="5"/>
            <w:shd w:val="clear" w:color="auto" w:fill="auto"/>
          </w:tcPr>
          <w:p w:rsidR="003E324E" w:rsidRPr="003E324E" w:rsidRDefault="003E324E" w:rsidP="003E324E">
            <w:pPr>
              <w:tabs>
                <w:tab w:val="left" w:pos="1327"/>
              </w:tabs>
              <w:suppressAutoHyphens w:val="0"/>
              <w:spacing w:before="40" w:after="120"/>
              <w:ind w:right="113"/>
              <w:rPr>
                <w:b/>
              </w:rPr>
            </w:pPr>
            <w:r w:rsidRPr="003E324E">
              <w:rPr>
                <w:b/>
              </w:rPr>
              <w:t>1.2.1</w:t>
            </w:r>
            <w:r>
              <w:rPr>
                <w:b/>
              </w:rPr>
              <w:tab/>
            </w:r>
            <w:r w:rsidRPr="003E324E">
              <w:rPr>
                <w:b/>
              </w:rPr>
              <w:t>Définitions</w:t>
            </w:r>
          </w:p>
        </w:tc>
      </w:tr>
      <w:tr w:rsidR="003E324E" w:rsidRPr="003E324E" w:rsidTr="00B412CD">
        <w:tc>
          <w:tcPr>
            <w:tcW w:w="1328" w:type="dxa"/>
            <w:tcBorders>
              <w:bottom w:val="single" w:sz="4" w:space="0" w:color="auto"/>
            </w:tcBorders>
            <w:shd w:val="clear" w:color="auto" w:fill="auto"/>
          </w:tcPr>
          <w:p w:rsidR="003E324E" w:rsidRPr="003E324E" w:rsidRDefault="003E324E" w:rsidP="003E324E">
            <w:pPr>
              <w:suppressAutoHyphens w:val="0"/>
              <w:spacing w:before="40" w:after="120"/>
              <w:ind w:right="113"/>
            </w:pPr>
            <w:r w:rsidRPr="003E324E">
              <w:t>1.2.1</w:t>
            </w:r>
          </w:p>
        </w:tc>
        <w:tc>
          <w:tcPr>
            <w:tcW w:w="5976" w:type="dxa"/>
            <w:tcBorders>
              <w:bottom w:val="single" w:sz="4" w:space="0" w:color="auto"/>
            </w:tcBorders>
            <w:shd w:val="clear" w:color="auto" w:fill="auto"/>
          </w:tcPr>
          <w:p w:rsidR="003E324E" w:rsidRPr="003E324E" w:rsidRDefault="003E324E" w:rsidP="003E324E">
            <w:pPr>
              <w:suppressAutoHyphens w:val="0"/>
              <w:spacing w:before="40" w:after="120"/>
              <w:ind w:right="113"/>
            </w:pPr>
            <w:r w:rsidRPr="003E324E">
              <w:rPr>
                <w:b/>
              </w:rPr>
              <w:t>Citerne à cargaison (déchargée) </w:t>
            </w:r>
            <w:r w:rsidRPr="003E324E">
              <w:rPr>
                <w:b/>
                <w:bCs/>
              </w:rPr>
              <w:t>:</w:t>
            </w:r>
            <w:r w:rsidRPr="003E324E">
              <w:t xml:space="preserve"> une citerne à cargaison, qui, après déchargement, peut c</w:t>
            </w:r>
            <w:r w:rsidR="00310024">
              <w:t>ontenir des restes de cargaison ;</w:t>
            </w:r>
          </w:p>
          <w:p w:rsidR="003E324E" w:rsidRPr="003E324E" w:rsidRDefault="003E324E" w:rsidP="003E324E">
            <w:pPr>
              <w:suppressAutoHyphens w:val="0"/>
              <w:spacing w:before="40" w:after="120"/>
              <w:ind w:right="113"/>
            </w:pPr>
            <w:r w:rsidRPr="003E324E">
              <w:rPr>
                <w:b/>
              </w:rPr>
              <w:t>Citerne à cargaison (vide) </w:t>
            </w:r>
            <w:r w:rsidRPr="003E324E">
              <w:rPr>
                <w:b/>
                <w:bCs/>
              </w:rPr>
              <w:t>:</w:t>
            </w:r>
            <w:r w:rsidRPr="003E324E">
              <w:t xml:space="preserve"> citerne à cargaison, qui, après le déchargement, ne contient pas de restes de cargai</w:t>
            </w:r>
            <w:r w:rsidR="00310024">
              <w:t>son mais peut être non dégazée ;</w:t>
            </w:r>
          </w:p>
          <w:p w:rsidR="003E324E" w:rsidRPr="003E324E" w:rsidRDefault="003E324E" w:rsidP="003E324E">
            <w:pPr>
              <w:suppressAutoHyphens w:val="0"/>
              <w:spacing w:before="40" w:after="120"/>
              <w:ind w:right="113"/>
            </w:pPr>
            <w:r w:rsidRPr="003E324E">
              <w:rPr>
                <w:b/>
              </w:rPr>
              <w:t>Citerne à cargaison (dégazée) </w:t>
            </w:r>
            <w:r w:rsidRPr="003E324E">
              <w:rPr>
                <w:b/>
                <w:bCs/>
              </w:rPr>
              <w:t>:</w:t>
            </w:r>
            <w:r w:rsidRPr="003E324E">
              <w:t xml:space="preserve"> une citerne à cargaison, qui, après le déchargement, ne contient ni de restes de cargaison ni de concentration mesurable de gaz ou de vapeurs dangereux</w:t>
            </w:r>
            <w:r w:rsidR="00310024">
              <w:t> ;</w:t>
            </w:r>
          </w:p>
        </w:tc>
        <w:tc>
          <w:tcPr>
            <w:tcW w:w="5277" w:type="dxa"/>
            <w:gridSpan w:val="3"/>
            <w:tcBorders>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c>
          <w:tcPr>
            <w:tcW w:w="1328" w:type="dxa"/>
            <w:tcBorders>
              <w:top w:val="single" w:sz="4" w:space="0" w:color="auto"/>
            </w:tcBorders>
            <w:shd w:val="clear" w:color="auto" w:fill="auto"/>
          </w:tcPr>
          <w:p w:rsidR="003E324E" w:rsidRPr="003E324E" w:rsidRDefault="003E324E" w:rsidP="003E324E">
            <w:pPr>
              <w:suppressAutoHyphens w:val="0"/>
              <w:spacing w:before="40" w:after="120"/>
              <w:ind w:right="113"/>
            </w:pPr>
          </w:p>
        </w:tc>
        <w:tc>
          <w:tcPr>
            <w:tcW w:w="5976" w:type="dxa"/>
            <w:tcBorders>
              <w:top w:val="single" w:sz="4" w:space="0" w:color="auto"/>
            </w:tcBorders>
            <w:shd w:val="clear" w:color="auto" w:fill="auto"/>
          </w:tcPr>
          <w:p w:rsidR="003E324E" w:rsidRPr="003E324E" w:rsidRDefault="003E324E" w:rsidP="003E324E">
            <w:pPr>
              <w:suppressAutoHyphens w:val="0"/>
              <w:spacing w:before="40" w:after="120"/>
              <w:ind w:right="113"/>
            </w:pPr>
            <w:r w:rsidRPr="003E324E">
              <w:rPr>
                <w:b/>
              </w:rPr>
              <w:t>Dégazage </w:t>
            </w:r>
            <w:r w:rsidRPr="003E324E">
              <w:rPr>
                <w:b/>
                <w:bCs/>
              </w:rPr>
              <w:t>:</w:t>
            </w:r>
            <w:r w:rsidRPr="003E324E">
              <w:t xml:space="preserve"> </w:t>
            </w:r>
            <w:r w:rsidRPr="003E324E">
              <w:rPr>
                <w:u w:val="single"/>
              </w:rPr>
              <w:t>opération ayant pour but de diminuer la concentration de gaz ou de vapeurs dangereux dans une citerne à cargaison vide en les émettant dans l</w:t>
            </w:r>
            <w:r w:rsidR="00321934">
              <w:rPr>
                <w:u w:val="single"/>
              </w:rPr>
              <w:t>’</w:t>
            </w:r>
            <w:r w:rsidRPr="003E324E">
              <w:rPr>
                <w:u w:val="single"/>
              </w:rPr>
              <w:t>atmosphère ou dans des unités de récupération</w:t>
            </w:r>
            <w:r w:rsidRPr="003E324E">
              <w:t>.</w:t>
            </w:r>
          </w:p>
        </w:tc>
        <w:tc>
          <w:tcPr>
            <w:tcW w:w="5277" w:type="dxa"/>
            <w:gridSpan w:val="3"/>
            <w:tcBorders>
              <w:top w:val="single" w:sz="4" w:space="0" w:color="auto"/>
            </w:tcBorders>
            <w:shd w:val="clear" w:color="auto" w:fill="auto"/>
          </w:tcPr>
          <w:p w:rsidR="003E324E" w:rsidRPr="003E324E" w:rsidRDefault="003E324E" w:rsidP="005B1CF1">
            <w:pPr>
              <w:suppressAutoHyphens w:val="0"/>
              <w:spacing w:before="40" w:after="100" w:line="220" w:lineRule="atLeast"/>
              <w:ind w:right="113"/>
              <w:rPr>
                <w:b/>
              </w:rPr>
            </w:pPr>
            <w:r w:rsidRPr="003E324E">
              <w:rPr>
                <w:b/>
              </w:rPr>
              <w:t>Proposition</w:t>
            </w:r>
          </w:p>
          <w:p w:rsidR="003E324E" w:rsidRPr="003E324E" w:rsidRDefault="003E324E" w:rsidP="005B1CF1">
            <w:pPr>
              <w:suppressAutoHyphens w:val="0"/>
              <w:spacing w:before="40" w:after="120" w:line="220" w:lineRule="atLeast"/>
              <w:ind w:right="113"/>
            </w:pPr>
            <w:r w:rsidRPr="003E324E">
              <w:t>Ajouter une nouvelle définition : « Dégazage ».</w:t>
            </w:r>
          </w:p>
          <w:p w:rsidR="003E324E" w:rsidRPr="003E324E" w:rsidRDefault="003E324E" w:rsidP="005B1CF1">
            <w:pPr>
              <w:suppressAutoHyphens w:val="0"/>
              <w:spacing w:before="40" w:after="100" w:line="220" w:lineRule="atLeast"/>
              <w:ind w:right="113"/>
              <w:rPr>
                <w:b/>
              </w:rPr>
            </w:pPr>
            <w:r w:rsidRPr="003E324E">
              <w:rPr>
                <w:b/>
              </w:rPr>
              <w:t>Justification</w:t>
            </w:r>
          </w:p>
          <w:p w:rsidR="003E324E" w:rsidRPr="003E324E" w:rsidRDefault="003E324E" w:rsidP="005B1CF1">
            <w:pPr>
              <w:suppressAutoHyphens w:val="0"/>
              <w:spacing w:before="40" w:after="120" w:line="220" w:lineRule="atLeast"/>
              <w:ind w:right="113"/>
            </w:pPr>
            <w:r w:rsidRPr="003E324E">
              <w:t xml:space="preserve">Conformément aux principes adoptés, il est proposé de remplacer « gas freeing » par « degassing » dans la version anglaise. </w:t>
            </w:r>
          </w:p>
          <w:p w:rsidR="003E324E" w:rsidRPr="003E324E" w:rsidRDefault="003E324E" w:rsidP="00B412CD">
            <w:pPr>
              <w:suppressAutoHyphens w:val="0"/>
              <w:spacing w:before="40" w:after="100" w:line="220" w:lineRule="atLeast"/>
              <w:ind w:right="113"/>
            </w:pPr>
            <w:r w:rsidRPr="003E324E">
              <w:t>Indépendamment de cette modification, l</w:t>
            </w:r>
            <w:r w:rsidR="00321934">
              <w:t>’</w:t>
            </w:r>
            <w:r w:rsidRPr="003E324E">
              <w:t>ADN ne contient pas de définition de « dégazage ». Or, cette expression est souvent employée dans la section 7.2.3.7 (Dégazage des citernes à cargaison vides).</w:t>
            </w:r>
          </w:p>
        </w:tc>
      </w:tr>
      <w:tr w:rsidR="003E324E" w:rsidRPr="003E324E" w:rsidTr="00B412CD">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rPr>
                <w:u w:val="single"/>
              </w:rPr>
            </w:pPr>
            <w:r w:rsidRPr="003E324E">
              <w:rPr>
                <w:b/>
                <w:u w:val="single"/>
              </w:rPr>
              <w:t>Plage d</w:t>
            </w:r>
            <w:r w:rsidR="00321934">
              <w:rPr>
                <w:b/>
                <w:u w:val="single"/>
              </w:rPr>
              <w:t>’</w:t>
            </w:r>
            <w:r w:rsidRPr="003E324E">
              <w:rPr>
                <w:b/>
                <w:u w:val="single"/>
              </w:rPr>
              <w:t>explosibilité :</w:t>
            </w:r>
            <w:r w:rsidRPr="003E324E">
              <w:rPr>
                <w:u w:val="single"/>
              </w:rPr>
              <w:t xml:space="preserve"> la plage de concentration d</w:t>
            </w:r>
            <w:r w:rsidR="00321934">
              <w:rPr>
                <w:u w:val="single"/>
              </w:rPr>
              <w:t>’</w:t>
            </w:r>
            <w:r w:rsidRPr="003E324E">
              <w:rPr>
                <w:u w:val="single"/>
              </w:rPr>
              <w:t xml:space="preserve">une matière ou </w:t>
            </w:r>
            <w:r w:rsidR="00034648">
              <w:rPr>
                <w:u w:val="single"/>
              </w:rPr>
              <w:br/>
            </w:r>
            <w:r w:rsidRPr="003E324E">
              <w:rPr>
                <w:u w:val="single"/>
              </w:rPr>
              <w:t>d</w:t>
            </w:r>
            <w:r w:rsidR="00321934">
              <w:rPr>
                <w:u w:val="single"/>
              </w:rPr>
              <w:t>’</w:t>
            </w:r>
            <w:r w:rsidRPr="003E324E">
              <w:rPr>
                <w:u w:val="single"/>
              </w:rPr>
              <w:t>un mélange de matières inflammables dans l</w:t>
            </w:r>
            <w:r w:rsidR="00321934">
              <w:rPr>
                <w:u w:val="single"/>
              </w:rPr>
              <w:t>’</w:t>
            </w:r>
            <w:r w:rsidRPr="003E324E">
              <w:rPr>
                <w:u w:val="single"/>
              </w:rPr>
              <w:t>air, à l</w:t>
            </w:r>
            <w:r w:rsidR="00321934">
              <w:rPr>
                <w:u w:val="single"/>
              </w:rPr>
              <w:t>’</w:t>
            </w:r>
            <w:r w:rsidRPr="003E324E">
              <w:rPr>
                <w:u w:val="single"/>
              </w:rPr>
              <w:t xml:space="preserve">intérieur </w:t>
            </w:r>
            <w:r w:rsidR="00034648">
              <w:rPr>
                <w:u w:val="single"/>
              </w:rPr>
              <w:br/>
            </w:r>
            <w:r w:rsidRPr="003E324E">
              <w:rPr>
                <w:u w:val="single"/>
              </w:rPr>
              <w:t>de laquelle peut se produire une explosion, ou la plage de concentration d</w:t>
            </w:r>
            <w:r w:rsidR="00321934">
              <w:rPr>
                <w:u w:val="single"/>
              </w:rPr>
              <w:t>’</w:t>
            </w:r>
            <w:r w:rsidRPr="003E324E">
              <w:rPr>
                <w:u w:val="single"/>
              </w:rPr>
              <w:t>une matière ou d</w:t>
            </w:r>
            <w:r w:rsidR="00321934">
              <w:rPr>
                <w:u w:val="single"/>
              </w:rPr>
              <w:t>’</w:t>
            </w:r>
            <w:r w:rsidRPr="003E324E">
              <w:rPr>
                <w:u w:val="single"/>
              </w:rPr>
              <w:t>un mélange de matières inflammables dans l</w:t>
            </w:r>
            <w:r w:rsidR="00321934">
              <w:rPr>
                <w:u w:val="single"/>
              </w:rPr>
              <w:t>’</w:t>
            </w:r>
            <w:r w:rsidRPr="003E324E">
              <w:rPr>
                <w:u w:val="single"/>
              </w:rPr>
              <w:t xml:space="preserve">air </w:t>
            </w:r>
            <w:r w:rsidR="00034648">
              <w:rPr>
                <w:u w:val="single"/>
              </w:rPr>
              <w:br/>
            </w:r>
            <w:r w:rsidRPr="003E324E">
              <w:rPr>
                <w:u w:val="single"/>
              </w:rPr>
              <w:t>ou dans un gaz inerte, à l</w:t>
            </w:r>
            <w:r w:rsidR="00321934">
              <w:rPr>
                <w:u w:val="single"/>
              </w:rPr>
              <w:t>’</w:t>
            </w:r>
            <w:r w:rsidRPr="003E324E">
              <w:rPr>
                <w:u w:val="single"/>
              </w:rPr>
              <w:t xml:space="preserve">intérieur de laquelle peut se produire </w:t>
            </w:r>
            <w:r w:rsidR="00034648">
              <w:rPr>
                <w:u w:val="single"/>
              </w:rPr>
              <w:br/>
            </w:r>
            <w:r w:rsidRPr="003E324E">
              <w:rPr>
                <w:u w:val="single"/>
              </w:rPr>
              <w:t>une explosion, définie dans des conditions d</w:t>
            </w:r>
            <w:r w:rsidR="00321934">
              <w:rPr>
                <w:u w:val="single"/>
              </w:rPr>
              <w:t>’</w:t>
            </w:r>
            <w:r w:rsidRPr="003E324E">
              <w:rPr>
                <w:u w:val="single"/>
              </w:rPr>
              <w:t>essai précises.</w:t>
            </w:r>
          </w:p>
        </w:tc>
        <w:tc>
          <w:tcPr>
            <w:tcW w:w="5277" w:type="dxa"/>
            <w:gridSpan w:val="3"/>
            <w:shd w:val="clear" w:color="auto" w:fill="auto"/>
          </w:tcPr>
          <w:p w:rsidR="003E324E" w:rsidRPr="003E324E" w:rsidRDefault="003E324E" w:rsidP="005B1CF1">
            <w:pPr>
              <w:suppressAutoHyphens w:val="0"/>
              <w:spacing w:before="40" w:after="100" w:line="220" w:lineRule="atLeast"/>
              <w:ind w:right="113"/>
              <w:rPr>
                <w:b/>
              </w:rPr>
            </w:pPr>
            <w:r w:rsidRPr="003E324E">
              <w:rPr>
                <w:b/>
              </w:rPr>
              <w:t>Proposition</w:t>
            </w:r>
          </w:p>
          <w:p w:rsidR="003E324E" w:rsidRPr="003E324E" w:rsidRDefault="003E324E" w:rsidP="005B1CF1">
            <w:pPr>
              <w:suppressAutoHyphens w:val="0"/>
              <w:spacing w:before="40" w:after="120" w:line="220" w:lineRule="atLeast"/>
              <w:ind w:right="113"/>
              <w:rPr>
                <w:bCs/>
              </w:rPr>
            </w:pPr>
            <w:r w:rsidRPr="003E324E">
              <w:rPr>
                <w:bCs/>
              </w:rPr>
              <w:t xml:space="preserve">Ajouter </w:t>
            </w:r>
            <w:r w:rsidRPr="003E324E">
              <w:t>une</w:t>
            </w:r>
            <w:r w:rsidRPr="003E324E">
              <w:rPr>
                <w:bCs/>
              </w:rPr>
              <w:t xml:space="preserve"> définition de la « plage d</w:t>
            </w:r>
            <w:r w:rsidR="00321934">
              <w:rPr>
                <w:bCs/>
              </w:rPr>
              <w:t>’</w:t>
            </w:r>
            <w:r w:rsidRPr="003E324E">
              <w:rPr>
                <w:bCs/>
              </w:rPr>
              <w:t>explosibilité ».</w:t>
            </w:r>
          </w:p>
          <w:p w:rsidR="003E324E" w:rsidRPr="00034648" w:rsidRDefault="003E324E" w:rsidP="005B1CF1">
            <w:pPr>
              <w:suppressAutoHyphens w:val="0"/>
              <w:spacing w:before="40" w:after="100" w:line="220" w:lineRule="atLeast"/>
              <w:ind w:right="113"/>
              <w:rPr>
                <w:b/>
              </w:rPr>
            </w:pPr>
            <w:r w:rsidRPr="00034648">
              <w:rPr>
                <w:b/>
              </w:rPr>
              <w:t>Justification</w:t>
            </w:r>
          </w:p>
          <w:p w:rsidR="003E324E" w:rsidRPr="003E324E" w:rsidRDefault="003E324E" w:rsidP="005B1CF1">
            <w:pPr>
              <w:suppressAutoHyphens w:val="0"/>
              <w:spacing w:before="40" w:after="120" w:line="220" w:lineRule="atLeast"/>
              <w:ind w:right="113"/>
              <w:rPr>
                <w:bCs/>
              </w:rPr>
            </w:pPr>
            <w:r w:rsidRPr="003E324E">
              <w:rPr>
                <w:bCs/>
              </w:rPr>
              <w:t>S</w:t>
            </w:r>
            <w:r w:rsidR="00321934">
              <w:rPr>
                <w:bCs/>
              </w:rPr>
              <w:t>’</w:t>
            </w:r>
            <w:r w:rsidRPr="003E324E">
              <w:rPr>
                <w:bCs/>
              </w:rPr>
              <w:t>il est souhaitable de définir la limite inférieure d</w:t>
            </w:r>
            <w:r w:rsidR="00321934">
              <w:rPr>
                <w:bCs/>
              </w:rPr>
              <w:t>’</w:t>
            </w:r>
            <w:r w:rsidRPr="003E324E">
              <w:rPr>
                <w:bCs/>
              </w:rPr>
              <w:t>explosibilité, il est tout aussi souhaitable de définir la limite supérieure d</w:t>
            </w:r>
            <w:r w:rsidR="00321934">
              <w:rPr>
                <w:bCs/>
              </w:rPr>
              <w:t>’</w:t>
            </w:r>
            <w:r w:rsidRPr="003E324E">
              <w:rPr>
                <w:bCs/>
              </w:rPr>
              <w:t>explosibilité et la plage d</w:t>
            </w:r>
            <w:r w:rsidR="00321934">
              <w:rPr>
                <w:bCs/>
              </w:rPr>
              <w:t>’</w:t>
            </w:r>
            <w:r w:rsidRPr="003E324E">
              <w:rPr>
                <w:bCs/>
              </w:rPr>
              <w:t>explosibilité. La définition proposée a été empruntée à la norme EN 13237-2012.</w:t>
            </w:r>
          </w:p>
        </w:tc>
      </w:tr>
      <w:tr w:rsidR="003E324E" w:rsidRPr="003E324E" w:rsidTr="00B412CD">
        <w:tc>
          <w:tcPr>
            <w:tcW w:w="1328" w:type="dxa"/>
            <w:tcBorders>
              <w:bottom w:val="single" w:sz="4" w:space="0" w:color="auto"/>
            </w:tcBorders>
            <w:shd w:val="clear" w:color="auto" w:fill="auto"/>
          </w:tcPr>
          <w:p w:rsidR="003E324E" w:rsidRPr="003E324E" w:rsidRDefault="003E324E" w:rsidP="00034648">
            <w:pPr>
              <w:keepNext/>
              <w:suppressAutoHyphens w:val="0"/>
              <w:spacing w:before="40" w:after="120"/>
              <w:ind w:right="113"/>
            </w:pPr>
          </w:p>
        </w:tc>
        <w:tc>
          <w:tcPr>
            <w:tcW w:w="5976" w:type="dxa"/>
            <w:tcBorders>
              <w:bottom w:val="single" w:sz="4" w:space="0" w:color="auto"/>
            </w:tcBorders>
            <w:shd w:val="clear" w:color="auto" w:fill="auto"/>
          </w:tcPr>
          <w:p w:rsidR="003E324E" w:rsidRPr="003E324E" w:rsidRDefault="003E324E" w:rsidP="00034648">
            <w:pPr>
              <w:keepNext/>
              <w:suppressAutoHyphens w:val="0"/>
              <w:spacing w:before="40" w:after="120"/>
              <w:ind w:right="113"/>
              <w:rPr>
                <w:u w:val="single"/>
              </w:rPr>
            </w:pPr>
            <w:r w:rsidRPr="00034648">
              <w:rPr>
                <w:b/>
                <w:u w:val="single"/>
              </w:rPr>
              <w:t>Limite inférieure d</w:t>
            </w:r>
            <w:r w:rsidR="00321934">
              <w:rPr>
                <w:b/>
                <w:u w:val="single"/>
              </w:rPr>
              <w:t>’</w:t>
            </w:r>
            <w:r w:rsidRPr="00034648">
              <w:rPr>
                <w:b/>
                <w:u w:val="single"/>
              </w:rPr>
              <w:t>explosivité (LIE) :</w:t>
            </w:r>
            <w:r w:rsidRPr="003E324E">
              <w:rPr>
                <w:u w:val="single"/>
              </w:rPr>
              <w:t xml:space="preserve"> concentration la plus faible de la plage d</w:t>
            </w:r>
            <w:r w:rsidR="00321934">
              <w:rPr>
                <w:u w:val="single"/>
              </w:rPr>
              <w:t>’</w:t>
            </w:r>
            <w:r w:rsidRPr="003E324E">
              <w:rPr>
                <w:u w:val="single"/>
              </w:rPr>
              <w:t>explosivité à laquelle peut se produire une explosion.</w:t>
            </w:r>
          </w:p>
        </w:tc>
        <w:tc>
          <w:tcPr>
            <w:tcW w:w="5277" w:type="dxa"/>
            <w:gridSpan w:val="3"/>
            <w:tcBorders>
              <w:bottom w:val="single" w:sz="4" w:space="0" w:color="auto"/>
            </w:tcBorders>
            <w:shd w:val="clear" w:color="auto" w:fill="auto"/>
          </w:tcPr>
          <w:p w:rsidR="003E324E" w:rsidRPr="00034648" w:rsidRDefault="003E324E" w:rsidP="005B1CF1">
            <w:pPr>
              <w:suppressAutoHyphens w:val="0"/>
              <w:spacing w:before="40" w:after="100" w:line="220" w:lineRule="atLeast"/>
              <w:ind w:right="113"/>
              <w:rPr>
                <w:b/>
              </w:rPr>
            </w:pPr>
            <w:r w:rsidRPr="00034648">
              <w:rPr>
                <w:b/>
              </w:rPr>
              <w:t>Proposition</w:t>
            </w:r>
          </w:p>
          <w:p w:rsidR="003E324E" w:rsidRPr="003E324E" w:rsidRDefault="003E324E" w:rsidP="00034648">
            <w:pPr>
              <w:keepNext/>
              <w:suppressAutoHyphens w:val="0"/>
              <w:spacing w:before="40" w:after="120"/>
              <w:ind w:right="113"/>
            </w:pPr>
            <w:r w:rsidRPr="003E324E">
              <w:t>Ajouter une nouvelle définition : « Limite inférieure d</w:t>
            </w:r>
            <w:r w:rsidR="00321934">
              <w:t>’</w:t>
            </w:r>
            <w:r w:rsidRPr="003E324E">
              <w:t>explosivité ».</w:t>
            </w:r>
          </w:p>
          <w:p w:rsidR="003E324E" w:rsidRPr="00034648" w:rsidRDefault="003E324E" w:rsidP="005B1CF1">
            <w:pPr>
              <w:suppressAutoHyphens w:val="0"/>
              <w:spacing w:before="40" w:after="100" w:line="220" w:lineRule="atLeast"/>
              <w:ind w:right="113"/>
              <w:rPr>
                <w:b/>
              </w:rPr>
            </w:pPr>
            <w:r w:rsidRPr="00034648">
              <w:rPr>
                <w:b/>
              </w:rPr>
              <w:t>Justification</w:t>
            </w:r>
          </w:p>
          <w:p w:rsidR="003E324E" w:rsidRPr="003E324E" w:rsidRDefault="003E324E" w:rsidP="00034648">
            <w:pPr>
              <w:keepNext/>
              <w:suppressAutoHyphens w:val="0"/>
              <w:spacing w:before="40" w:after="120"/>
              <w:ind w:right="113"/>
            </w:pPr>
            <w:r w:rsidRPr="003E324E">
              <w:t>Cette expression et l</w:t>
            </w:r>
            <w:r w:rsidR="00321934">
              <w:t>’</w:t>
            </w:r>
            <w:r w:rsidRPr="003E324E">
              <w:t>abréviation « LIE » sont souvent utilisées dans l</w:t>
            </w:r>
            <w:r w:rsidR="00321934">
              <w:t>’</w:t>
            </w:r>
            <w:r w:rsidRPr="003E324E">
              <w:t>ADN mais ne s</w:t>
            </w:r>
            <w:r w:rsidR="00034648">
              <w:t>ont pas définie</w:t>
            </w:r>
            <w:r w:rsidR="00321934">
              <w:t>s</w:t>
            </w:r>
            <w:r w:rsidR="00034648">
              <w:t xml:space="preserve"> dans la section </w:t>
            </w:r>
            <w:r w:rsidRPr="003E324E">
              <w:t>1.2.1. Cette définition est empruntée à la norme EN 13237-2012.</w:t>
            </w:r>
          </w:p>
        </w:tc>
      </w:tr>
      <w:tr w:rsidR="003E324E" w:rsidRPr="003E324E" w:rsidTr="00B412CD">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034648">
              <w:rPr>
                <w:b/>
              </w:rPr>
              <w:t>Toximètre :</w:t>
            </w:r>
            <w:r w:rsidRPr="003E324E">
              <w:t xml:space="preserve"> un appareil permettant de mesurer toute concentration significative de gaz toxiques dégagés par la cargaison. Cet appareil doit être conçu de manière à ce que les mesures puissent être effectuées sans qu</w:t>
            </w:r>
            <w:r w:rsidR="00321934">
              <w:t>’</w:t>
            </w:r>
            <w:r w:rsidRPr="003E324E">
              <w:t>il soit nécessaire de pénétrer dans les locaux à contrôler</w:t>
            </w:r>
            <w:r w:rsidR="00310024">
              <w:t> ;</w:t>
            </w:r>
          </w:p>
        </w:tc>
        <w:tc>
          <w:tcPr>
            <w:tcW w:w="5277" w:type="dxa"/>
            <w:gridSpan w:val="3"/>
            <w:tcBorders>
              <w:top w:val="single" w:sz="4" w:space="0" w:color="auto"/>
              <w:bottom w:val="single" w:sz="4" w:space="0" w:color="auto"/>
            </w:tcBorders>
            <w:shd w:val="clear" w:color="auto" w:fill="auto"/>
          </w:tcPr>
          <w:p w:rsidR="003E324E" w:rsidRPr="00034648" w:rsidRDefault="003E324E" w:rsidP="005B1CF1">
            <w:pPr>
              <w:suppressAutoHyphens w:val="0"/>
              <w:spacing w:before="40" w:after="100" w:line="220" w:lineRule="atLeast"/>
              <w:ind w:right="113"/>
              <w:rPr>
                <w:b/>
                <w:lang w:val="en-US"/>
              </w:rPr>
            </w:pPr>
            <w:r w:rsidRPr="008D1360">
              <w:rPr>
                <w:b/>
                <w:lang w:val="en-US"/>
              </w:rPr>
              <w:t>Proposition</w:t>
            </w:r>
          </w:p>
          <w:p w:rsidR="003E324E" w:rsidRPr="003E324E" w:rsidRDefault="003E324E" w:rsidP="003E324E">
            <w:pPr>
              <w:suppressAutoHyphens w:val="0"/>
              <w:spacing w:before="40" w:after="120"/>
              <w:ind w:right="113"/>
              <w:rPr>
                <w:lang w:val="en-US"/>
              </w:rPr>
            </w:pPr>
            <w:r w:rsidRPr="003E324E">
              <w:rPr>
                <w:lang w:val="en-US"/>
              </w:rPr>
              <w:t>Ajouter « This device shall be so designed that measurements are possible without the necessity of entering the spaces to be checked. » dans la version anglaise.</w:t>
            </w:r>
          </w:p>
          <w:p w:rsidR="003E324E" w:rsidRPr="00034648" w:rsidRDefault="003E324E" w:rsidP="005B1CF1">
            <w:pPr>
              <w:suppressAutoHyphens w:val="0"/>
              <w:spacing w:before="40" w:after="100" w:line="220" w:lineRule="atLeast"/>
              <w:ind w:right="113"/>
              <w:rPr>
                <w:b/>
              </w:rPr>
            </w:pPr>
            <w:r w:rsidRPr="00034648">
              <w:rPr>
                <w:b/>
              </w:rPr>
              <w:t>Justification</w:t>
            </w:r>
          </w:p>
          <w:p w:rsidR="003E324E" w:rsidRPr="003E324E" w:rsidRDefault="003E324E" w:rsidP="003E324E">
            <w:pPr>
              <w:suppressAutoHyphens w:val="0"/>
              <w:spacing w:before="40" w:after="120"/>
              <w:ind w:right="113"/>
            </w:pPr>
            <w:r w:rsidRPr="003E324E">
              <w:t>Cette phrase figure déjà dans les versions allemande et française de l</w:t>
            </w:r>
            <w:r w:rsidR="00321934">
              <w:t>’</w:t>
            </w:r>
            <w:r w:rsidRPr="003E324E">
              <w:t>ADN 2015 mais est absente de la version anglaise.</w:t>
            </w:r>
          </w:p>
        </w:tc>
      </w:tr>
      <w:tr w:rsidR="003E324E" w:rsidRPr="003E324E" w:rsidTr="00B412CD">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rPr>
                <w:u w:val="single"/>
              </w:rPr>
            </w:pPr>
            <w:r w:rsidRPr="00034648">
              <w:rPr>
                <w:b/>
                <w:u w:val="single"/>
              </w:rPr>
              <w:t>Limite supérieure d</w:t>
            </w:r>
            <w:r w:rsidR="00321934">
              <w:rPr>
                <w:b/>
                <w:u w:val="single"/>
              </w:rPr>
              <w:t>’</w:t>
            </w:r>
            <w:r w:rsidRPr="00034648">
              <w:rPr>
                <w:b/>
                <w:u w:val="single"/>
              </w:rPr>
              <w:t>explosivité (LSE) :</w:t>
            </w:r>
            <w:r w:rsidRPr="003E324E">
              <w:rPr>
                <w:u w:val="single"/>
              </w:rPr>
              <w:t xml:space="preserve"> concentration la plus forte de la plage d</w:t>
            </w:r>
            <w:r w:rsidR="00321934">
              <w:rPr>
                <w:u w:val="single"/>
              </w:rPr>
              <w:t>’</w:t>
            </w:r>
            <w:r w:rsidRPr="003E324E">
              <w:rPr>
                <w:u w:val="single"/>
              </w:rPr>
              <w:t>explosivité à laquelle peut se produire une explosion</w:t>
            </w:r>
          </w:p>
        </w:tc>
        <w:tc>
          <w:tcPr>
            <w:tcW w:w="5277" w:type="dxa"/>
            <w:gridSpan w:val="3"/>
            <w:tcBorders>
              <w:top w:val="single" w:sz="4" w:space="0" w:color="auto"/>
              <w:bottom w:val="single" w:sz="4" w:space="0" w:color="auto"/>
            </w:tcBorders>
            <w:shd w:val="clear" w:color="auto" w:fill="auto"/>
          </w:tcPr>
          <w:p w:rsidR="003E324E" w:rsidRPr="00034648" w:rsidRDefault="003E324E" w:rsidP="005B1CF1">
            <w:pPr>
              <w:suppressAutoHyphens w:val="0"/>
              <w:spacing w:before="40" w:after="100" w:line="220" w:lineRule="atLeast"/>
              <w:ind w:right="113"/>
              <w:rPr>
                <w:b/>
              </w:rPr>
            </w:pPr>
            <w:r w:rsidRPr="00034648">
              <w:rPr>
                <w:b/>
              </w:rPr>
              <w:t>Proposition</w:t>
            </w:r>
          </w:p>
          <w:p w:rsidR="003E324E" w:rsidRPr="003E324E" w:rsidRDefault="003E324E" w:rsidP="003E324E">
            <w:pPr>
              <w:suppressAutoHyphens w:val="0"/>
              <w:spacing w:before="40" w:after="120"/>
              <w:ind w:right="113"/>
            </w:pPr>
            <w:r w:rsidRPr="003E324E">
              <w:t>Ajouter une définition de la « limite supérieure d</w:t>
            </w:r>
            <w:r w:rsidR="00321934">
              <w:t>’</w:t>
            </w:r>
            <w:r w:rsidRPr="003E324E">
              <w:t>explosibilité » (« Obere Explosionsgrenze (OEG) » en allemand).</w:t>
            </w:r>
          </w:p>
          <w:p w:rsidR="003E324E" w:rsidRPr="00034648" w:rsidRDefault="003E324E" w:rsidP="005B1CF1">
            <w:pPr>
              <w:suppressAutoHyphens w:val="0"/>
              <w:spacing w:before="40" w:after="100" w:line="220" w:lineRule="atLeast"/>
              <w:ind w:right="113"/>
              <w:rPr>
                <w:b/>
              </w:rPr>
            </w:pPr>
            <w:r w:rsidRPr="00034648">
              <w:rPr>
                <w:b/>
              </w:rPr>
              <w:t>Justification</w:t>
            </w:r>
          </w:p>
          <w:p w:rsidR="003E324E" w:rsidRPr="003E324E" w:rsidRDefault="003E324E" w:rsidP="003E324E">
            <w:pPr>
              <w:suppressAutoHyphens w:val="0"/>
              <w:spacing w:before="40" w:after="120"/>
              <w:ind w:right="113"/>
            </w:pPr>
            <w:r w:rsidRPr="003E324E">
              <w:t>S</w:t>
            </w:r>
            <w:r w:rsidR="00321934">
              <w:t>’</w:t>
            </w:r>
            <w:r w:rsidRPr="003E324E">
              <w:t>il est souhaitable de définir la limite inférieure d</w:t>
            </w:r>
            <w:r w:rsidR="00321934">
              <w:t>’</w:t>
            </w:r>
            <w:r w:rsidRPr="003E324E">
              <w:t>explosibilité, il est tout aussi souhaitable de définir la limite supérieure d</w:t>
            </w:r>
            <w:r w:rsidR="00321934">
              <w:t>’</w:t>
            </w:r>
            <w:r w:rsidRPr="003E324E">
              <w:t>explosibilité et la plage d</w:t>
            </w:r>
            <w:r w:rsidR="00321934">
              <w:t>’</w:t>
            </w:r>
            <w:r w:rsidRPr="003E324E">
              <w:t>explosibilité. La définition a été empruntée à la norme EN 13237-2012.</w:t>
            </w:r>
          </w:p>
        </w:tc>
      </w:tr>
      <w:tr w:rsidR="003E324E" w:rsidRPr="003E324E" w:rsidTr="00B412CD">
        <w:tc>
          <w:tcPr>
            <w:tcW w:w="1328" w:type="dxa"/>
            <w:tcBorders>
              <w:top w:val="single" w:sz="4" w:space="0" w:color="auto"/>
              <w:bottom w:val="single" w:sz="4" w:space="0" w:color="auto"/>
            </w:tcBorders>
            <w:shd w:val="clear" w:color="auto" w:fill="auto"/>
          </w:tcPr>
          <w:p w:rsidR="003E324E" w:rsidRPr="00034648" w:rsidRDefault="003E324E" w:rsidP="003E324E">
            <w:pPr>
              <w:suppressAutoHyphens w:val="0"/>
              <w:spacing w:before="40" w:after="120"/>
              <w:ind w:right="113"/>
              <w:rPr>
                <w:b/>
                <w:bCs/>
              </w:rPr>
            </w:pPr>
            <w:r w:rsidRPr="00034648">
              <w:rPr>
                <w:b/>
                <w:bCs/>
              </w:rPr>
              <w:t>7.1.3.1</w:t>
            </w:r>
          </w:p>
        </w:tc>
        <w:tc>
          <w:tcPr>
            <w:tcW w:w="11253" w:type="dxa"/>
            <w:gridSpan w:val="4"/>
            <w:tcBorders>
              <w:top w:val="single" w:sz="4" w:space="0" w:color="auto"/>
              <w:bottom w:val="single" w:sz="4" w:space="0" w:color="auto"/>
            </w:tcBorders>
            <w:shd w:val="clear" w:color="auto" w:fill="auto"/>
          </w:tcPr>
          <w:p w:rsidR="003E324E" w:rsidRPr="00034648" w:rsidRDefault="003E324E" w:rsidP="003E324E">
            <w:pPr>
              <w:suppressAutoHyphens w:val="0"/>
              <w:spacing w:before="40" w:after="120"/>
              <w:ind w:right="113"/>
              <w:rPr>
                <w:b/>
              </w:rPr>
            </w:pPr>
            <w:r w:rsidRPr="00034648">
              <w:rPr>
                <w:b/>
                <w:bCs/>
              </w:rPr>
              <w:t>Accès aux cales, espaces de double coque et doubles fonds : contrôles</w:t>
            </w:r>
          </w:p>
        </w:tc>
      </w:tr>
      <w:tr w:rsidR="003E324E" w:rsidRPr="003E324E" w:rsidTr="00B412CD">
        <w:tc>
          <w:tcPr>
            <w:tcW w:w="1328" w:type="dxa"/>
            <w:tcBorders>
              <w:top w:val="single" w:sz="4" w:space="0" w:color="auto"/>
              <w:bottom w:val="single" w:sz="4" w:space="0" w:color="auto"/>
            </w:tcBorders>
            <w:shd w:val="clear" w:color="auto" w:fill="auto"/>
          </w:tcPr>
          <w:p w:rsidR="005B1CF1" w:rsidRDefault="005B1CF1" w:rsidP="003E324E">
            <w:pPr>
              <w:suppressAutoHyphens w:val="0"/>
              <w:spacing w:before="40" w:after="120"/>
              <w:ind w:right="113"/>
            </w:pPr>
            <w:r>
              <w:t>7.1.3.1.3</w:t>
            </w:r>
          </w:p>
          <w:p w:rsidR="003E324E" w:rsidRPr="003E324E" w:rsidRDefault="003E324E" w:rsidP="003E324E">
            <w:pPr>
              <w:suppressAutoHyphens w:val="0"/>
              <w:spacing w:before="40" w:after="120"/>
              <w:ind w:right="113"/>
            </w:pPr>
            <w:r w:rsidRPr="003E324E">
              <w:t>(7.1.3.1.3 actuel)</w:t>
            </w:r>
          </w:p>
        </w:tc>
        <w:tc>
          <w:tcPr>
            <w:tcW w:w="5976" w:type="dxa"/>
            <w:tcBorders>
              <w:top w:val="single" w:sz="4" w:space="0" w:color="auto"/>
              <w:bottom w:val="single" w:sz="4" w:space="0" w:color="auto"/>
            </w:tcBorders>
            <w:shd w:val="clear" w:color="auto" w:fill="auto"/>
          </w:tcPr>
          <w:p w:rsidR="005B1CF1" w:rsidRDefault="003E324E" w:rsidP="003E324E">
            <w:pPr>
              <w:suppressAutoHyphens w:val="0"/>
              <w:spacing w:before="40" w:after="120"/>
              <w:ind w:right="113"/>
            </w:pPr>
            <w:r w:rsidRPr="003E324E">
              <w:t>S</w:t>
            </w:r>
            <w:r w:rsidR="00321934">
              <w:t>’</w:t>
            </w:r>
            <w:r w:rsidRPr="003E324E">
              <w:t xml:space="preserve">il faut mesurer concentration de gaz </w:t>
            </w:r>
            <w:r w:rsidRPr="003E324E">
              <w:rPr>
                <w:u w:val="single"/>
              </w:rPr>
              <w:t>provenant de la cargaison</w:t>
            </w:r>
            <w:r w:rsidRPr="003E324E">
              <w:t xml:space="preserve"> ou la teneur de l</w:t>
            </w:r>
            <w:r w:rsidR="00321934">
              <w:t>’</w:t>
            </w:r>
            <w:r w:rsidRPr="003E324E">
              <w:t>air en oxygène dans les cales, espaces de double coque et doubles fonds avant d</w:t>
            </w:r>
            <w:r w:rsidR="00321934">
              <w:t>’</w:t>
            </w:r>
            <w:r w:rsidRPr="003E324E">
              <w:t xml:space="preserve">y entrer, les résultats de ces mesures doivent être consignés par écrit. Ces mesures ne peuvent être effectuées que par </w:t>
            </w:r>
            <w:r w:rsidRPr="003E324E">
              <w:rPr>
                <w:u w:val="single"/>
              </w:rPr>
              <w:t>un expert visé au 8.2.1</w:t>
            </w:r>
            <w:r w:rsidRPr="003E324E">
              <w:t xml:space="preserve"> </w:t>
            </w:r>
            <w:r w:rsidRPr="003E324E">
              <w:rPr>
                <w:strike/>
              </w:rPr>
              <w:t>des personnes</w:t>
            </w:r>
            <w:r w:rsidRPr="003E324E">
              <w:t xml:space="preserve"> équipé</w:t>
            </w:r>
            <w:r w:rsidRPr="003E324E">
              <w:rPr>
                <w:strike/>
              </w:rPr>
              <w:t>es</w:t>
            </w:r>
            <w:r w:rsidRPr="003E324E">
              <w:t xml:space="preserve"> d</w:t>
            </w:r>
            <w:r w:rsidR="00321934">
              <w:t>’</w:t>
            </w:r>
            <w:r w:rsidRPr="003E324E">
              <w:t xml:space="preserve">un appareil respiratoire approprié pour la matière transportée. </w:t>
            </w:r>
          </w:p>
          <w:p w:rsidR="003E324E" w:rsidRPr="003E324E" w:rsidRDefault="003E324E" w:rsidP="003E324E">
            <w:pPr>
              <w:suppressAutoHyphens w:val="0"/>
              <w:spacing w:before="40" w:after="120"/>
              <w:ind w:right="113"/>
            </w:pPr>
            <w:r w:rsidRPr="003E324E">
              <w:t>Il est interdit d</w:t>
            </w:r>
            <w:r w:rsidR="00321934">
              <w:t>’</w:t>
            </w:r>
            <w:r w:rsidRPr="003E324E">
              <w:t xml:space="preserve">y entrer dans les locaux pour effectuer ces mesures. </w:t>
            </w:r>
          </w:p>
        </w:tc>
        <w:tc>
          <w:tcPr>
            <w:tcW w:w="5277" w:type="dxa"/>
            <w:gridSpan w:val="3"/>
            <w:tcBorders>
              <w:top w:val="single" w:sz="4" w:space="0" w:color="auto"/>
              <w:bottom w:val="single" w:sz="4" w:space="0" w:color="auto"/>
            </w:tcBorders>
            <w:shd w:val="clear" w:color="auto" w:fill="auto"/>
          </w:tcPr>
          <w:p w:rsidR="003E324E" w:rsidRPr="00034648" w:rsidRDefault="003E324E" w:rsidP="005B1CF1">
            <w:pPr>
              <w:suppressAutoHyphens w:val="0"/>
              <w:spacing w:before="40" w:after="100" w:line="220" w:lineRule="atLeast"/>
              <w:ind w:right="113"/>
              <w:rPr>
                <w:b/>
                <w:bCs/>
              </w:rPr>
            </w:pPr>
            <w:r w:rsidRPr="005B1CF1">
              <w:rPr>
                <w:b/>
              </w:rPr>
              <w:t>Proposition</w:t>
            </w:r>
          </w:p>
          <w:p w:rsidR="003E324E" w:rsidRPr="003E324E" w:rsidRDefault="003E324E" w:rsidP="003E324E">
            <w:pPr>
              <w:suppressAutoHyphens w:val="0"/>
              <w:spacing w:before="40" w:after="120"/>
              <w:ind w:right="113"/>
            </w:pPr>
            <w:r w:rsidRPr="003E324E">
              <w:t>Pour s</w:t>
            </w:r>
            <w:r w:rsidR="00321934">
              <w:t>’</w:t>
            </w:r>
            <w:r w:rsidRPr="003E324E">
              <w:t>assurer que les mesures sont effectuées correctement, il est souhaitable qu</w:t>
            </w:r>
            <w:r w:rsidR="00321934">
              <w:t>’</w:t>
            </w:r>
            <w:r w:rsidRPr="003E324E">
              <w:t>elles soient effectuées par un expert agréé par les Parties contractantes à l</w:t>
            </w:r>
            <w:r w:rsidR="00321934">
              <w:t>’</w:t>
            </w:r>
            <w:r w:rsidRPr="003E324E">
              <w:t xml:space="preserve">ADN. </w:t>
            </w:r>
          </w:p>
        </w:tc>
      </w:tr>
      <w:tr w:rsidR="003E324E" w:rsidRPr="003E324E" w:rsidTr="00B412CD">
        <w:tc>
          <w:tcPr>
            <w:tcW w:w="1328" w:type="dxa"/>
            <w:tcBorders>
              <w:top w:val="single" w:sz="4" w:space="0" w:color="auto"/>
              <w:bottom w:val="single" w:sz="4" w:space="0" w:color="auto"/>
            </w:tcBorders>
            <w:shd w:val="clear" w:color="auto" w:fill="auto"/>
          </w:tcPr>
          <w:p w:rsidR="005B1CF1" w:rsidRDefault="005B1CF1" w:rsidP="003E324E">
            <w:pPr>
              <w:suppressAutoHyphens w:val="0"/>
              <w:spacing w:before="40" w:after="120"/>
              <w:ind w:right="113"/>
            </w:pPr>
            <w:r>
              <w:t>7.1.3.1.4</w:t>
            </w:r>
          </w:p>
          <w:p w:rsidR="003E324E" w:rsidRPr="003E324E" w:rsidRDefault="003E324E" w:rsidP="003E324E">
            <w:pPr>
              <w:suppressAutoHyphens w:val="0"/>
              <w:spacing w:before="40" w:after="120"/>
              <w:ind w:right="113"/>
            </w:pPr>
            <w:r w:rsidRPr="003E324E">
              <w:t>(7.1.3.1.5 actuel)</w:t>
            </w:r>
          </w:p>
        </w:tc>
        <w:tc>
          <w:tcPr>
            <w:tcW w:w="5976" w:type="dxa"/>
            <w:tcBorders>
              <w:top w:val="single" w:sz="4" w:space="0" w:color="auto"/>
              <w:bottom w:val="single" w:sz="4" w:space="0" w:color="auto"/>
            </w:tcBorders>
            <w:shd w:val="clear" w:color="auto" w:fill="auto"/>
          </w:tcPr>
          <w:p w:rsidR="003E324E" w:rsidRPr="005B1CF1" w:rsidRDefault="003E324E" w:rsidP="003E324E">
            <w:pPr>
              <w:suppressAutoHyphens w:val="0"/>
              <w:spacing w:before="40" w:after="120"/>
              <w:ind w:right="113"/>
              <w:rPr>
                <w:b/>
                <w:strike/>
              </w:rPr>
            </w:pPr>
            <w:r w:rsidRPr="005B1CF1">
              <w:rPr>
                <w:b/>
                <w:u w:val="single"/>
              </w:rPr>
              <w:t>Transport de marchandises en vrac ou sans emballage</w:t>
            </w:r>
            <w:r w:rsidRPr="005B1CF1">
              <w:rPr>
                <w:b/>
                <w:strike/>
              </w:rPr>
              <w:t xml:space="preserve"> </w:t>
            </w:r>
          </w:p>
          <w:p w:rsidR="003E324E" w:rsidRPr="003E324E" w:rsidRDefault="003E324E" w:rsidP="003E324E">
            <w:pPr>
              <w:suppressAutoHyphens w:val="0"/>
              <w:spacing w:before="40" w:after="120"/>
              <w:ind w:right="113"/>
            </w:pPr>
            <w:r w:rsidRPr="003E324E">
              <w:rPr>
                <w:strike/>
              </w:rPr>
              <w:t>Avant que quiconque ne pénètre dans des cales contenant des marchandises dangereuses transportées en vrac ou sans emballage, pour lesquelles la mention EX et/ou TOX figure à la colonne (9) du tableau A du chapitre 3.2, la concentration de gaz doit être mesurée dans ces cales ainsi que dans les cales contiguës.</w:t>
            </w:r>
          </w:p>
          <w:p w:rsidR="003E324E" w:rsidRPr="003E324E" w:rsidRDefault="003E324E" w:rsidP="003E324E">
            <w:pPr>
              <w:suppressAutoHyphens w:val="0"/>
              <w:spacing w:before="40" w:after="120"/>
              <w:ind w:right="113"/>
            </w:pPr>
            <w:r w:rsidRPr="003E324E">
              <w:rPr>
                <w:u w:val="single"/>
              </w:rPr>
              <w:t>Si un bateau transport</w:t>
            </w:r>
            <w:r w:rsidR="00926B22">
              <w:rPr>
                <w:u w:val="single"/>
              </w:rPr>
              <w:t>e</w:t>
            </w:r>
            <w:r w:rsidRPr="003E324E">
              <w:rPr>
                <w:u w:val="single"/>
              </w:rPr>
              <w:t xml:space="preserve"> des marchandises dangereuses en vrac ou sans emballage dans ses cales, marchandises pour lesquelles la mention EX et/ou TOX figure dans la colonne (9) du tableau A du chapitre 3.2, la concentration de gaz inflammables et/ou toxiques provenant de la cargaison dans ces cales et les cales contiguës doit être mesurée avant que quiconque n</w:t>
            </w:r>
            <w:r w:rsidR="00321934">
              <w:rPr>
                <w:u w:val="single"/>
              </w:rPr>
              <w:t>’</w:t>
            </w:r>
            <w:r w:rsidRPr="003E324E">
              <w:rPr>
                <w:u w:val="single"/>
              </w:rPr>
              <w:t xml:space="preserve">y pénètre. </w:t>
            </w:r>
          </w:p>
        </w:tc>
        <w:tc>
          <w:tcPr>
            <w:tcW w:w="5277" w:type="dxa"/>
            <w:gridSpan w:val="3"/>
            <w:tcBorders>
              <w:top w:val="single" w:sz="4" w:space="0" w:color="auto"/>
              <w:bottom w:val="single" w:sz="4" w:space="0" w:color="auto"/>
            </w:tcBorders>
            <w:shd w:val="clear" w:color="auto" w:fill="auto"/>
          </w:tcPr>
          <w:p w:rsidR="003E324E" w:rsidRPr="005B1CF1" w:rsidRDefault="003E324E" w:rsidP="003E324E">
            <w:pPr>
              <w:suppressAutoHyphens w:val="0"/>
              <w:spacing w:before="40" w:after="120"/>
              <w:ind w:right="113"/>
              <w:rPr>
                <w:b/>
              </w:rPr>
            </w:pPr>
            <w:r w:rsidRPr="005B1CF1">
              <w:rPr>
                <w:b/>
              </w:rPr>
              <w:t>Proposition</w:t>
            </w:r>
          </w:p>
          <w:p w:rsidR="003E324E" w:rsidRPr="003E324E" w:rsidRDefault="003E324E" w:rsidP="003E324E">
            <w:pPr>
              <w:suppressAutoHyphens w:val="0"/>
              <w:spacing w:before="40" w:after="120"/>
              <w:ind w:right="113"/>
            </w:pPr>
            <w:r w:rsidRPr="003E324E">
              <w:t>Il s</w:t>
            </w:r>
            <w:r w:rsidR="00321934">
              <w:t>’</w:t>
            </w:r>
            <w:r w:rsidRPr="003E324E">
              <w:t>agit d</w:t>
            </w:r>
            <w:r w:rsidR="00321934">
              <w:t>’</w:t>
            </w:r>
            <w:r w:rsidRPr="003E324E">
              <w:t>indiquer clairement qu</w:t>
            </w:r>
            <w:r w:rsidR="00321934">
              <w:t>’</w:t>
            </w:r>
            <w:r w:rsidRPr="003E324E">
              <w:t>avant que quiconque ne pénètre dans les cales, la concentration de gaz inflammables ou toxiques doit être mesurée.</w:t>
            </w:r>
          </w:p>
          <w:p w:rsidR="003E324E" w:rsidRPr="005B1CF1" w:rsidRDefault="003E324E" w:rsidP="003E324E">
            <w:pPr>
              <w:suppressAutoHyphens w:val="0"/>
              <w:spacing w:before="40" w:after="120"/>
              <w:ind w:right="113"/>
              <w:rPr>
                <w:b/>
              </w:rPr>
            </w:pPr>
            <w:r w:rsidRPr="005B1CF1">
              <w:rPr>
                <w:b/>
              </w:rPr>
              <w:t>Justification</w:t>
            </w:r>
          </w:p>
          <w:p w:rsidR="003E324E" w:rsidRPr="003E324E" w:rsidRDefault="003E324E" w:rsidP="003E324E">
            <w:pPr>
              <w:suppressAutoHyphens w:val="0"/>
              <w:spacing w:before="40" w:after="120"/>
              <w:ind w:right="113"/>
            </w:pPr>
            <w:r w:rsidRPr="003E324E">
              <w:t>L</w:t>
            </w:r>
            <w:r w:rsidR="00321934">
              <w:t>’</w:t>
            </w:r>
            <w:r w:rsidRPr="003E324E">
              <w:t>amendement proposé sert à préciser qu</w:t>
            </w:r>
            <w:r w:rsidR="00321934">
              <w:t>’</w:t>
            </w:r>
            <w:r w:rsidRPr="003E324E">
              <w:t>il peut s</w:t>
            </w:r>
            <w:r w:rsidR="00321934">
              <w:t>’</w:t>
            </w:r>
            <w:r w:rsidRPr="003E324E">
              <w:t xml:space="preserve">agir soit de gaz inflammables soit de gaz toxiques. </w:t>
            </w:r>
          </w:p>
        </w:tc>
      </w:tr>
      <w:tr w:rsidR="00B412CD" w:rsidRPr="003E324E" w:rsidTr="00B412CD">
        <w:trPr>
          <w:trHeight w:val="5210"/>
        </w:trPr>
        <w:tc>
          <w:tcPr>
            <w:tcW w:w="1328" w:type="dxa"/>
            <w:tcBorders>
              <w:top w:val="single" w:sz="4" w:space="0" w:color="auto"/>
              <w:bottom w:val="single" w:sz="4" w:space="0" w:color="auto"/>
            </w:tcBorders>
            <w:shd w:val="clear" w:color="auto" w:fill="auto"/>
          </w:tcPr>
          <w:p w:rsidR="00B412CD" w:rsidRDefault="00B412CD" w:rsidP="003E324E">
            <w:pPr>
              <w:suppressAutoHyphens w:val="0"/>
              <w:spacing w:before="40" w:after="120"/>
              <w:ind w:right="113"/>
            </w:pPr>
            <w:r>
              <w:t>7.1.3.1.5</w:t>
            </w:r>
          </w:p>
          <w:p w:rsidR="00B412CD" w:rsidRPr="003E324E" w:rsidRDefault="00B412CD" w:rsidP="003E324E">
            <w:pPr>
              <w:suppressAutoHyphens w:val="0"/>
              <w:spacing w:before="40" w:after="120"/>
              <w:ind w:right="113"/>
            </w:pPr>
            <w:r w:rsidRPr="003E324E">
              <w:t>(7.1.3.1.7 actuel)</w:t>
            </w:r>
          </w:p>
        </w:tc>
        <w:tc>
          <w:tcPr>
            <w:tcW w:w="5976" w:type="dxa"/>
            <w:tcBorders>
              <w:top w:val="single" w:sz="4" w:space="0" w:color="auto"/>
              <w:bottom w:val="single" w:sz="4" w:space="0" w:color="auto"/>
            </w:tcBorders>
            <w:shd w:val="clear" w:color="auto" w:fill="auto"/>
          </w:tcPr>
          <w:p w:rsidR="00B412CD" w:rsidRPr="003E324E" w:rsidRDefault="00B412CD" w:rsidP="003E324E">
            <w:pPr>
              <w:suppressAutoHyphens w:val="0"/>
              <w:spacing w:before="40" w:after="120"/>
              <w:ind w:right="113"/>
            </w:pPr>
            <w:r w:rsidRPr="003E324E">
              <w:t>En cas de transport de marchandises dangereuses en vrac ou sans emballage, l</w:t>
            </w:r>
            <w:r w:rsidR="00321934">
              <w:t>’</w:t>
            </w:r>
            <w:r w:rsidRPr="003E324E">
              <w:t>entrée dans les cales ainsi que l</w:t>
            </w:r>
            <w:r w:rsidR="00321934">
              <w:t>’</w:t>
            </w:r>
            <w:r w:rsidRPr="003E324E">
              <w:t>entrée dans les espaces de double coque et les doubles fonds n</w:t>
            </w:r>
            <w:r w:rsidR="00321934">
              <w:t>’</w:t>
            </w:r>
            <w:r w:rsidRPr="003E324E">
              <w:t>est autorisée que :</w:t>
            </w:r>
          </w:p>
          <w:p w:rsidR="00B412CD" w:rsidRPr="003E324E" w:rsidRDefault="00D30384" w:rsidP="003E324E">
            <w:pPr>
              <w:suppressAutoHyphens w:val="0"/>
              <w:spacing w:before="40" w:after="120"/>
              <w:ind w:right="113"/>
              <w:rPr>
                <w:u w:val="single"/>
              </w:rPr>
            </w:pPr>
            <w:r>
              <w:t xml:space="preserve">– </w:t>
            </w:r>
            <w:r w:rsidR="00B412CD" w:rsidRPr="003E324E">
              <w:t xml:space="preserve">Si </w:t>
            </w:r>
            <w:r w:rsidR="00B412CD" w:rsidRPr="003E324E">
              <w:rPr>
                <w:u w:val="single"/>
              </w:rPr>
              <w:t>la concentration de gaz inflammables provenant de la cargaison dans la cale, l</w:t>
            </w:r>
            <w:r w:rsidR="00321934">
              <w:rPr>
                <w:u w:val="single"/>
              </w:rPr>
              <w:t>’</w:t>
            </w:r>
            <w:r w:rsidR="00B412CD" w:rsidRPr="003E324E">
              <w:rPr>
                <w:u w:val="single"/>
              </w:rPr>
              <w:t>espace de double coque ou le double fond est inférieure à 10 % de la LIE, la concentration de gaz toxiques provenant de la cargaison n</w:t>
            </w:r>
            <w:r w:rsidR="00321934">
              <w:rPr>
                <w:u w:val="single"/>
              </w:rPr>
              <w:t>’</w:t>
            </w:r>
            <w:r w:rsidR="00B412CD" w:rsidRPr="003E324E">
              <w:rPr>
                <w:u w:val="single"/>
              </w:rPr>
              <w:t>est pas significative et la teneur en oxygène est comprise entre 20 et 23,5 % en volume</w:t>
            </w:r>
            <w:r w:rsidR="00B412CD" w:rsidRPr="003E324E">
              <w:t>.</w:t>
            </w:r>
          </w:p>
          <w:p w:rsidR="00B412CD" w:rsidRPr="003E324E" w:rsidRDefault="00B412CD" w:rsidP="003E324E">
            <w:pPr>
              <w:suppressAutoHyphens w:val="0"/>
              <w:spacing w:before="40" w:after="120"/>
              <w:ind w:right="113"/>
            </w:pPr>
            <w:r w:rsidRPr="003E324E">
              <w:t>ou</w:t>
            </w:r>
          </w:p>
          <w:p w:rsidR="00B412CD" w:rsidRPr="003E324E" w:rsidRDefault="00D30384" w:rsidP="003E324E">
            <w:pPr>
              <w:suppressAutoHyphens w:val="0"/>
              <w:spacing w:before="40" w:after="120"/>
              <w:ind w:right="113"/>
            </w:pPr>
            <w:r>
              <w:rPr>
                <w:u w:val="single"/>
              </w:rPr>
              <w:t xml:space="preserve">– </w:t>
            </w:r>
            <w:r w:rsidR="00B412CD" w:rsidRPr="003E324E">
              <w:rPr>
                <w:u w:val="single"/>
              </w:rPr>
              <w:t>Si la concentration de gaz inflammables provenant de la cargaison est inférieure à 10 % de la LIE</w:t>
            </w:r>
            <w:r w:rsidR="00B412CD" w:rsidRPr="003E324E">
              <w:t xml:space="preserve"> et la personne qui y pénètre porte un appareil respiratoire autonome et les autres équipements de protection et de secours nécessaires et si elle est assurée par une corde. L</w:t>
            </w:r>
            <w:r w:rsidR="00321934">
              <w:t>’</w:t>
            </w:r>
            <w:r w:rsidR="00B412CD" w:rsidRPr="003E324E">
              <w:t>entrée dans ces locaux n</w:t>
            </w:r>
            <w:r w:rsidR="00321934">
              <w:t>’</w:t>
            </w:r>
            <w:r w:rsidR="00B412CD" w:rsidRPr="003E324E">
              <w:t>est autorisée que si cette opération est surveillée par une deuxième personne ayant à sa disposition immédiate le même équipement. Deux autres personnes capables de prêter assistance en cas d</w:t>
            </w:r>
            <w:r w:rsidR="00321934">
              <w:t>’</w:t>
            </w:r>
            <w:r w:rsidR="00B412CD" w:rsidRPr="003E324E">
              <w:t>urgence doivent être sur le bateau à portée de voix.</w:t>
            </w:r>
          </w:p>
          <w:p w:rsidR="00B412CD" w:rsidRPr="003E324E" w:rsidRDefault="00B412CD" w:rsidP="003E324E">
            <w:pPr>
              <w:spacing w:before="40" w:after="120"/>
              <w:ind w:right="113"/>
              <w:rPr>
                <w:u w:val="single"/>
              </w:rPr>
            </w:pPr>
            <w:r w:rsidRPr="003E324E">
              <w:rPr>
                <w:u w:val="single"/>
              </w:rPr>
              <w:t>Contrairement à ce que dispose le 1.1.4.6, la législation nationale relative à l</w:t>
            </w:r>
            <w:r w:rsidR="00321934">
              <w:rPr>
                <w:u w:val="single"/>
              </w:rPr>
              <w:t>’</w:t>
            </w:r>
            <w:r w:rsidRPr="003E324E">
              <w:rPr>
                <w:u w:val="single"/>
              </w:rPr>
              <w:t>accès aux cales l</w:t>
            </w:r>
            <w:r w:rsidR="00321934">
              <w:rPr>
                <w:u w:val="single"/>
              </w:rPr>
              <w:t>’</w:t>
            </w:r>
            <w:r w:rsidRPr="003E324E">
              <w:rPr>
                <w:u w:val="single"/>
              </w:rPr>
              <w:t>emporte sur l</w:t>
            </w:r>
            <w:r w:rsidR="00321934">
              <w:rPr>
                <w:u w:val="single"/>
              </w:rPr>
              <w:t>’</w:t>
            </w:r>
            <w:r w:rsidRPr="003E324E">
              <w:rPr>
                <w:u w:val="single"/>
              </w:rPr>
              <w:t>ADN.</w:t>
            </w:r>
          </w:p>
        </w:tc>
        <w:tc>
          <w:tcPr>
            <w:tcW w:w="5277" w:type="dxa"/>
            <w:gridSpan w:val="3"/>
            <w:tcBorders>
              <w:top w:val="single" w:sz="4" w:space="0" w:color="auto"/>
              <w:bottom w:val="single" w:sz="4" w:space="0" w:color="auto"/>
            </w:tcBorders>
            <w:shd w:val="clear" w:color="auto" w:fill="auto"/>
          </w:tcPr>
          <w:p w:rsidR="00B412CD" w:rsidRPr="005B1CF1" w:rsidRDefault="00B412CD" w:rsidP="003E324E">
            <w:pPr>
              <w:suppressAutoHyphens w:val="0"/>
              <w:spacing w:before="40" w:after="120"/>
              <w:ind w:right="113"/>
              <w:rPr>
                <w:b/>
              </w:rPr>
            </w:pPr>
            <w:r w:rsidRPr="005B1CF1">
              <w:rPr>
                <w:b/>
              </w:rPr>
              <w:t>Proposition</w:t>
            </w:r>
          </w:p>
          <w:p w:rsidR="00B412CD" w:rsidRPr="003E324E" w:rsidRDefault="00B412CD" w:rsidP="005B1CF1">
            <w:pPr>
              <w:suppressAutoHyphens w:val="0"/>
              <w:kinsoku/>
              <w:overflowPunct/>
              <w:autoSpaceDE/>
              <w:adjustRightInd/>
              <w:snapToGrid/>
              <w:spacing w:before="40" w:after="120" w:line="220" w:lineRule="exact"/>
              <w:ind w:left="720" w:right="113" w:hanging="360"/>
              <w:textAlignment w:val="baseline"/>
            </w:pPr>
            <w:r>
              <w:t>–</w:t>
            </w:r>
            <w:r>
              <w:tab/>
            </w:r>
            <w:r w:rsidRPr="003E324E">
              <w:t xml:space="preserve">Modifier </w:t>
            </w:r>
            <w:r w:rsidRPr="008D1360">
              <w:rPr>
                <w:rFonts w:eastAsia="Calibri"/>
                <w:szCs w:val="18"/>
                <w:lang w:eastAsia="zh-CN" w:bidi="hi-IN"/>
              </w:rPr>
              <w:t>l</w:t>
            </w:r>
            <w:r w:rsidR="00321934" w:rsidRPr="008D1360">
              <w:rPr>
                <w:rFonts w:eastAsia="Calibri"/>
                <w:szCs w:val="18"/>
                <w:lang w:eastAsia="zh-CN" w:bidi="hi-IN"/>
              </w:rPr>
              <w:t>’</w:t>
            </w:r>
            <w:r w:rsidRPr="008D1360">
              <w:rPr>
                <w:rFonts w:eastAsia="Calibri"/>
                <w:szCs w:val="18"/>
                <w:lang w:eastAsia="zh-CN" w:bidi="hi-IN"/>
              </w:rPr>
              <w:t>ordre</w:t>
            </w:r>
            <w:r w:rsidRPr="003E324E">
              <w:t xml:space="preserve"> actuel des dispositions et ajouter des titres. Ces titres permettent de mieux faire la distinction entre « Transport de marchandises en vrac ou sans emballage » et « Transport en colis </w:t>
            </w:r>
            <w:r>
              <w:t>» ;</w:t>
            </w:r>
          </w:p>
          <w:p w:rsidR="00B412CD" w:rsidRPr="003E324E" w:rsidRDefault="00B412CD" w:rsidP="005B1CF1">
            <w:pPr>
              <w:suppressAutoHyphens w:val="0"/>
              <w:kinsoku/>
              <w:overflowPunct/>
              <w:autoSpaceDE/>
              <w:adjustRightInd/>
              <w:snapToGrid/>
              <w:spacing w:before="40" w:after="120" w:line="220" w:lineRule="exact"/>
              <w:ind w:left="720" w:right="113" w:hanging="360"/>
              <w:textAlignment w:val="baseline"/>
            </w:pPr>
            <w:r>
              <w:t>–</w:t>
            </w:r>
            <w:r>
              <w:tab/>
            </w:r>
            <w:r w:rsidRPr="003E324E">
              <w:t>Inclure les trois principaux facteurs, à savoir le % de gaz inflammables, de gaz toxiques et d</w:t>
            </w:r>
            <w:r w:rsidR="00321934">
              <w:t>’</w:t>
            </w:r>
            <w:r w:rsidRPr="003E324E">
              <w:t>oxygène</w:t>
            </w:r>
            <w:r>
              <w:t> ;</w:t>
            </w:r>
          </w:p>
          <w:p w:rsidR="00B412CD" w:rsidRPr="003E324E" w:rsidRDefault="00B412CD" w:rsidP="005B1CF1">
            <w:pPr>
              <w:suppressAutoHyphens w:val="0"/>
              <w:kinsoku/>
              <w:overflowPunct/>
              <w:autoSpaceDE/>
              <w:adjustRightInd/>
              <w:snapToGrid/>
              <w:spacing w:before="40" w:after="120" w:line="220" w:lineRule="exact"/>
              <w:ind w:left="720" w:right="113" w:hanging="360"/>
              <w:textAlignment w:val="baseline"/>
            </w:pPr>
            <w:r>
              <w:t>–</w:t>
            </w:r>
            <w:r>
              <w:tab/>
            </w:r>
            <w:r w:rsidRPr="003E324E">
              <w:t xml:space="preserve">Mentionner </w:t>
            </w:r>
            <w:r w:rsidRPr="008D1360">
              <w:rPr>
                <w:rFonts w:eastAsia="Calibri"/>
                <w:szCs w:val="18"/>
                <w:lang w:eastAsia="zh-CN" w:bidi="hi-IN"/>
              </w:rPr>
              <w:t>l</w:t>
            </w:r>
            <w:r w:rsidR="00321934" w:rsidRPr="008D1360">
              <w:rPr>
                <w:rFonts w:eastAsia="Calibri"/>
                <w:szCs w:val="18"/>
                <w:lang w:eastAsia="zh-CN" w:bidi="hi-IN"/>
              </w:rPr>
              <w:t>’</w:t>
            </w:r>
            <w:r w:rsidRPr="008D1360">
              <w:rPr>
                <w:rFonts w:eastAsia="Calibri"/>
                <w:szCs w:val="18"/>
                <w:lang w:eastAsia="zh-CN" w:bidi="hi-IN"/>
              </w:rPr>
              <w:t>existence</w:t>
            </w:r>
            <w:r w:rsidRPr="003E324E">
              <w:t xml:space="preserve"> éventuelle d</w:t>
            </w:r>
            <w:r w:rsidR="00321934">
              <w:t>’</w:t>
            </w:r>
            <w:r w:rsidRPr="003E324E">
              <w:t>une législation nationale sur l</w:t>
            </w:r>
            <w:r w:rsidR="00321934">
              <w:t>’</w:t>
            </w:r>
            <w:r w:rsidRPr="003E324E">
              <w:t>accès aux espaces clos. Si elle existe, la</w:t>
            </w:r>
            <w:r>
              <w:t xml:space="preserve"> législation nationale prévaut ;</w:t>
            </w:r>
          </w:p>
          <w:p w:rsidR="00B412CD" w:rsidRPr="003E324E" w:rsidRDefault="00B412CD" w:rsidP="005B1CF1">
            <w:pPr>
              <w:suppressAutoHyphens w:val="0"/>
              <w:kinsoku/>
              <w:overflowPunct/>
              <w:autoSpaceDE/>
              <w:adjustRightInd/>
              <w:snapToGrid/>
              <w:spacing w:before="40" w:after="120" w:line="220" w:lineRule="exact"/>
              <w:ind w:left="720" w:right="113" w:hanging="360"/>
              <w:textAlignment w:val="baseline"/>
            </w:pPr>
            <w:r>
              <w:t>–</w:t>
            </w:r>
            <w:r>
              <w:tab/>
            </w:r>
            <w:r w:rsidRPr="003E324E">
              <w:t xml:space="preserve">Dans la version </w:t>
            </w:r>
            <w:r w:rsidRPr="008D1360">
              <w:rPr>
                <w:rFonts w:eastAsia="Calibri"/>
                <w:szCs w:val="18"/>
                <w:lang w:eastAsia="zh-CN" w:bidi="hi-IN"/>
              </w:rPr>
              <w:t>anglaise</w:t>
            </w:r>
            <w:r w:rsidRPr="003E324E">
              <w:t>, supprimer la double né</w:t>
            </w:r>
            <w:r>
              <w:t>gation « not permitted except » ;</w:t>
            </w:r>
          </w:p>
          <w:p w:rsidR="00B412CD" w:rsidRPr="003E324E" w:rsidRDefault="00B412CD" w:rsidP="005B1CF1">
            <w:pPr>
              <w:suppressAutoHyphens w:val="0"/>
              <w:kinsoku/>
              <w:overflowPunct/>
              <w:autoSpaceDE/>
              <w:adjustRightInd/>
              <w:snapToGrid/>
              <w:spacing w:before="40" w:after="120" w:line="220" w:lineRule="exact"/>
              <w:ind w:left="720" w:right="113" w:hanging="360"/>
              <w:textAlignment w:val="baseline"/>
            </w:pPr>
            <w:r>
              <w:t>–</w:t>
            </w:r>
            <w:r>
              <w:tab/>
            </w:r>
            <w:r w:rsidRPr="003E324E">
              <w:t>Ajouter un renvoi au 1.1.</w:t>
            </w:r>
            <w:r>
              <w:t>4.6 ;</w:t>
            </w:r>
            <w:r w:rsidRPr="003E324E">
              <w:t xml:space="preserve"> cette disposition vise à ce que la législation </w:t>
            </w:r>
            <w:r w:rsidRPr="008D1360">
              <w:rPr>
                <w:rFonts w:eastAsia="Calibri"/>
                <w:szCs w:val="18"/>
                <w:lang w:eastAsia="zh-CN" w:bidi="hi-IN"/>
              </w:rPr>
              <w:t>nationale</w:t>
            </w:r>
            <w:r w:rsidRPr="003E324E">
              <w:t>, si e</w:t>
            </w:r>
            <w:r>
              <w:t>lle existe, l</w:t>
            </w:r>
            <w:r w:rsidR="00321934">
              <w:t>’</w:t>
            </w:r>
            <w:r>
              <w:t>emporte sur l</w:t>
            </w:r>
            <w:r w:rsidR="00321934">
              <w:t>’</w:t>
            </w:r>
            <w:r>
              <w:t>ADN ;</w:t>
            </w:r>
          </w:p>
          <w:p w:rsidR="00B412CD" w:rsidRPr="003E324E" w:rsidRDefault="00B412CD" w:rsidP="005B1CF1">
            <w:pPr>
              <w:spacing w:before="40" w:after="120" w:line="220" w:lineRule="exact"/>
              <w:ind w:left="720" w:right="113" w:hanging="360"/>
              <w:textAlignment w:val="baseline"/>
            </w:pPr>
            <w:r>
              <w:t>–</w:t>
            </w:r>
            <w:r>
              <w:tab/>
            </w:r>
            <w:r w:rsidRPr="003E324E">
              <w:t>Le pourcentage d</w:t>
            </w:r>
            <w:r w:rsidR="00321934">
              <w:t>’</w:t>
            </w:r>
            <w:r w:rsidRPr="003E324E">
              <w:t>oxygène en volume est établi d</w:t>
            </w:r>
            <w:r w:rsidR="00321934">
              <w:t>’</w:t>
            </w:r>
            <w:r w:rsidRPr="003E324E">
              <w:t>après les normes définies par l</w:t>
            </w:r>
            <w:r w:rsidR="00321934">
              <w:t>’</w:t>
            </w:r>
            <w:r w:rsidRPr="003E324E">
              <w:t>OSHA, organisme relevant du Ministère américain du travail.</w:t>
            </w:r>
          </w:p>
        </w:tc>
      </w:tr>
      <w:tr w:rsidR="003E324E" w:rsidRPr="003E324E" w:rsidTr="00B412CD">
        <w:tc>
          <w:tcPr>
            <w:tcW w:w="1328" w:type="dxa"/>
            <w:tcBorders>
              <w:top w:val="single" w:sz="4" w:space="0" w:color="auto"/>
              <w:bottom w:val="single" w:sz="4" w:space="0" w:color="auto"/>
            </w:tcBorders>
            <w:shd w:val="clear" w:color="auto" w:fill="auto"/>
          </w:tcPr>
          <w:p w:rsidR="00330C3F" w:rsidRDefault="00330C3F" w:rsidP="00330C3F">
            <w:pPr>
              <w:keepNext/>
              <w:suppressAutoHyphens w:val="0"/>
              <w:spacing w:before="40" w:after="120"/>
              <w:ind w:right="113"/>
            </w:pPr>
            <w:r>
              <w:t>7.1.3.1.6</w:t>
            </w:r>
          </w:p>
          <w:p w:rsidR="003E324E" w:rsidRPr="003E324E" w:rsidRDefault="003E324E" w:rsidP="00330C3F">
            <w:pPr>
              <w:keepNext/>
              <w:suppressAutoHyphens w:val="0"/>
              <w:spacing w:before="40" w:after="120"/>
              <w:ind w:right="113"/>
            </w:pPr>
            <w:r w:rsidRPr="003E324E">
              <w:t>(7.1.3.1.4 actuel)</w:t>
            </w:r>
          </w:p>
        </w:tc>
        <w:tc>
          <w:tcPr>
            <w:tcW w:w="5976" w:type="dxa"/>
            <w:tcBorders>
              <w:top w:val="single" w:sz="4" w:space="0" w:color="auto"/>
              <w:bottom w:val="single" w:sz="4" w:space="0" w:color="auto"/>
            </w:tcBorders>
            <w:shd w:val="clear" w:color="auto" w:fill="auto"/>
          </w:tcPr>
          <w:p w:rsidR="003E324E" w:rsidRPr="00330C3F" w:rsidRDefault="003E324E" w:rsidP="00330C3F">
            <w:pPr>
              <w:keepNext/>
              <w:suppressAutoHyphens w:val="0"/>
              <w:spacing w:before="40" w:after="120"/>
              <w:ind w:right="113"/>
              <w:rPr>
                <w:b/>
                <w:u w:val="single"/>
              </w:rPr>
            </w:pPr>
            <w:r w:rsidRPr="00330C3F">
              <w:rPr>
                <w:b/>
                <w:u w:val="single"/>
              </w:rPr>
              <w:t>Transport en colis</w:t>
            </w:r>
          </w:p>
          <w:p w:rsidR="003E324E" w:rsidRPr="003E324E" w:rsidRDefault="003E324E" w:rsidP="00330C3F">
            <w:pPr>
              <w:keepNext/>
              <w:suppressAutoHyphens w:val="0"/>
              <w:spacing w:before="40" w:after="120"/>
              <w:ind w:right="113"/>
            </w:pPr>
            <w:r w:rsidRPr="003E324E">
              <w:t xml:space="preserve">Avant que quiconque ne pénètre dans des cales contenant des marchandises dangereuses des classes 2, 3, 5.2, 6.1 et 8 pour lesquelles la mention EX et/ou TOX figure à la colonne (9) du tableau A du chapitre 3.2, la concentration de gaz </w:t>
            </w:r>
            <w:r w:rsidRPr="003E324E">
              <w:rPr>
                <w:u w:val="single"/>
              </w:rPr>
              <w:t>inflammables ou toxiques</w:t>
            </w:r>
            <w:r w:rsidRPr="003E324E">
              <w:t xml:space="preserve"> doit être mesurée dans ces cales si l</w:t>
            </w:r>
            <w:r w:rsidR="00321934">
              <w:t>’</w:t>
            </w:r>
            <w:r w:rsidRPr="003E324E">
              <w:t>on soupçonne que des colis ont été endommagés.</w:t>
            </w:r>
          </w:p>
        </w:tc>
        <w:tc>
          <w:tcPr>
            <w:tcW w:w="5277" w:type="dxa"/>
            <w:gridSpan w:val="3"/>
            <w:tcBorders>
              <w:top w:val="single" w:sz="4" w:space="0" w:color="auto"/>
              <w:bottom w:val="single" w:sz="4" w:space="0" w:color="auto"/>
            </w:tcBorders>
            <w:shd w:val="clear" w:color="auto" w:fill="auto"/>
          </w:tcPr>
          <w:p w:rsidR="003E324E" w:rsidRPr="00330C3F" w:rsidRDefault="00330C3F" w:rsidP="00330C3F">
            <w:pPr>
              <w:keepNext/>
              <w:suppressAutoHyphens w:val="0"/>
              <w:spacing w:before="40" w:after="120"/>
              <w:ind w:right="113"/>
              <w:rPr>
                <w:b/>
              </w:rPr>
            </w:pPr>
            <w:r>
              <w:rPr>
                <w:b/>
              </w:rPr>
              <w:t>Proposition</w:t>
            </w:r>
          </w:p>
          <w:p w:rsidR="003E324E" w:rsidRPr="003E324E" w:rsidRDefault="00330C3F" w:rsidP="00330C3F">
            <w:pPr>
              <w:suppressAutoHyphens w:val="0"/>
              <w:kinsoku/>
              <w:overflowPunct/>
              <w:autoSpaceDE/>
              <w:adjustRightInd/>
              <w:snapToGrid/>
              <w:spacing w:before="40" w:after="120" w:line="220" w:lineRule="exact"/>
              <w:ind w:left="720" w:right="113" w:hanging="360"/>
              <w:textAlignment w:val="baseline"/>
            </w:pPr>
            <w:r>
              <w:t>–</w:t>
            </w:r>
            <w:r>
              <w:tab/>
            </w:r>
            <w:r w:rsidR="003E324E" w:rsidRPr="003E324E">
              <w:t>Remplacer « concentration de gaz » par « concentration de gaz inflammables ou toxiques ».</w:t>
            </w:r>
          </w:p>
          <w:p w:rsidR="003E324E" w:rsidRPr="00330C3F" w:rsidRDefault="003E324E" w:rsidP="00330C3F">
            <w:pPr>
              <w:keepNext/>
              <w:suppressAutoHyphens w:val="0"/>
              <w:spacing w:before="40" w:after="120"/>
              <w:ind w:right="113"/>
              <w:rPr>
                <w:b/>
              </w:rPr>
            </w:pPr>
            <w:r w:rsidRPr="00330C3F">
              <w:rPr>
                <w:b/>
              </w:rPr>
              <w:t>Justification</w:t>
            </w:r>
          </w:p>
          <w:p w:rsidR="003E324E" w:rsidRPr="003E324E" w:rsidRDefault="003E324E" w:rsidP="00330C3F">
            <w:pPr>
              <w:keepNext/>
              <w:suppressAutoHyphens w:val="0"/>
              <w:spacing w:before="40" w:after="120"/>
              <w:ind w:right="113"/>
            </w:pPr>
            <w:r w:rsidRPr="003E324E">
              <w:t>La modification proposée précise plus clairement qu</w:t>
            </w:r>
            <w:r w:rsidR="00321934">
              <w:t>’</w:t>
            </w:r>
            <w:r w:rsidRPr="003E324E">
              <w:t>il peut s</w:t>
            </w:r>
            <w:r w:rsidR="00321934">
              <w:t>’</w:t>
            </w:r>
            <w:r w:rsidRPr="003E324E">
              <w:t>agir de gaz inflammables ou toxiques.</w:t>
            </w:r>
          </w:p>
        </w:tc>
      </w:tr>
      <w:tr w:rsidR="003E324E" w:rsidRPr="003E324E" w:rsidTr="00B412CD">
        <w:tc>
          <w:tcPr>
            <w:tcW w:w="1328" w:type="dxa"/>
            <w:tcBorders>
              <w:top w:val="single" w:sz="4" w:space="0" w:color="auto"/>
            </w:tcBorders>
            <w:shd w:val="clear" w:color="auto" w:fill="auto"/>
          </w:tcPr>
          <w:p w:rsidR="00330C3F" w:rsidRDefault="00330C3F" w:rsidP="00330C3F">
            <w:pPr>
              <w:suppressAutoHyphens w:val="0"/>
              <w:spacing w:before="40" w:after="120"/>
              <w:ind w:right="113"/>
            </w:pPr>
            <w:r>
              <w:t>7.1.3.1.7</w:t>
            </w:r>
          </w:p>
          <w:p w:rsidR="003E324E" w:rsidRPr="003E324E" w:rsidRDefault="003E324E" w:rsidP="00330C3F">
            <w:pPr>
              <w:suppressAutoHyphens w:val="0"/>
              <w:spacing w:before="40" w:after="120"/>
              <w:ind w:right="113"/>
            </w:pPr>
            <w:r w:rsidRPr="003E324E">
              <w:t>(7.1.3.1.6 actuel)</w:t>
            </w:r>
          </w:p>
        </w:tc>
        <w:tc>
          <w:tcPr>
            <w:tcW w:w="5976" w:type="dxa"/>
            <w:tcBorders>
              <w:top w:val="single" w:sz="4" w:space="0" w:color="auto"/>
            </w:tcBorders>
            <w:shd w:val="clear" w:color="auto" w:fill="auto"/>
          </w:tcPr>
          <w:p w:rsidR="003E324E" w:rsidRPr="003E324E" w:rsidRDefault="003E324E" w:rsidP="003E324E">
            <w:pPr>
              <w:suppressAutoHyphens w:val="0"/>
              <w:spacing w:before="40" w:after="120"/>
              <w:ind w:right="113"/>
            </w:pPr>
            <w:r w:rsidRPr="003E324E">
              <w:t>En cas de transport de marchandises dangereuses des classes 2, 3, 5.2, 6.1 et 8 et si l</w:t>
            </w:r>
            <w:r w:rsidR="00321934">
              <w:t>’</w:t>
            </w:r>
            <w:r w:rsidRPr="003E324E">
              <w:t>on soupçonne que des colis ont été endommagés, l</w:t>
            </w:r>
            <w:r w:rsidR="00321934">
              <w:t>’</w:t>
            </w:r>
            <w:r w:rsidRPr="003E324E">
              <w:t>entrée dans les cales ainsi que dans les espaces de double coque et les doubles fonds n</w:t>
            </w:r>
            <w:r w:rsidR="00321934">
              <w:t>’</w:t>
            </w:r>
            <w:r w:rsidRPr="003E324E">
              <w:t xml:space="preserve">est autorisée que : </w:t>
            </w:r>
          </w:p>
          <w:p w:rsidR="003E324E" w:rsidRPr="003E324E" w:rsidRDefault="003E324E" w:rsidP="00330C3F">
            <w:pPr>
              <w:suppressAutoHyphens w:val="0"/>
              <w:spacing w:before="40" w:after="120"/>
              <w:ind w:left="737" w:right="113"/>
            </w:pPr>
            <w:r w:rsidRPr="003E324E">
              <w:rPr>
                <w:strike/>
              </w:rPr>
              <w:t>Si la concentration en oxygène est suffisante et s</w:t>
            </w:r>
            <w:r w:rsidR="00321934">
              <w:rPr>
                <w:strike/>
              </w:rPr>
              <w:t>’</w:t>
            </w:r>
            <w:r w:rsidRPr="003E324E">
              <w:rPr>
                <w:strike/>
              </w:rPr>
              <w:t>il n</w:t>
            </w:r>
            <w:r w:rsidR="00321934">
              <w:rPr>
                <w:strike/>
              </w:rPr>
              <w:t>’</w:t>
            </w:r>
            <w:r w:rsidRPr="003E324E">
              <w:rPr>
                <w:strike/>
              </w:rPr>
              <w:t>y a pas de concentration dangereuse mesu</w:t>
            </w:r>
            <w:r w:rsidR="00310024">
              <w:rPr>
                <w:strike/>
              </w:rPr>
              <w:t>rable de substances dangereuses ;</w:t>
            </w:r>
            <w:r w:rsidRPr="003E324E">
              <w:rPr>
                <w:strike/>
              </w:rPr>
              <w:t xml:space="preserve"> ou</w:t>
            </w:r>
          </w:p>
        </w:tc>
        <w:tc>
          <w:tcPr>
            <w:tcW w:w="5277" w:type="dxa"/>
            <w:gridSpan w:val="3"/>
            <w:tcBorders>
              <w:top w:val="single" w:sz="4" w:space="0" w:color="auto"/>
            </w:tcBorders>
            <w:shd w:val="clear" w:color="auto" w:fill="auto"/>
          </w:tcPr>
          <w:p w:rsidR="003E324E" w:rsidRPr="00330C3F" w:rsidRDefault="003E324E" w:rsidP="003E324E">
            <w:pPr>
              <w:suppressAutoHyphens w:val="0"/>
              <w:spacing w:before="40" w:after="120"/>
              <w:ind w:right="113"/>
              <w:rPr>
                <w:b/>
              </w:rPr>
            </w:pPr>
            <w:r w:rsidRPr="00330C3F">
              <w:rPr>
                <w:b/>
              </w:rPr>
              <w:t>Proposition</w:t>
            </w:r>
          </w:p>
          <w:p w:rsidR="003E324E" w:rsidRPr="003E324E" w:rsidRDefault="00330C3F" w:rsidP="00330C3F">
            <w:pPr>
              <w:suppressAutoHyphens w:val="0"/>
              <w:kinsoku/>
              <w:overflowPunct/>
              <w:autoSpaceDE/>
              <w:adjustRightInd/>
              <w:snapToGrid/>
              <w:spacing w:before="40" w:after="120" w:line="220" w:lineRule="exact"/>
              <w:ind w:left="720" w:right="113" w:hanging="360"/>
              <w:textAlignment w:val="baseline"/>
            </w:pPr>
            <w:r>
              <w:t>–</w:t>
            </w:r>
            <w:r>
              <w:tab/>
            </w:r>
            <w:r w:rsidR="003E324E" w:rsidRPr="003E324E">
              <w:t>Introduire un seuil pour l</w:t>
            </w:r>
            <w:r w:rsidR="00321934">
              <w:t>’</w:t>
            </w:r>
            <w:r w:rsidR="003E324E" w:rsidRPr="003E324E">
              <w:t>oxygène et les gaz inflammables au-dessus duquel l</w:t>
            </w:r>
            <w:r w:rsidR="00321934">
              <w:t>’</w:t>
            </w:r>
            <w:r w:rsidR="003E324E" w:rsidRPr="003E324E">
              <w:t>entrée dans un espace clos n</w:t>
            </w:r>
            <w:r w:rsidR="00321934">
              <w:t>’</w:t>
            </w:r>
            <w:r w:rsidR="003E324E" w:rsidRPr="003E324E">
              <w:t xml:space="preserve">est pas autorisée. </w:t>
            </w:r>
          </w:p>
          <w:p w:rsidR="003E324E" w:rsidRPr="003E324E" w:rsidRDefault="003E324E" w:rsidP="003E324E">
            <w:pPr>
              <w:suppressAutoHyphens w:val="0"/>
              <w:spacing w:before="40" w:after="120"/>
              <w:ind w:right="113"/>
            </w:pPr>
            <w:r w:rsidRPr="003E324E">
              <w:t>Aucun seuil n</w:t>
            </w:r>
            <w:r w:rsidR="00321934">
              <w:t>’</w:t>
            </w:r>
            <w:r w:rsidRPr="003E324E">
              <w:t>est fixé pour les gaz toxiques en raison des écarts entre les seuils utilisés dans la législation nationale de diffé</w:t>
            </w:r>
            <w:r w:rsidR="00D30384">
              <w:t>rents États Parties contractant</w:t>
            </w:r>
            <w:r w:rsidRPr="003E324E">
              <w:t>s à l</w:t>
            </w:r>
            <w:r w:rsidR="00321934">
              <w:t>’</w:t>
            </w:r>
            <w:r w:rsidRPr="003E324E">
              <w:t>ADN.</w:t>
            </w:r>
          </w:p>
        </w:tc>
      </w:tr>
      <w:tr w:rsidR="003E324E" w:rsidRPr="003E324E" w:rsidTr="00B412CD">
        <w:tc>
          <w:tcPr>
            <w:tcW w:w="1328" w:type="dxa"/>
            <w:tcBorders>
              <w:bottom w:val="single" w:sz="4" w:space="0" w:color="auto"/>
            </w:tcBorders>
            <w:shd w:val="clear" w:color="auto" w:fill="auto"/>
          </w:tcPr>
          <w:p w:rsidR="003E324E" w:rsidRPr="003E324E" w:rsidRDefault="003E324E" w:rsidP="003E324E">
            <w:pPr>
              <w:suppressAutoHyphens w:val="0"/>
              <w:spacing w:before="40" w:after="120"/>
              <w:ind w:right="113"/>
            </w:pPr>
          </w:p>
        </w:tc>
        <w:tc>
          <w:tcPr>
            <w:tcW w:w="5976" w:type="dxa"/>
            <w:tcBorders>
              <w:bottom w:val="single" w:sz="4" w:space="0" w:color="auto"/>
            </w:tcBorders>
            <w:shd w:val="clear" w:color="auto" w:fill="auto"/>
          </w:tcPr>
          <w:p w:rsidR="003E324E" w:rsidRPr="003E324E" w:rsidRDefault="003E324E" w:rsidP="003E324E">
            <w:pPr>
              <w:suppressAutoHyphens w:val="0"/>
              <w:spacing w:before="40" w:after="120"/>
              <w:ind w:right="113"/>
            </w:pPr>
            <w:r w:rsidRPr="003E324E">
              <w:rPr>
                <w:u w:val="single"/>
              </w:rPr>
              <w:t>Si la concentration de gaz inflammables provenant de la cargaison dans la cale est inférieure à 10 % de la LIE, la concentration de gaz toxiques provenant de la cargaison n</w:t>
            </w:r>
            <w:r w:rsidR="00321934">
              <w:rPr>
                <w:u w:val="single"/>
              </w:rPr>
              <w:t>’</w:t>
            </w:r>
            <w:r w:rsidRPr="003E324E">
              <w:rPr>
                <w:u w:val="single"/>
              </w:rPr>
              <w:t>est pas significative et la teneur en oxygène dans la cale, l</w:t>
            </w:r>
            <w:r w:rsidR="00321934">
              <w:rPr>
                <w:u w:val="single"/>
              </w:rPr>
              <w:t>’</w:t>
            </w:r>
            <w:r w:rsidRPr="003E324E">
              <w:rPr>
                <w:u w:val="single"/>
              </w:rPr>
              <w:t>espace de double coque et le double fond est comprise entre à 20 et 23,5 % en volume</w:t>
            </w:r>
            <w:r w:rsidR="00310024">
              <w:rPr>
                <w:u w:val="single"/>
              </w:rPr>
              <w:t> </w:t>
            </w:r>
            <w:r w:rsidR="00310024">
              <w:t>;</w:t>
            </w:r>
          </w:p>
          <w:p w:rsidR="003E324E" w:rsidRPr="003E324E" w:rsidRDefault="003E324E" w:rsidP="003E324E">
            <w:pPr>
              <w:suppressAutoHyphens w:val="0"/>
              <w:spacing w:before="40" w:after="120"/>
              <w:ind w:right="113"/>
            </w:pPr>
            <w:r w:rsidRPr="003E324E">
              <w:t>ou</w:t>
            </w:r>
          </w:p>
          <w:p w:rsidR="003E324E" w:rsidRPr="003E324E" w:rsidRDefault="00330C3F" w:rsidP="00330C3F">
            <w:pPr>
              <w:suppressAutoHyphens w:val="0"/>
              <w:kinsoku/>
              <w:overflowPunct/>
              <w:autoSpaceDE/>
              <w:adjustRightInd/>
              <w:snapToGrid/>
              <w:spacing w:before="40" w:after="120" w:line="220" w:lineRule="exact"/>
              <w:ind w:left="720" w:right="113" w:hanging="360"/>
              <w:textAlignment w:val="baseline"/>
            </w:pPr>
            <w:r>
              <w:t>–</w:t>
            </w:r>
            <w:r>
              <w:tab/>
            </w:r>
            <w:r w:rsidR="003E324E" w:rsidRPr="003E324E">
              <w:t xml:space="preserve">Si </w:t>
            </w:r>
            <w:r w:rsidR="003E324E" w:rsidRPr="003E324E">
              <w:rPr>
                <w:u w:val="single"/>
              </w:rPr>
              <w:t>la concentration de gaz inflammables provenant de la cargaison dans la cale est inférieure à 10 % de la LIE et</w:t>
            </w:r>
            <w:r w:rsidR="003E324E" w:rsidRPr="003E324E">
              <w:t xml:space="preserve"> la personne qui y pénètre porte un appareil respiratoire autonome et les autres équipements de protection et de secours nécessaires et si elle est assurée par une corde. L</w:t>
            </w:r>
            <w:r w:rsidR="00321934">
              <w:t>’</w:t>
            </w:r>
            <w:r w:rsidR="003E324E" w:rsidRPr="003E324E">
              <w:t>entrée dans ces locaux n</w:t>
            </w:r>
            <w:r w:rsidR="00321934">
              <w:t>’</w:t>
            </w:r>
            <w:r w:rsidR="003E324E" w:rsidRPr="003E324E">
              <w:t>est autorisée que si cette opération est surveillée par une deuxième personne ayant à sa disposition immédiate le même équipement. Deux autres personnes capables de prêter assistance en cas d</w:t>
            </w:r>
            <w:r w:rsidR="00321934">
              <w:t>’</w:t>
            </w:r>
            <w:r w:rsidR="003E324E" w:rsidRPr="003E324E">
              <w:t xml:space="preserve">urgence doivent être sur le bateau à portée de voix. </w:t>
            </w:r>
          </w:p>
          <w:p w:rsidR="003E324E" w:rsidRPr="003E324E" w:rsidRDefault="003E324E" w:rsidP="003E324E">
            <w:pPr>
              <w:suppressAutoHyphens w:val="0"/>
              <w:spacing w:before="40" w:after="120"/>
              <w:ind w:right="113"/>
            </w:pPr>
            <w:r w:rsidRPr="003E324E">
              <w:rPr>
                <w:u w:val="single"/>
              </w:rPr>
              <w:t>Contrairement à ce que dispose le 1.1.4.6, la législation nationale relative à l</w:t>
            </w:r>
            <w:r w:rsidR="00321934">
              <w:rPr>
                <w:u w:val="single"/>
              </w:rPr>
              <w:t>’</w:t>
            </w:r>
            <w:r w:rsidRPr="003E324E">
              <w:rPr>
                <w:u w:val="single"/>
              </w:rPr>
              <w:t>accès aux cales l</w:t>
            </w:r>
            <w:r w:rsidR="00321934">
              <w:rPr>
                <w:u w:val="single"/>
              </w:rPr>
              <w:t>’</w:t>
            </w:r>
            <w:r w:rsidRPr="003E324E">
              <w:rPr>
                <w:u w:val="single"/>
              </w:rPr>
              <w:t>emporte sur l</w:t>
            </w:r>
            <w:r w:rsidR="00321934">
              <w:rPr>
                <w:u w:val="single"/>
              </w:rPr>
              <w:t>’</w:t>
            </w:r>
            <w:r w:rsidRPr="003E324E">
              <w:rPr>
                <w:u w:val="single"/>
              </w:rPr>
              <w:t>ADN</w:t>
            </w:r>
            <w:r w:rsidRPr="003E324E">
              <w:t>.</w:t>
            </w:r>
          </w:p>
        </w:tc>
        <w:tc>
          <w:tcPr>
            <w:tcW w:w="5277" w:type="dxa"/>
            <w:gridSpan w:val="3"/>
            <w:tcBorders>
              <w:bottom w:val="single" w:sz="4" w:space="0" w:color="auto"/>
            </w:tcBorders>
            <w:shd w:val="clear" w:color="auto" w:fill="auto"/>
          </w:tcPr>
          <w:p w:rsidR="003E324E" w:rsidRPr="003E324E" w:rsidRDefault="00330C3F" w:rsidP="00330C3F">
            <w:pPr>
              <w:suppressAutoHyphens w:val="0"/>
              <w:kinsoku/>
              <w:overflowPunct/>
              <w:autoSpaceDE/>
              <w:adjustRightInd/>
              <w:snapToGrid/>
              <w:spacing w:before="40" w:after="120" w:line="220" w:lineRule="exact"/>
              <w:ind w:left="720" w:right="113" w:hanging="360"/>
              <w:textAlignment w:val="baseline"/>
            </w:pPr>
            <w:r>
              <w:t>–</w:t>
            </w:r>
            <w:r>
              <w:tab/>
            </w:r>
            <w:r w:rsidR="00310024">
              <w:t>Ajouter un renvoi au 1.1.4.6 ;</w:t>
            </w:r>
            <w:r w:rsidR="003E324E" w:rsidRPr="003E324E">
              <w:t xml:space="preserve"> cette disposition vise à ce que la législation na</w:t>
            </w:r>
            <w:r>
              <w:t>tionale prévale, si elle existe ;</w:t>
            </w:r>
          </w:p>
          <w:p w:rsidR="003E324E" w:rsidRPr="003E324E" w:rsidRDefault="00330C3F" w:rsidP="00330C3F">
            <w:pPr>
              <w:suppressAutoHyphens w:val="0"/>
              <w:kinsoku/>
              <w:overflowPunct/>
              <w:autoSpaceDE/>
              <w:adjustRightInd/>
              <w:snapToGrid/>
              <w:spacing w:before="40" w:after="120" w:line="220" w:lineRule="exact"/>
              <w:ind w:left="720" w:right="113" w:hanging="360"/>
              <w:textAlignment w:val="baseline"/>
            </w:pPr>
            <w:r>
              <w:t>–</w:t>
            </w:r>
            <w:r>
              <w:tab/>
            </w:r>
            <w:r w:rsidR="003E324E" w:rsidRPr="003E324E">
              <w:t>Le pourcentage d</w:t>
            </w:r>
            <w:r w:rsidR="00321934">
              <w:t>’</w:t>
            </w:r>
            <w:r w:rsidR="003E324E" w:rsidRPr="003E324E">
              <w:t>oxygène en volume est établi d</w:t>
            </w:r>
            <w:r w:rsidR="00321934">
              <w:t>’</w:t>
            </w:r>
            <w:r w:rsidR="003E324E" w:rsidRPr="003E324E">
              <w:t>après les normes définies par l</w:t>
            </w:r>
            <w:r w:rsidR="00321934">
              <w:t>’</w:t>
            </w:r>
            <w:r w:rsidR="003E324E" w:rsidRPr="003E324E">
              <w:t>OSHA, organisme relevant du Ministère américain du travail.</w:t>
            </w:r>
          </w:p>
          <w:p w:rsidR="003E324E" w:rsidRPr="00330C3F" w:rsidRDefault="003E324E" w:rsidP="003E324E">
            <w:pPr>
              <w:suppressAutoHyphens w:val="0"/>
              <w:spacing w:before="40" w:after="120"/>
              <w:ind w:right="113"/>
              <w:rPr>
                <w:b/>
              </w:rPr>
            </w:pPr>
            <w:r w:rsidRPr="00330C3F">
              <w:rPr>
                <w:b/>
              </w:rPr>
              <w:t>Justification</w:t>
            </w:r>
          </w:p>
          <w:p w:rsidR="003E324E" w:rsidRPr="003E324E" w:rsidRDefault="003E324E" w:rsidP="003E324E">
            <w:pPr>
              <w:suppressAutoHyphens w:val="0"/>
              <w:spacing w:before="40" w:after="120"/>
              <w:ind w:right="113"/>
            </w:pPr>
            <w:r w:rsidRPr="003E324E">
              <w:t>Cette proposition fixe un seuil précis pour les gaz inflammables et l</w:t>
            </w:r>
            <w:r w:rsidR="00321934">
              <w:t>’</w:t>
            </w:r>
            <w:r w:rsidRPr="003E324E">
              <w:t>oxygène, en remplacement des dispositions actuelles plus vagues.</w:t>
            </w:r>
          </w:p>
        </w:tc>
      </w:tr>
      <w:tr w:rsidR="003E324E" w:rsidRPr="003E324E" w:rsidTr="00B412CD">
        <w:trPr>
          <w:gridAfter w:val="1"/>
          <w:wAfter w:w="222" w:type="dxa"/>
        </w:trPr>
        <w:tc>
          <w:tcPr>
            <w:tcW w:w="12359" w:type="dxa"/>
            <w:gridSpan w:val="4"/>
            <w:tcBorders>
              <w:bottom w:val="single" w:sz="4" w:space="0" w:color="auto"/>
            </w:tcBorders>
            <w:shd w:val="clear" w:color="auto" w:fill="auto"/>
          </w:tcPr>
          <w:p w:rsidR="003E324E" w:rsidRPr="00330C3F" w:rsidRDefault="003E324E" w:rsidP="00330C3F">
            <w:pPr>
              <w:keepNext/>
              <w:suppressAutoHyphens w:val="0"/>
              <w:spacing w:before="40" w:after="120"/>
              <w:ind w:right="113"/>
              <w:rPr>
                <w:b/>
              </w:rPr>
            </w:pPr>
            <w:r w:rsidRPr="00330C3F">
              <w:rPr>
                <w:b/>
              </w:rPr>
              <w:t>Prescriptions relatives à la ventilation</w:t>
            </w:r>
          </w:p>
        </w:tc>
      </w:tr>
      <w:tr w:rsidR="003E324E" w:rsidRPr="003E324E" w:rsidTr="00B412CD">
        <w:trPr>
          <w:gridAfter w:val="2"/>
          <w:wAfter w:w="231" w:type="dxa"/>
        </w:trPr>
        <w:tc>
          <w:tcPr>
            <w:tcW w:w="1328" w:type="dxa"/>
            <w:tcBorders>
              <w:bottom w:val="single" w:sz="4" w:space="0" w:color="auto"/>
            </w:tcBorders>
            <w:shd w:val="clear" w:color="auto" w:fill="auto"/>
          </w:tcPr>
          <w:p w:rsidR="003E324E" w:rsidRPr="003E324E" w:rsidRDefault="003E324E" w:rsidP="00330C3F">
            <w:pPr>
              <w:keepNext/>
              <w:suppressAutoHyphens w:val="0"/>
              <w:spacing w:before="40" w:after="120"/>
              <w:ind w:right="113"/>
            </w:pPr>
            <w:r w:rsidRPr="003E324E">
              <w:t>7.1.4.12.2</w:t>
            </w:r>
          </w:p>
        </w:tc>
        <w:tc>
          <w:tcPr>
            <w:tcW w:w="5976" w:type="dxa"/>
            <w:tcBorders>
              <w:bottom w:val="single" w:sz="4" w:space="0" w:color="auto"/>
            </w:tcBorders>
            <w:shd w:val="clear" w:color="auto" w:fill="auto"/>
          </w:tcPr>
          <w:p w:rsidR="003E324E" w:rsidRPr="003E324E" w:rsidRDefault="003E324E" w:rsidP="00330C3F">
            <w:pPr>
              <w:keepNext/>
              <w:suppressAutoHyphens w:val="0"/>
              <w:spacing w:before="40" w:after="120"/>
              <w:ind w:right="113"/>
            </w:pPr>
            <w:r w:rsidRPr="003E324E">
              <w:t>… Si l</w:t>
            </w:r>
            <w:r w:rsidR="00321934">
              <w:t>’</w:t>
            </w:r>
            <w:r w:rsidRPr="003E324E">
              <w:t>on soupçonne des dégâts aux conteneurs ou si l</w:t>
            </w:r>
            <w:r w:rsidR="00321934">
              <w:t>’</w:t>
            </w:r>
            <w:r w:rsidRPr="003E324E">
              <w:t>on soupçonne que le contenu s</w:t>
            </w:r>
            <w:r w:rsidR="00321934">
              <w:t>’</w:t>
            </w:r>
            <w:r w:rsidRPr="003E324E">
              <w:t>est répandu à l</w:t>
            </w:r>
            <w:r w:rsidR="00321934">
              <w:t>’</w:t>
            </w:r>
            <w:r w:rsidRPr="003E324E">
              <w:t xml:space="preserve">intérieur des conteneurs, les cales doivent être ventilées afin de ramener la concentration des gaz </w:t>
            </w:r>
            <w:r w:rsidRPr="003E324E">
              <w:rPr>
                <w:u w:val="single"/>
              </w:rPr>
              <w:t>inflammables</w:t>
            </w:r>
            <w:r w:rsidRPr="003E324E">
              <w:t xml:space="preserve"> émis par la cargaison à moins de 10 % de la </w:t>
            </w:r>
            <w:r w:rsidRPr="003E324E">
              <w:rPr>
                <w:u w:val="single"/>
              </w:rPr>
              <w:t>LIE</w:t>
            </w:r>
            <w:r w:rsidRPr="003E324E">
              <w:t xml:space="preserve"> </w:t>
            </w:r>
            <w:r w:rsidRPr="003E324E">
              <w:rPr>
                <w:strike/>
              </w:rPr>
              <w:t>limite inférieure d</w:t>
            </w:r>
            <w:r w:rsidR="00321934">
              <w:rPr>
                <w:strike/>
              </w:rPr>
              <w:t>’</w:t>
            </w:r>
            <w:r w:rsidRPr="003E324E">
              <w:rPr>
                <w:strike/>
              </w:rPr>
              <w:t>explosibilité</w:t>
            </w:r>
            <w:r w:rsidRPr="003E324E">
              <w:t xml:space="preserve"> ou en cas de gaz toxiques, en dessous de toute concentration significative.</w:t>
            </w:r>
          </w:p>
        </w:tc>
        <w:tc>
          <w:tcPr>
            <w:tcW w:w="5046" w:type="dxa"/>
            <w:tcBorders>
              <w:bottom w:val="single" w:sz="4" w:space="0" w:color="auto"/>
            </w:tcBorders>
            <w:shd w:val="clear" w:color="auto" w:fill="auto"/>
          </w:tcPr>
          <w:p w:rsidR="003E324E" w:rsidRPr="003E324E" w:rsidRDefault="003E324E" w:rsidP="00330C3F">
            <w:pPr>
              <w:keepNext/>
              <w:suppressAutoHyphens w:val="0"/>
              <w:spacing w:before="40" w:after="120"/>
              <w:ind w:right="113"/>
            </w:pPr>
          </w:p>
        </w:tc>
      </w:tr>
      <w:tr w:rsidR="003E324E" w:rsidRPr="003E324E" w:rsidTr="00B412CD">
        <w:trPr>
          <w:gridAfter w:val="2"/>
          <w:wAfter w:w="231" w:type="dxa"/>
        </w:trPr>
        <w:tc>
          <w:tcPr>
            <w:tcW w:w="1328" w:type="dxa"/>
            <w:tcBorders>
              <w:top w:val="single" w:sz="4" w:space="0" w:color="auto"/>
            </w:tcBorders>
            <w:shd w:val="clear" w:color="auto" w:fill="auto"/>
          </w:tcPr>
          <w:p w:rsidR="003E324E" w:rsidRPr="003E324E" w:rsidRDefault="003E324E" w:rsidP="003E324E">
            <w:pPr>
              <w:suppressAutoHyphens w:val="0"/>
              <w:spacing w:before="40" w:after="120"/>
              <w:ind w:right="113"/>
            </w:pPr>
            <w:r w:rsidRPr="003E324E">
              <w:t>7.1.6.12</w:t>
            </w:r>
          </w:p>
        </w:tc>
        <w:tc>
          <w:tcPr>
            <w:tcW w:w="5976" w:type="dxa"/>
            <w:tcBorders>
              <w:top w:val="single" w:sz="4" w:space="0" w:color="auto"/>
            </w:tcBorders>
            <w:shd w:val="clear" w:color="auto" w:fill="auto"/>
          </w:tcPr>
          <w:p w:rsidR="003E324E" w:rsidRPr="00330C3F" w:rsidRDefault="003E324E" w:rsidP="003E324E">
            <w:pPr>
              <w:suppressAutoHyphens w:val="0"/>
              <w:spacing w:before="40" w:after="120"/>
              <w:ind w:right="113"/>
              <w:rPr>
                <w:b/>
                <w:i/>
              </w:rPr>
            </w:pPr>
            <w:r w:rsidRPr="00330C3F">
              <w:rPr>
                <w:b/>
                <w:i/>
              </w:rPr>
              <w:t>Ventilation</w:t>
            </w:r>
          </w:p>
          <w:p w:rsidR="003E324E" w:rsidRPr="003E324E" w:rsidRDefault="003E324E" w:rsidP="003E324E">
            <w:pPr>
              <w:suppressAutoHyphens w:val="0"/>
              <w:spacing w:before="40" w:after="120"/>
              <w:ind w:right="113"/>
            </w:pPr>
            <w:r w:rsidRPr="003E324E">
              <w:t>Les prescriptions supplémentaires suivantes doivent être remplies lorsqu</w:t>
            </w:r>
            <w:r w:rsidR="00321934">
              <w:t>’</w:t>
            </w:r>
            <w:r w:rsidRPr="003E324E">
              <w:t>elles sont indiquées à la colonne (10) du tab</w:t>
            </w:r>
            <w:r w:rsidR="00330C3F">
              <w:t>leau A du chapitre </w:t>
            </w:r>
            <w:r w:rsidRPr="003E324E">
              <w:t>3.2 :</w:t>
            </w:r>
          </w:p>
          <w:p w:rsidR="003E324E" w:rsidRPr="003E324E" w:rsidRDefault="003E324E" w:rsidP="003E324E">
            <w:pPr>
              <w:suppressAutoHyphens w:val="0"/>
              <w:spacing w:before="40" w:after="120"/>
              <w:ind w:right="113"/>
            </w:pPr>
            <w:r w:rsidRPr="000F21C2">
              <w:rPr>
                <w:i/>
              </w:rPr>
              <w:t>VE01</w:t>
            </w:r>
            <w:r w:rsidRPr="003E324E">
              <w:t> : Les cales contenant ces matières doivent être ventilées, l</w:t>
            </w:r>
            <w:r w:rsidR="00321934">
              <w:t>’</w:t>
            </w:r>
            <w:r w:rsidRPr="003E324E">
              <w:t>équipement de ventilation fonctionnant à plein rendement, lorsque l</w:t>
            </w:r>
            <w:r w:rsidR="00321934">
              <w:t>’</w:t>
            </w:r>
            <w:r w:rsidRPr="003E324E">
              <w:t xml:space="preserve">on constate après une mesure que la concentration de gaz </w:t>
            </w:r>
            <w:r w:rsidRPr="003E324E">
              <w:rPr>
                <w:u w:val="single"/>
              </w:rPr>
              <w:t>inflammables</w:t>
            </w:r>
            <w:r w:rsidRPr="003E324E">
              <w:t xml:space="preserve"> provenant de la cargaison est supérieure à 10 % de la </w:t>
            </w:r>
            <w:r w:rsidRPr="003E324E">
              <w:rPr>
                <w:u w:val="single"/>
              </w:rPr>
              <w:t>LIE</w:t>
            </w:r>
            <w:r w:rsidRPr="003E324E">
              <w:t xml:space="preserve"> </w:t>
            </w:r>
            <w:r w:rsidRPr="003E324E">
              <w:rPr>
                <w:strike/>
              </w:rPr>
              <w:t>limite inférieure d</w:t>
            </w:r>
            <w:r w:rsidR="00321934">
              <w:rPr>
                <w:strike/>
              </w:rPr>
              <w:t>’</w:t>
            </w:r>
            <w:r w:rsidRPr="003E324E">
              <w:rPr>
                <w:strike/>
              </w:rPr>
              <w:t>explosibilité</w:t>
            </w:r>
            <w:r w:rsidRPr="003E324E">
              <w:t>. Cette mesure doit être effectuée immédiatement après le chargement. Elle doit être répétée une heure plus tard. Les résultats des mesures doivent être consignés par écrit.</w:t>
            </w:r>
          </w:p>
        </w:tc>
        <w:tc>
          <w:tcPr>
            <w:tcW w:w="5046" w:type="dxa"/>
            <w:tcBorders>
              <w:top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0F21C2">
              <w:rPr>
                <w:i/>
              </w:rPr>
              <w:t>VE02</w:t>
            </w:r>
            <w:r w:rsidRPr="003E324E">
              <w:t> : Les cales contenant ces matières doivent être ventilées, l</w:t>
            </w:r>
            <w:r w:rsidR="00321934">
              <w:t>’</w:t>
            </w:r>
            <w:r w:rsidRPr="003E324E">
              <w:t>équipement de ventilation fonctionnant à plein rendement, lorsque l</w:t>
            </w:r>
            <w:r w:rsidR="00321934">
              <w:t>’</w:t>
            </w:r>
            <w:r w:rsidRPr="003E324E">
              <w:t xml:space="preserve">on constate après une mesure que les cales ne sont pas exemptes de gaz </w:t>
            </w:r>
            <w:r w:rsidRPr="003E324E">
              <w:rPr>
                <w:u w:val="single"/>
              </w:rPr>
              <w:t>toxiques</w:t>
            </w:r>
            <w:r w:rsidRPr="003E324E">
              <w:t xml:space="preserve"> provenant de la cargaison. Cette mesure doit être effectuée immédiatement après le chargement. Une mesure de contrôle doit être répétée une heure plus tard. Les résultats des mesures doivent être consignés par écrit. En revanche, à bord des bateaux qui ne transportent ces marchandises que dans des conteneurs placés dans des cales ouvertes, les cales contenant ces conteneurs peuvent n</w:t>
            </w:r>
            <w:r w:rsidR="00321934">
              <w:t>’</w:t>
            </w:r>
            <w:r w:rsidRPr="003E324E">
              <w:t>être ventilées, l</w:t>
            </w:r>
            <w:r w:rsidR="00321934">
              <w:t>’</w:t>
            </w:r>
            <w:r w:rsidRPr="003E324E">
              <w:t>équipement de ventilation fonctionnant à plein rendement, que si l</w:t>
            </w:r>
            <w:r w:rsidR="00321934">
              <w:t>’</w:t>
            </w:r>
            <w:r w:rsidRPr="003E324E">
              <w:t xml:space="preserve">on soupçonne que les cales ne sont pas exemptes de gaz </w:t>
            </w:r>
            <w:r w:rsidRPr="003E324E">
              <w:rPr>
                <w:u w:val="single"/>
              </w:rPr>
              <w:t>toxiques provenant de la cargaison</w:t>
            </w:r>
            <w:r w:rsidRPr="003E324E">
              <w:t>. Avant le déchargement, le déchargeur doit être informé de ces soupçons.</w:t>
            </w:r>
          </w:p>
        </w:tc>
        <w:tc>
          <w:tcPr>
            <w:tcW w:w="5046" w:type="dxa"/>
            <w:shd w:val="clear" w:color="auto" w:fill="auto"/>
          </w:tcPr>
          <w:p w:rsidR="003E324E" w:rsidRPr="003E324E" w:rsidRDefault="003E324E" w:rsidP="003E324E">
            <w:pPr>
              <w:suppressAutoHyphens w:val="0"/>
              <w:spacing w:before="40" w:after="120"/>
              <w:ind w:right="113"/>
            </w:pPr>
            <w:r w:rsidRPr="003E324E">
              <w:t>La prescription VE02 ne vaut que si des gaz toxiques sont transportés. Afin que cela soit plus clair et pour mieux faire la distinction entre VE01 et VE02, le mot « toxiques » est ajouté.</w:t>
            </w:r>
          </w:p>
        </w:tc>
      </w:tr>
      <w:tr w:rsidR="003E324E" w:rsidRPr="003E324E" w:rsidTr="00B412CD">
        <w:trPr>
          <w:gridAfter w:val="2"/>
          <w:wAfter w:w="231" w:type="dxa"/>
        </w:trPr>
        <w:tc>
          <w:tcPr>
            <w:tcW w:w="1328" w:type="dxa"/>
            <w:tcBorders>
              <w:bottom w:val="single" w:sz="4" w:space="0" w:color="auto"/>
            </w:tcBorders>
            <w:shd w:val="clear" w:color="auto" w:fill="auto"/>
          </w:tcPr>
          <w:p w:rsidR="003E324E" w:rsidRPr="003E324E" w:rsidRDefault="003E324E" w:rsidP="00330C3F">
            <w:pPr>
              <w:keepNext/>
              <w:suppressAutoHyphens w:val="0"/>
              <w:spacing w:before="40" w:after="120"/>
              <w:ind w:right="113"/>
            </w:pPr>
          </w:p>
        </w:tc>
        <w:tc>
          <w:tcPr>
            <w:tcW w:w="5976" w:type="dxa"/>
            <w:tcBorders>
              <w:bottom w:val="single" w:sz="4" w:space="0" w:color="auto"/>
            </w:tcBorders>
            <w:shd w:val="clear" w:color="auto" w:fill="auto"/>
          </w:tcPr>
          <w:p w:rsidR="003E324E" w:rsidRPr="003E324E" w:rsidRDefault="003E324E" w:rsidP="00330C3F">
            <w:pPr>
              <w:keepNext/>
              <w:suppressAutoHyphens w:val="0"/>
              <w:spacing w:before="40" w:after="120"/>
              <w:ind w:right="113"/>
            </w:pPr>
            <w:r w:rsidRPr="000F21C2">
              <w:rPr>
                <w:i/>
              </w:rPr>
              <w:t>VE03</w:t>
            </w:r>
            <w:r w:rsidRPr="003E324E">
              <w:t xml:space="preserve"> : Les locaux tels que les cales, les logements et les salles des machines, contigus aux cales contenant ces matières doivent être ventilés. Après le déchargement les cales ayant contenu ces matières doivent être soumises à une ventilation forcée. Après la ventilation, la concentration de gaz </w:t>
            </w:r>
            <w:r w:rsidRPr="003E324E">
              <w:rPr>
                <w:u w:val="single"/>
              </w:rPr>
              <w:t>inflammables ou toxiques provenant de la cargaison</w:t>
            </w:r>
            <w:r w:rsidRPr="003E324E">
              <w:t xml:space="preserve"> dans ces cales doit être mesurée. Les résultats des mesures doivent être consignés par écrit. </w:t>
            </w:r>
          </w:p>
          <w:p w:rsidR="003E324E" w:rsidRPr="003E324E" w:rsidRDefault="003E324E" w:rsidP="00330C3F">
            <w:pPr>
              <w:keepNext/>
              <w:suppressAutoHyphens w:val="0"/>
              <w:spacing w:before="40" w:after="120"/>
              <w:ind w:right="113"/>
            </w:pPr>
            <w:r w:rsidRPr="003E324E">
              <w:t>(…)</w:t>
            </w:r>
          </w:p>
        </w:tc>
        <w:tc>
          <w:tcPr>
            <w:tcW w:w="5046" w:type="dxa"/>
            <w:tcBorders>
              <w:bottom w:val="single" w:sz="4" w:space="0" w:color="auto"/>
            </w:tcBorders>
            <w:shd w:val="clear" w:color="auto" w:fill="auto"/>
          </w:tcPr>
          <w:p w:rsidR="003E324E" w:rsidRPr="003E324E" w:rsidRDefault="003E324E" w:rsidP="00330C3F">
            <w:pPr>
              <w:keepNext/>
              <w:suppressAutoHyphens w:val="0"/>
              <w:spacing w:before="40" w:after="120"/>
              <w:ind w:right="113"/>
            </w:pPr>
          </w:p>
        </w:tc>
      </w:tr>
      <w:tr w:rsidR="003E324E" w:rsidRPr="003E324E" w:rsidTr="00B412CD">
        <w:trPr>
          <w:gridAfter w:val="2"/>
          <w:wAfter w:w="231" w:type="dxa"/>
        </w:trPr>
        <w:tc>
          <w:tcPr>
            <w:tcW w:w="1328" w:type="dxa"/>
            <w:tcBorders>
              <w:top w:val="single" w:sz="4" w:space="0" w:color="auto"/>
            </w:tcBorders>
            <w:shd w:val="clear" w:color="auto" w:fill="auto"/>
          </w:tcPr>
          <w:p w:rsidR="003E324E" w:rsidRPr="003E324E" w:rsidRDefault="003E324E" w:rsidP="003E324E">
            <w:pPr>
              <w:suppressAutoHyphens w:val="0"/>
              <w:spacing w:before="40" w:after="120"/>
              <w:ind w:right="113"/>
            </w:pPr>
            <w:r w:rsidRPr="003E324E">
              <w:t>7.1.6.16</w:t>
            </w:r>
          </w:p>
        </w:tc>
        <w:tc>
          <w:tcPr>
            <w:tcW w:w="5976" w:type="dxa"/>
            <w:tcBorders>
              <w:top w:val="single" w:sz="4" w:space="0" w:color="auto"/>
            </w:tcBorders>
            <w:shd w:val="clear" w:color="auto" w:fill="auto"/>
          </w:tcPr>
          <w:p w:rsidR="003E324E" w:rsidRPr="00C31229" w:rsidRDefault="003E324E" w:rsidP="003E324E">
            <w:pPr>
              <w:suppressAutoHyphens w:val="0"/>
              <w:spacing w:before="40" w:after="120"/>
              <w:ind w:right="113"/>
              <w:rPr>
                <w:b/>
                <w:i/>
              </w:rPr>
            </w:pPr>
            <w:r w:rsidRPr="00C31229">
              <w:rPr>
                <w:b/>
                <w:i/>
              </w:rPr>
              <w:t>Mesures à prendre pendant le chargement, le transport, le déchargement et la manutention de la cargaison</w:t>
            </w:r>
          </w:p>
          <w:p w:rsidR="003E324E" w:rsidRPr="003E324E" w:rsidRDefault="003E324E" w:rsidP="003E324E">
            <w:pPr>
              <w:suppressAutoHyphens w:val="0"/>
              <w:spacing w:before="40" w:after="120"/>
              <w:ind w:right="113"/>
            </w:pPr>
            <w:r w:rsidRPr="003E324E">
              <w:t>Les prescriptions supplémentaires suivantes doivent être remplies lorsqu</w:t>
            </w:r>
            <w:r w:rsidR="00321934">
              <w:t>’</w:t>
            </w:r>
            <w:r w:rsidRPr="003E324E">
              <w:t>elles sont indiqué</w:t>
            </w:r>
            <w:r w:rsidR="000F21C2">
              <w:t>es à la colonne (11) du tableau </w:t>
            </w:r>
            <w:r w:rsidRPr="003E324E">
              <w:t>A du chap</w:t>
            </w:r>
            <w:r w:rsidR="000F21C2">
              <w:t>itre </w:t>
            </w:r>
            <w:r w:rsidRPr="003E324E">
              <w:t xml:space="preserve">3.2 : </w:t>
            </w:r>
          </w:p>
        </w:tc>
        <w:tc>
          <w:tcPr>
            <w:tcW w:w="5046" w:type="dxa"/>
            <w:tcBorders>
              <w:top w:val="single" w:sz="4" w:space="0" w:color="auto"/>
            </w:tcBorders>
            <w:shd w:val="clear" w:color="auto" w:fill="auto"/>
          </w:tcPr>
          <w:p w:rsidR="003E324E" w:rsidRPr="00C31229" w:rsidRDefault="003E324E" w:rsidP="003E324E">
            <w:pPr>
              <w:suppressAutoHyphens w:val="0"/>
              <w:spacing w:before="40" w:after="120"/>
              <w:ind w:right="113"/>
              <w:rPr>
                <w:b/>
              </w:rPr>
            </w:pPr>
            <w:r w:rsidRPr="00C31229">
              <w:rPr>
                <w:b/>
              </w:rPr>
              <w:t>Proposition</w:t>
            </w:r>
          </w:p>
          <w:p w:rsidR="003E324E" w:rsidRPr="003E324E" w:rsidRDefault="003E324E" w:rsidP="003E324E">
            <w:pPr>
              <w:suppressAutoHyphens w:val="0"/>
              <w:spacing w:before="40" w:after="120"/>
              <w:ind w:right="113"/>
            </w:pPr>
            <w:r w:rsidRPr="003E324E">
              <w:t>Ajouter « inflammables » et « toxiques ».</w:t>
            </w: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0F21C2">
              <w:rPr>
                <w:i/>
              </w:rPr>
              <w:t>IN01</w:t>
            </w:r>
            <w:r w:rsidRPr="003E324E">
              <w:t xml:space="preserve"> : Après chargement ou déchargement de ces matières en vrac ou sans emballage et avant de quitter le lieu de transbordement, la concentration des gaz </w:t>
            </w:r>
            <w:r w:rsidRPr="003E324E">
              <w:rPr>
                <w:u w:val="single"/>
              </w:rPr>
              <w:t>inflammables provenant de la cargaison</w:t>
            </w:r>
            <w:r w:rsidRPr="003E324E">
              <w:t xml:space="preserve"> dans les logements, les salles des machines et les cales contiguës doit être mesurée par l</w:t>
            </w:r>
            <w:r w:rsidR="00321934">
              <w:t>’</w:t>
            </w:r>
            <w:r w:rsidRPr="003E324E">
              <w:t>expéditeur ou le destinataire au moyen d</w:t>
            </w:r>
            <w:r w:rsidR="00321934">
              <w:t>’</w:t>
            </w:r>
            <w:r w:rsidRPr="003E324E">
              <w:t xml:space="preserve">un détecteur de gaz </w:t>
            </w:r>
            <w:r w:rsidRPr="003E324E">
              <w:rPr>
                <w:strike/>
              </w:rPr>
              <w:t>inflammable</w:t>
            </w:r>
            <w:r w:rsidRPr="003E324E">
              <w:t>.</w:t>
            </w:r>
          </w:p>
          <w:p w:rsidR="003E324E" w:rsidRPr="003E324E" w:rsidRDefault="003E324E" w:rsidP="003E324E">
            <w:pPr>
              <w:suppressAutoHyphens w:val="0"/>
              <w:spacing w:before="40" w:after="120"/>
              <w:ind w:right="113"/>
            </w:pPr>
            <w:r w:rsidRPr="003E324E">
              <w:t xml:space="preserve">Avant que quiconque entre dans une cale et avant le déchargement, la concentration des gaz </w:t>
            </w:r>
            <w:r w:rsidRPr="003E324E">
              <w:rPr>
                <w:u w:val="single"/>
              </w:rPr>
              <w:t>inflammables provenant de la cargaison</w:t>
            </w:r>
            <w:r w:rsidRPr="003E324E">
              <w:t xml:space="preserve"> doit être mesurée par le destinataire de la cargaison.</w:t>
            </w:r>
          </w:p>
        </w:tc>
        <w:tc>
          <w:tcPr>
            <w:tcW w:w="5046" w:type="dxa"/>
            <w:shd w:val="clear" w:color="auto" w:fill="auto"/>
          </w:tcPr>
          <w:p w:rsidR="003E324E" w:rsidRPr="00C31229" w:rsidRDefault="003E324E" w:rsidP="003E324E">
            <w:pPr>
              <w:suppressAutoHyphens w:val="0"/>
              <w:spacing w:before="40" w:after="120"/>
              <w:ind w:right="113"/>
              <w:rPr>
                <w:b/>
              </w:rPr>
            </w:pPr>
            <w:r w:rsidRPr="00C31229">
              <w:rPr>
                <w:b/>
              </w:rPr>
              <w:t>Justification</w:t>
            </w:r>
          </w:p>
          <w:p w:rsidR="003E324E" w:rsidRPr="003E324E" w:rsidRDefault="003E324E" w:rsidP="003E324E">
            <w:pPr>
              <w:suppressAutoHyphens w:val="0"/>
              <w:spacing w:before="40" w:after="120"/>
              <w:ind w:right="113"/>
            </w:pPr>
            <w:r w:rsidRPr="003E324E">
              <w:t>Cet ajout permet de mieux préciser quel type de gaz doit être mesuré. Actuellement, il est entendu implicitement qu</w:t>
            </w:r>
            <w:r w:rsidR="00321934">
              <w:t>’</w:t>
            </w:r>
            <w:r w:rsidRPr="003E324E">
              <w:t>il s</w:t>
            </w:r>
            <w:r w:rsidR="00321934">
              <w:t>’</w:t>
            </w:r>
            <w:r w:rsidRPr="003E324E">
              <w:t>agit de gaz inflammables ou toxiques selon qu</w:t>
            </w:r>
            <w:r w:rsidR="00321934">
              <w:t>’</w:t>
            </w:r>
            <w:r w:rsidRPr="003E324E">
              <w:t>on doit utiliser un détecteur de gaz inflammable ou un toximètre.</w:t>
            </w:r>
          </w:p>
        </w:tc>
      </w:tr>
      <w:tr w:rsidR="003E324E" w:rsidRPr="003E324E" w:rsidTr="00B412CD">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3E324E">
              <w:t>Il est interdit d</w:t>
            </w:r>
            <w:r w:rsidR="00321934">
              <w:t>’</w:t>
            </w:r>
            <w:r w:rsidRPr="003E324E">
              <w:t xml:space="preserve">entrer dans la cale ou de commencer à décharger tant que la concentration des gaz </w:t>
            </w:r>
            <w:r w:rsidRPr="003E324E">
              <w:rPr>
                <w:u w:val="single"/>
              </w:rPr>
              <w:t>inflammables provenant de la cargaison</w:t>
            </w:r>
            <w:r w:rsidRPr="003E324E">
              <w:t xml:space="preserve"> dans l</w:t>
            </w:r>
            <w:r w:rsidR="00321934">
              <w:t>’</w:t>
            </w:r>
            <w:r w:rsidRPr="003E324E">
              <w:t>espace libre au-dessus de la cargaison n</w:t>
            </w:r>
            <w:r w:rsidR="00321934">
              <w:t>’</w:t>
            </w:r>
            <w:r w:rsidRPr="003E324E">
              <w:t xml:space="preserve">est pas inférieure à 50 % de la </w:t>
            </w:r>
            <w:r w:rsidRPr="003E324E">
              <w:rPr>
                <w:u w:val="single"/>
              </w:rPr>
              <w:t>LIE</w:t>
            </w:r>
            <w:r w:rsidRPr="003E324E">
              <w:t xml:space="preserve"> </w:t>
            </w:r>
            <w:r w:rsidRPr="003E324E">
              <w:rPr>
                <w:strike/>
              </w:rPr>
              <w:t>limite inférieure d</w:t>
            </w:r>
            <w:r w:rsidR="00321934">
              <w:rPr>
                <w:strike/>
              </w:rPr>
              <w:t>’</w:t>
            </w:r>
            <w:r w:rsidRPr="003E324E">
              <w:rPr>
                <w:strike/>
              </w:rPr>
              <w:t>explosibilité</w:t>
            </w:r>
            <w:r w:rsidRPr="003E324E">
              <w:t>.</w:t>
            </w:r>
          </w:p>
          <w:p w:rsidR="003E324E" w:rsidRPr="003E324E" w:rsidRDefault="003E324E" w:rsidP="003E324E">
            <w:pPr>
              <w:suppressAutoHyphens w:val="0"/>
              <w:spacing w:before="40" w:after="120"/>
              <w:ind w:right="113"/>
            </w:pPr>
            <w:r w:rsidRPr="003E324E">
              <w:t xml:space="preserve">Si </w:t>
            </w:r>
            <w:r w:rsidRPr="003E324E">
              <w:rPr>
                <w:u w:val="single"/>
              </w:rPr>
              <w:t>la</w:t>
            </w:r>
            <w:r w:rsidRPr="003E324E">
              <w:t xml:space="preserve"> concentration</w:t>
            </w:r>
            <w:r w:rsidRPr="003E324E">
              <w:rPr>
                <w:strike/>
              </w:rPr>
              <w:t>s significatives</w:t>
            </w:r>
            <w:r w:rsidRPr="003E324E">
              <w:t xml:space="preserve"> de gaz </w:t>
            </w:r>
            <w:r w:rsidRPr="003E324E">
              <w:rPr>
                <w:u w:val="single"/>
              </w:rPr>
              <w:t>inflammables provenant de la cargaison n</w:t>
            </w:r>
            <w:r w:rsidR="00321934">
              <w:rPr>
                <w:u w:val="single"/>
              </w:rPr>
              <w:t>’</w:t>
            </w:r>
            <w:r w:rsidRPr="003E324E">
              <w:rPr>
                <w:u w:val="single"/>
              </w:rPr>
              <w:t>est pas inférieure à 50 % de la LIE</w:t>
            </w:r>
            <w:r w:rsidRPr="003E324E">
              <w:t xml:space="preserve"> </w:t>
            </w:r>
            <w:r w:rsidRPr="003E324E">
              <w:rPr>
                <w:strike/>
              </w:rPr>
              <w:t>sont constatées dans ces locaux</w:t>
            </w:r>
            <w:r w:rsidRPr="003E324E">
              <w:t xml:space="preserve">, des mesures de sécurité </w:t>
            </w:r>
            <w:r w:rsidRPr="003E324E">
              <w:rPr>
                <w:strike/>
              </w:rPr>
              <w:t>appropriées</w:t>
            </w:r>
            <w:r w:rsidRPr="003E324E">
              <w:t xml:space="preserve"> doivent être prises immédiatement par l</w:t>
            </w:r>
            <w:r w:rsidR="00321934">
              <w:t>’</w:t>
            </w:r>
            <w:r w:rsidRPr="003E324E">
              <w:t>expéditeur ou le destinataire.</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bottom w:val="single" w:sz="4" w:space="0" w:color="auto"/>
            </w:tcBorders>
            <w:shd w:val="clear" w:color="auto" w:fill="auto"/>
          </w:tcPr>
          <w:p w:rsidR="003E324E" w:rsidRPr="003E324E" w:rsidRDefault="003E324E" w:rsidP="00C31229">
            <w:pPr>
              <w:keepNext/>
              <w:suppressAutoHyphens w:val="0"/>
              <w:spacing w:before="40" w:after="120"/>
              <w:ind w:right="113"/>
            </w:pPr>
          </w:p>
        </w:tc>
        <w:tc>
          <w:tcPr>
            <w:tcW w:w="5976" w:type="dxa"/>
            <w:tcBorders>
              <w:bottom w:val="single" w:sz="4" w:space="0" w:color="auto"/>
            </w:tcBorders>
            <w:shd w:val="clear" w:color="auto" w:fill="auto"/>
          </w:tcPr>
          <w:p w:rsidR="003E324E" w:rsidRPr="003E324E" w:rsidRDefault="003E324E" w:rsidP="00C31229">
            <w:pPr>
              <w:keepNext/>
              <w:suppressAutoHyphens w:val="0"/>
              <w:spacing w:before="40" w:after="120"/>
              <w:ind w:right="113"/>
            </w:pPr>
            <w:r w:rsidRPr="000F21C2">
              <w:rPr>
                <w:i/>
              </w:rPr>
              <w:t>IN02</w:t>
            </w:r>
            <w:r w:rsidRPr="003E324E">
              <w:t xml:space="preserve"> : Si une cale contient ces matières en vrac ou sans emballage, la concentration de gaz </w:t>
            </w:r>
            <w:r w:rsidRPr="003E324E">
              <w:rPr>
                <w:u w:val="single"/>
              </w:rPr>
              <w:t>toxiques provenant de la cargaison</w:t>
            </w:r>
            <w:r w:rsidRPr="003E324E">
              <w:t xml:space="preserve"> doit être mesurée une fois au moins toutes les huit heures au moyen d</w:t>
            </w:r>
            <w:r w:rsidR="00321934">
              <w:t>’</w:t>
            </w:r>
            <w:r w:rsidRPr="003E324E">
              <w:t>un toximètre dans tous les autres locaux fréquentés par les membres de l</w:t>
            </w:r>
            <w:r w:rsidR="00321934">
              <w:t>’</w:t>
            </w:r>
            <w:r w:rsidRPr="003E324E">
              <w:t>équipage. Les résultats des mesures doivent être consignés par écrit.</w:t>
            </w:r>
          </w:p>
          <w:p w:rsidR="003E324E" w:rsidRPr="003E324E" w:rsidRDefault="003E324E" w:rsidP="00C31229">
            <w:pPr>
              <w:keepNext/>
              <w:suppressAutoHyphens w:val="0"/>
              <w:spacing w:before="40" w:after="120"/>
              <w:ind w:right="113"/>
            </w:pPr>
            <w:r w:rsidRPr="003E324E">
              <w:t>…</w:t>
            </w:r>
          </w:p>
        </w:tc>
        <w:tc>
          <w:tcPr>
            <w:tcW w:w="5046" w:type="dxa"/>
            <w:tcBorders>
              <w:bottom w:val="single" w:sz="4" w:space="0" w:color="auto"/>
            </w:tcBorders>
            <w:shd w:val="clear" w:color="auto" w:fill="auto"/>
          </w:tcPr>
          <w:p w:rsidR="003E324E" w:rsidRPr="003E324E" w:rsidRDefault="003E324E" w:rsidP="00C31229">
            <w:pPr>
              <w:keepNext/>
              <w:suppressAutoHyphens w:val="0"/>
              <w:spacing w:before="40" w:after="120"/>
              <w:ind w:right="113"/>
            </w:pPr>
          </w:p>
        </w:tc>
      </w:tr>
      <w:tr w:rsidR="003E324E" w:rsidRPr="003E324E" w:rsidTr="00B412CD">
        <w:trPr>
          <w:gridAfter w:val="1"/>
          <w:wAfter w:w="222" w:type="dxa"/>
        </w:trPr>
        <w:tc>
          <w:tcPr>
            <w:tcW w:w="12359" w:type="dxa"/>
            <w:gridSpan w:val="4"/>
            <w:tcBorders>
              <w:bottom w:val="single" w:sz="4" w:space="0" w:color="auto"/>
            </w:tcBorders>
            <w:shd w:val="clear" w:color="auto" w:fill="auto"/>
          </w:tcPr>
          <w:p w:rsidR="003E324E" w:rsidRPr="003E324E" w:rsidRDefault="00C31229" w:rsidP="00C31229">
            <w:pPr>
              <w:tabs>
                <w:tab w:val="left" w:pos="1327"/>
              </w:tabs>
              <w:suppressAutoHyphens w:val="0"/>
              <w:spacing w:before="40" w:after="120"/>
              <w:ind w:left="1327" w:right="113" w:hanging="1327"/>
            </w:pPr>
            <w:r>
              <w:rPr>
                <w:b/>
              </w:rPr>
              <w:t>7.2.3.1</w:t>
            </w:r>
            <w:r>
              <w:rPr>
                <w:b/>
              </w:rPr>
              <w:tab/>
            </w:r>
            <w:r w:rsidR="003E324E" w:rsidRPr="00C31229">
              <w:rPr>
                <w:b/>
              </w:rPr>
              <w:t>Accès aux citernes à cargaison, citernes à restes de cargaison, chambres des pompes à cargaison sous pont, cofferdams, espaces de double coque, do</w:t>
            </w:r>
            <w:r w:rsidR="00310024">
              <w:rPr>
                <w:b/>
              </w:rPr>
              <w:t>ubles fonds et espaces de cales ;</w:t>
            </w:r>
            <w:r w:rsidR="003E324E" w:rsidRPr="00C31229">
              <w:rPr>
                <w:b/>
              </w:rPr>
              <w:t xml:space="preserve"> contrôles</w:t>
            </w:r>
          </w:p>
        </w:tc>
      </w:tr>
      <w:tr w:rsidR="003E324E" w:rsidRPr="003E324E" w:rsidTr="00B412CD">
        <w:trPr>
          <w:gridAfter w:val="2"/>
          <w:wAfter w:w="231" w:type="dxa"/>
        </w:trPr>
        <w:tc>
          <w:tcPr>
            <w:tcW w:w="1328" w:type="dxa"/>
            <w:tcBorders>
              <w:bottom w:val="single" w:sz="4" w:space="0" w:color="auto"/>
            </w:tcBorders>
            <w:shd w:val="clear" w:color="auto" w:fill="auto"/>
          </w:tcPr>
          <w:p w:rsidR="003E324E" w:rsidRPr="003E324E" w:rsidRDefault="003E324E" w:rsidP="003E324E">
            <w:pPr>
              <w:suppressAutoHyphens w:val="0"/>
              <w:spacing w:before="40" w:after="120"/>
              <w:ind w:right="113"/>
            </w:pPr>
            <w:r w:rsidRPr="003E324E">
              <w:t>7.2.3.1.4</w:t>
            </w:r>
          </w:p>
        </w:tc>
        <w:tc>
          <w:tcPr>
            <w:tcW w:w="5976" w:type="dxa"/>
            <w:tcBorders>
              <w:bottom w:val="single" w:sz="4" w:space="0" w:color="auto"/>
            </w:tcBorders>
            <w:shd w:val="clear" w:color="auto" w:fill="auto"/>
          </w:tcPr>
          <w:p w:rsidR="003E324E" w:rsidRPr="003E324E" w:rsidRDefault="003E324E" w:rsidP="003E324E">
            <w:pPr>
              <w:suppressAutoHyphens w:val="0"/>
              <w:spacing w:before="40" w:after="120"/>
              <w:ind w:right="113"/>
            </w:pPr>
            <w:r w:rsidRPr="003E324E">
              <w:t>Dans les cas où il est prévu que l</w:t>
            </w:r>
            <w:r w:rsidR="00321934">
              <w:t>’</w:t>
            </w:r>
            <w:r w:rsidRPr="003E324E">
              <w:t xml:space="preserve">on doit mesurer la concentration de gaz </w:t>
            </w:r>
            <w:r w:rsidRPr="003E324E">
              <w:rPr>
                <w:u w:val="single"/>
              </w:rPr>
              <w:t>inflammables ou toxiques provenant de la cargaison</w:t>
            </w:r>
            <w:r w:rsidRPr="003E324E">
              <w:t xml:space="preserve"> ou la teneur en oxygène avant de pénétrer dans les citernes à cargaison, citernes à restes de cargaison, chambres des pompes sous pont, les cofferdams, espaces de double coque, doubles fonds ou espaces de cales, les résultats de ces mesures doivent être consignés par écrit.</w:t>
            </w:r>
          </w:p>
        </w:tc>
        <w:tc>
          <w:tcPr>
            <w:tcW w:w="5046" w:type="dxa"/>
            <w:tcBorders>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tcBorders>
            <w:shd w:val="clear" w:color="auto" w:fill="auto"/>
          </w:tcPr>
          <w:p w:rsidR="003E324E" w:rsidRPr="003E324E" w:rsidRDefault="003E324E" w:rsidP="003E324E">
            <w:pPr>
              <w:suppressAutoHyphens w:val="0"/>
              <w:spacing w:before="40" w:after="120"/>
              <w:ind w:right="113"/>
            </w:pPr>
          </w:p>
        </w:tc>
        <w:tc>
          <w:tcPr>
            <w:tcW w:w="5976" w:type="dxa"/>
            <w:tcBorders>
              <w:top w:val="single" w:sz="4" w:space="0" w:color="auto"/>
            </w:tcBorders>
            <w:shd w:val="clear" w:color="auto" w:fill="auto"/>
          </w:tcPr>
          <w:p w:rsidR="003E324E" w:rsidRPr="003E324E" w:rsidRDefault="003E324E" w:rsidP="003E324E">
            <w:pPr>
              <w:suppressAutoHyphens w:val="0"/>
              <w:spacing w:before="40" w:after="120"/>
              <w:ind w:right="113"/>
            </w:pPr>
            <w:r w:rsidRPr="003E324E">
              <w:t xml:space="preserve">La mesure doit être effectuée par </w:t>
            </w:r>
            <w:r w:rsidRPr="003E324E">
              <w:rPr>
                <w:strike/>
              </w:rPr>
              <w:t>des personnes</w:t>
            </w:r>
            <w:r w:rsidRPr="003E324E">
              <w:t xml:space="preserve"> </w:t>
            </w:r>
            <w:r w:rsidRPr="003E324E">
              <w:rPr>
                <w:u w:val="single"/>
              </w:rPr>
              <w:t>l</w:t>
            </w:r>
            <w:r w:rsidR="00321934">
              <w:rPr>
                <w:u w:val="single"/>
              </w:rPr>
              <w:t>’</w:t>
            </w:r>
            <w:r w:rsidRPr="003E324E">
              <w:rPr>
                <w:u w:val="single"/>
              </w:rPr>
              <w:t>expert mentionné au 8.2.1</w:t>
            </w:r>
            <w:r w:rsidRPr="003E324E">
              <w:t>, équipé</w:t>
            </w:r>
            <w:r w:rsidRPr="003E324E">
              <w:rPr>
                <w:strike/>
              </w:rPr>
              <w:t>es</w:t>
            </w:r>
            <w:r w:rsidRPr="003E324E">
              <w:t xml:space="preserve"> d</w:t>
            </w:r>
            <w:r w:rsidR="00321934">
              <w:t>’</w:t>
            </w:r>
            <w:r w:rsidRPr="003E324E">
              <w:t>un appareil respiratoire adapté à la matière transportée.</w:t>
            </w:r>
          </w:p>
        </w:tc>
        <w:tc>
          <w:tcPr>
            <w:tcW w:w="5046" w:type="dxa"/>
            <w:tcBorders>
              <w:top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3E324E">
              <w:t>L</w:t>
            </w:r>
            <w:r w:rsidR="00321934">
              <w:t>’</w:t>
            </w:r>
            <w:r w:rsidRPr="003E324E">
              <w:t>entrée dans ces espaces n</w:t>
            </w:r>
            <w:r w:rsidR="00321934">
              <w:t>’</w:t>
            </w:r>
            <w:r w:rsidRPr="003E324E">
              <w:t>est pas autorisée à des fins de mesure.</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r w:rsidRPr="003E324E">
              <w:t>7.2.3.1.5</w:t>
            </w:r>
          </w:p>
        </w:tc>
        <w:tc>
          <w:tcPr>
            <w:tcW w:w="5976" w:type="dxa"/>
            <w:shd w:val="clear" w:color="auto" w:fill="auto"/>
          </w:tcPr>
          <w:p w:rsidR="003E324E" w:rsidRPr="003E324E" w:rsidRDefault="003E324E" w:rsidP="003E324E">
            <w:pPr>
              <w:suppressAutoHyphens w:val="0"/>
              <w:spacing w:before="40" w:after="120"/>
              <w:ind w:right="113"/>
            </w:pPr>
            <w:r w:rsidRPr="003E324E">
              <w:t xml:space="preserve">Avant que quiconque ne pénètre dans une citerne à cargaison, </w:t>
            </w:r>
            <w:r w:rsidRPr="003E324E">
              <w:rPr>
                <w:bCs/>
                <w:iCs/>
                <w:u w:val="single"/>
              </w:rPr>
              <w:t>une citerne à restes de cargaison</w:t>
            </w:r>
            <w:r w:rsidRPr="003E324E">
              <w:t>, une chambre des pompes à cargaison sous pont, un cofferdam, un espace de double coque, un double fond</w:t>
            </w:r>
            <w:r w:rsidRPr="003E324E">
              <w:rPr>
                <w:u w:val="single"/>
              </w:rPr>
              <w:t>,</w:t>
            </w:r>
            <w:r w:rsidRPr="003E324E">
              <w:t xml:space="preserve"> </w:t>
            </w:r>
            <w:r w:rsidRPr="003E324E">
              <w:rPr>
                <w:strike/>
              </w:rPr>
              <w:t>ou</w:t>
            </w:r>
            <w:r w:rsidRPr="003E324E">
              <w:t xml:space="preserve"> un espace de cale </w:t>
            </w:r>
            <w:r w:rsidRPr="003E324E">
              <w:rPr>
                <w:u w:val="single"/>
              </w:rPr>
              <w:t>ou un autre espace confiné</w:t>
            </w:r>
            <w:r w:rsidRPr="003E324E">
              <w:t> :</w:t>
            </w:r>
          </w:p>
        </w:tc>
        <w:tc>
          <w:tcPr>
            <w:tcW w:w="5046" w:type="dxa"/>
            <w:shd w:val="clear" w:color="auto" w:fill="auto"/>
          </w:tcPr>
          <w:p w:rsidR="003E324E" w:rsidRPr="004F7FA4" w:rsidRDefault="003E324E" w:rsidP="003E324E">
            <w:pPr>
              <w:suppressAutoHyphens w:val="0"/>
              <w:spacing w:before="40" w:after="120"/>
              <w:ind w:right="113"/>
              <w:rPr>
                <w:b/>
              </w:rPr>
            </w:pPr>
            <w:r w:rsidRPr="004F7FA4">
              <w:rPr>
                <w:b/>
              </w:rPr>
              <w:t>Proposition</w:t>
            </w:r>
          </w:p>
          <w:p w:rsidR="003E324E" w:rsidRPr="003E324E" w:rsidRDefault="003E324E" w:rsidP="003E324E">
            <w:pPr>
              <w:suppressAutoHyphens w:val="0"/>
              <w:spacing w:before="40" w:after="120"/>
              <w:ind w:right="113"/>
            </w:pPr>
            <w:r w:rsidRPr="003E324E">
              <w:t>Ajouter « une citerne à restes de cargaison » et « ou un autre espace confiné ».</w:t>
            </w: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3E324E">
              <w:tab/>
              <w:t>a)</w:t>
            </w:r>
            <w:r w:rsidRPr="003E324E">
              <w:tab/>
              <w:t xml:space="preserve">Lorsque des matières dangereuses des classes 2, 3, 4.1, 6.1, 8 ou 9, pour lesquelles la colonne (18) du tableau C du chapitre 3.2 exige un détecteur de gaz </w:t>
            </w:r>
            <w:r w:rsidRPr="003E324E">
              <w:rPr>
                <w:strike/>
              </w:rPr>
              <w:t>inflammable</w:t>
            </w:r>
            <w:r w:rsidRPr="003E324E">
              <w:t>, sont transportées sur le bateau, on doit s</w:t>
            </w:r>
            <w:r w:rsidR="00321934">
              <w:t>’</w:t>
            </w:r>
            <w:r w:rsidRPr="003E324E">
              <w:t xml:space="preserve">assurer, au moyen de cet instrument, que la concentration de gaz </w:t>
            </w:r>
            <w:r w:rsidRPr="003E324E">
              <w:rPr>
                <w:u w:val="single"/>
              </w:rPr>
              <w:t>inflammables provenant de la cargaison</w:t>
            </w:r>
            <w:r w:rsidRPr="003E324E">
              <w:t xml:space="preserve"> dans la citerne à cargaison, </w:t>
            </w:r>
            <w:r w:rsidRPr="003E324E">
              <w:rPr>
                <w:u w:val="single"/>
              </w:rPr>
              <w:t>la citerne à restes de cargaison</w:t>
            </w:r>
            <w:r w:rsidRPr="003E324E">
              <w:t>, la chambre des pompes à cargaison sous pont, le cofferdam, l</w:t>
            </w:r>
            <w:r w:rsidR="00321934">
              <w:t>’</w:t>
            </w:r>
            <w:r w:rsidRPr="003E324E">
              <w:t>espace de double coque, le double fond ou l</w:t>
            </w:r>
            <w:r w:rsidR="00321934">
              <w:t>’</w:t>
            </w:r>
            <w:r w:rsidRPr="003E324E">
              <w:t xml:space="preserve">espace de cale est inférieure à 50 % de la </w:t>
            </w:r>
            <w:r w:rsidRPr="003E324E">
              <w:rPr>
                <w:u w:val="single"/>
              </w:rPr>
              <w:t>LIE</w:t>
            </w:r>
            <w:r w:rsidRPr="003E324E">
              <w:t xml:space="preserve"> </w:t>
            </w:r>
            <w:r w:rsidRPr="003E324E">
              <w:rPr>
                <w:strike/>
              </w:rPr>
              <w:t>limite inférieure d</w:t>
            </w:r>
            <w:r w:rsidR="00321934">
              <w:rPr>
                <w:strike/>
              </w:rPr>
              <w:t>’</w:t>
            </w:r>
            <w:r w:rsidRPr="003E324E">
              <w:rPr>
                <w:strike/>
              </w:rPr>
              <w:t>explosivité de la matière transportée</w:t>
            </w:r>
            <w:r w:rsidRPr="003E324E">
              <w:t>. Pour la chambre des pompes à cargaison sous pont, on peut le faire au moyen de l</w:t>
            </w:r>
            <w:r w:rsidR="00321934">
              <w:t>’</w:t>
            </w:r>
            <w:r w:rsidRPr="003E324E">
              <w:t>installation permanente de détection de gaz</w:t>
            </w:r>
            <w:r w:rsidR="004F7FA4">
              <w:t> ;</w:t>
            </w:r>
          </w:p>
        </w:tc>
        <w:tc>
          <w:tcPr>
            <w:tcW w:w="5046" w:type="dxa"/>
            <w:shd w:val="clear" w:color="auto" w:fill="auto"/>
          </w:tcPr>
          <w:p w:rsidR="003E324E" w:rsidRPr="004F7FA4" w:rsidRDefault="003E324E" w:rsidP="003E324E">
            <w:pPr>
              <w:suppressAutoHyphens w:val="0"/>
              <w:spacing w:before="40" w:after="120"/>
              <w:ind w:right="113"/>
              <w:rPr>
                <w:b/>
              </w:rPr>
            </w:pPr>
            <w:r w:rsidRPr="004F7FA4">
              <w:rPr>
                <w:b/>
              </w:rPr>
              <w:t>Justification</w:t>
            </w:r>
          </w:p>
          <w:p w:rsidR="003E324E" w:rsidRPr="003E324E" w:rsidRDefault="003E324E" w:rsidP="003E324E">
            <w:pPr>
              <w:suppressAutoHyphens w:val="0"/>
              <w:spacing w:before="40" w:after="120"/>
              <w:ind w:right="113"/>
            </w:pPr>
            <w:r w:rsidRPr="003E324E">
              <w:t>L</w:t>
            </w:r>
            <w:r w:rsidR="00321934">
              <w:t>’</w:t>
            </w:r>
            <w:r w:rsidRPr="003E324E">
              <w:t>intitulé du 7.2.3.1 mentionne les citernes à restes de cargaison, mais celles-ci n</w:t>
            </w:r>
            <w:r w:rsidR="00321934">
              <w:t>’</w:t>
            </w:r>
            <w:r w:rsidRPr="003E324E">
              <w:t>apparaissent pas dans les dispositions pertinentes.</w:t>
            </w: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3E324E">
              <w:tab/>
              <w:t>b)</w:t>
            </w:r>
            <w:r w:rsidRPr="003E324E">
              <w:tab/>
              <w:t>Lorsque des matières dangereuses des classes 2, 3, 4.1, 6.1, 8 ou 9, pour lesquelles la colonne (18) du tableau C du chapitre 3.2 exige un toximètre, sont transportées sur le bateau, on doit s</w:t>
            </w:r>
            <w:r w:rsidR="00321934">
              <w:t>’</w:t>
            </w:r>
            <w:r w:rsidRPr="003E324E">
              <w:t xml:space="preserve">assurer, au moyen de cet instrument, que la citerne à cargaison, </w:t>
            </w:r>
            <w:r w:rsidRPr="003E324E">
              <w:rPr>
                <w:u w:val="single"/>
              </w:rPr>
              <w:t>la citerne à restes de cargaison,</w:t>
            </w:r>
            <w:r w:rsidRPr="003E324E">
              <w:t xml:space="preserve"> la chambre des pompes à cargaison sous pont, le cofferdam, l</w:t>
            </w:r>
            <w:r w:rsidR="00321934">
              <w:t>’</w:t>
            </w:r>
            <w:r w:rsidRPr="003E324E">
              <w:t>espace de double coque, le double fond ou l</w:t>
            </w:r>
            <w:r w:rsidR="00321934">
              <w:t>’</w:t>
            </w:r>
            <w:r w:rsidRPr="003E324E">
              <w:t xml:space="preserve">espace de cale ne contiennent pas une concentration notable de gaz toxiques </w:t>
            </w:r>
            <w:r w:rsidRPr="003E324E">
              <w:rPr>
                <w:u w:val="single"/>
              </w:rPr>
              <w:t>provenant de la cargaison</w:t>
            </w:r>
            <w:r w:rsidRPr="003E324E">
              <w:t>.</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3E324E">
              <w:rPr>
                <w:u w:val="single"/>
              </w:rPr>
              <w:t>Contrairement à ce que dispose le 1.1.4.6, la législation nationale relative à l</w:t>
            </w:r>
            <w:r w:rsidR="00321934">
              <w:rPr>
                <w:u w:val="single"/>
              </w:rPr>
              <w:t>’</w:t>
            </w:r>
            <w:r w:rsidRPr="003E324E">
              <w:rPr>
                <w:u w:val="single"/>
              </w:rPr>
              <w:t>accès aux cales l</w:t>
            </w:r>
            <w:r w:rsidR="00321934">
              <w:rPr>
                <w:u w:val="single"/>
              </w:rPr>
              <w:t>’</w:t>
            </w:r>
            <w:r w:rsidRPr="003E324E">
              <w:rPr>
                <w:u w:val="single"/>
              </w:rPr>
              <w:t>emporte sur l</w:t>
            </w:r>
            <w:r w:rsidR="00321934">
              <w:rPr>
                <w:u w:val="single"/>
              </w:rPr>
              <w:t>’</w:t>
            </w:r>
            <w:r w:rsidRPr="003E324E">
              <w:rPr>
                <w:u w:val="single"/>
              </w:rPr>
              <w:t>ADN</w:t>
            </w:r>
            <w:r w:rsidRPr="003E324E">
              <w:t>.</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r w:rsidRPr="003E324E">
              <w:t>7.2.3.1.6</w:t>
            </w:r>
          </w:p>
        </w:tc>
        <w:tc>
          <w:tcPr>
            <w:tcW w:w="5976" w:type="dxa"/>
            <w:shd w:val="clear" w:color="auto" w:fill="auto"/>
          </w:tcPr>
          <w:p w:rsidR="003E324E" w:rsidRPr="003E324E" w:rsidRDefault="003E324E" w:rsidP="003E324E">
            <w:pPr>
              <w:suppressAutoHyphens w:val="0"/>
              <w:spacing w:before="40" w:after="120"/>
              <w:ind w:right="113"/>
            </w:pPr>
            <w:r w:rsidRPr="003E324E">
              <w:t xml:space="preserve">On ne doit pénétrer dans une citerne, à cargaison vide, </w:t>
            </w:r>
            <w:r w:rsidRPr="003E324E">
              <w:rPr>
                <w:u w:val="single"/>
              </w:rPr>
              <w:t>une citerne à restes de cargaison,</w:t>
            </w:r>
            <w:r w:rsidRPr="003E324E">
              <w:t xml:space="preserve"> une chambre des pompes à cargaison sous pont, un cofferdam, un espace de double coque, un double fond</w:t>
            </w:r>
            <w:r w:rsidRPr="003E324E">
              <w:rPr>
                <w:u w:val="single"/>
              </w:rPr>
              <w:t>,</w:t>
            </w:r>
            <w:r w:rsidRPr="003E324E">
              <w:t xml:space="preserve"> </w:t>
            </w:r>
            <w:r w:rsidRPr="003E324E">
              <w:rPr>
                <w:strike/>
              </w:rPr>
              <w:t>ou</w:t>
            </w:r>
            <w:r w:rsidRPr="003E324E">
              <w:t xml:space="preserve"> un espace de cale </w:t>
            </w:r>
            <w:r w:rsidRPr="003E324E">
              <w:rPr>
                <w:u w:val="single"/>
              </w:rPr>
              <w:t>ou un autre espace confiné que</w:t>
            </w:r>
            <w:r w:rsidRPr="003E324E">
              <w:t> :</w:t>
            </w:r>
          </w:p>
          <w:p w:rsidR="003E324E" w:rsidRPr="003E324E" w:rsidRDefault="003E324E" w:rsidP="003E324E">
            <w:pPr>
              <w:suppressAutoHyphens w:val="0"/>
              <w:spacing w:before="40" w:after="120"/>
              <w:ind w:right="113"/>
              <w:rPr>
                <w:strike/>
              </w:rPr>
            </w:pPr>
            <w:r w:rsidRPr="003E324E">
              <w:rPr>
                <w:strike/>
              </w:rPr>
              <w:t>Si la concentration en oxygène est suffisante et s</w:t>
            </w:r>
            <w:r w:rsidR="00321934">
              <w:rPr>
                <w:strike/>
              </w:rPr>
              <w:t>’</w:t>
            </w:r>
            <w:r w:rsidRPr="003E324E">
              <w:rPr>
                <w:strike/>
              </w:rPr>
              <w:t>il n</w:t>
            </w:r>
            <w:r w:rsidR="00321934">
              <w:rPr>
                <w:strike/>
              </w:rPr>
              <w:t>’</w:t>
            </w:r>
            <w:r w:rsidRPr="003E324E">
              <w:rPr>
                <w:strike/>
              </w:rPr>
              <w:t>y a pas de concentration mesurable de subs</w:t>
            </w:r>
            <w:r w:rsidR="004F7FA4">
              <w:rPr>
                <w:strike/>
              </w:rPr>
              <w:t>tances dangereuses ;</w:t>
            </w:r>
          </w:p>
          <w:p w:rsidR="003E324E" w:rsidRPr="003E324E" w:rsidRDefault="003E324E" w:rsidP="003E324E">
            <w:pPr>
              <w:suppressAutoHyphens w:val="0"/>
              <w:spacing w:before="40" w:after="120"/>
              <w:ind w:right="113"/>
              <w:rPr>
                <w:strike/>
              </w:rPr>
            </w:pPr>
            <w:r w:rsidRPr="003E324E">
              <w:rPr>
                <w:strike/>
              </w:rPr>
              <w:t>ou</w:t>
            </w:r>
          </w:p>
          <w:p w:rsidR="003E324E" w:rsidRPr="003E324E" w:rsidRDefault="003E324E" w:rsidP="003E324E">
            <w:pPr>
              <w:suppressAutoHyphens w:val="0"/>
              <w:spacing w:before="40" w:after="120"/>
              <w:ind w:right="113"/>
            </w:pPr>
            <w:r w:rsidRPr="003E324E">
              <w:rPr>
                <w:strike/>
              </w:rPr>
              <w:t>Si la personne qui y pénètre porte un appareil respiratoire autonome et les autres équipements de protection et de secours nécessaires et si elle est assurée par une corde. L</w:t>
            </w:r>
            <w:r w:rsidR="00321934">
              <w:rPr>
                <w:strike/>
              </w:rPr>
              <w:t>’</w:t>
            </w:r>
            <w:r w:rsidRPr="003E324E">
              <w:rPr>
                <w:strike/>
              </w:rPr>
              <w:t>entrée dans ces espaces n</w:t>
            </w:r>
            <w:r w:rsidR="00321934">
              <w:rPr>
                <w:strike/>
              </w:rPr>
              <w:t>’</w:t>
            </w:r>
            <w:r w:rsidRPr="003E324E">
              <w:rPr>
                <w:strike/>
              </w:rPr>
              <w:t>est autorisée que si cette opération est surveillée par une deuxième personne ayant à sa disposition le même équipement de protection. Deux autres personnes capables de prêter assistance en cas d</w:t>
            </w:r>
            <w:r w:rsidR="00321934">
              <w:rPr>
                <w:strike/>
              </w:rPr>
              <w:t>’</w:t>
            </w:r>
            <w:r w:rsidRPr="003E324E">
              <w:rPr>
                <w:strike/>
              </w:rPr>
              <w:t>urgence doivent être sur le bateau à portée de voix. Il suffira cependant d</w:t>
            </w:r>
            <w:r w:rsidR="00321934">
              <w:rPr>
                <w:strike/>
              </w:rPr>
              <w:t>’</w:t>
            </w:r>
            <w:r w:rsidRPr="003E324E">
              <w:rPr>
                <w:strike/>
              </w:rPr>
              <w:t>une seule autre personne si un treuil de sauvetage est installé.</w:t>
            </w:r>
            <w:r w:rsidRPr="003E324E">
              <w:rPr>
                <w:u w:val="single"/>
              </w:rPr>
              <w:t xml:space="preserve"> </w:t>
            </w:r>
          </w:p>
        </w:tc>
        <w:tc>
          <w:tcPr>
            <w:tcW w:w="5046" w:type="dxa"/>
            <w:shd w:val="clear" w:color="auto" w:fill="auto"/>
          </w:tcPr>
          <w:p w:rsidR="003E324E" w:rsidRPr="004F7FA4" w:rsidRDefault="003E324E" w:rsidP="003E324E">
            <w:pPr>
              <w:suppressAutoHyphens w:val="0"/>
              <w:spacing w:before="40" w:after="120"/>
              <w:ind w:right="113"/>
              <w:rPr>
                <w:b/>
              </w:rPr>
            </w:pPr>
            <w:r w:rsidRPr="004F7FA4">
              <w:rPr>
                <w:b/>
              </w:rPr>
              <w:t>Proposition</w:t>
            </w:r>
          </w:p>
          <w:p w:rsidR="003E324E" w:rsidRPr="003E324E" w:rsidRDefault="004F7FA4" w:rsidP="004F7FA4">
            <w:pPr>
              <w:suppressAutoHyphens w:val="0"/>
              <w:kinsoku/>
              <w:overflowPunct/>
              <w:autoSpaceDE/>
              <w:adjustRightInd/>
              <w:snapToGrid/>
              <w:spacing w:before="40" w:after="120" w:line="220" w:lineRule="exact"/>
              <w:ind w:left="720" w:right="113" w:hanging="360"/>
              <w:textAlignment w:val="baseline"/>
            </w:pPr>
            <w:r>
              <w:t>–</w:t>
            </w:r>
            <w:r>
              <w:tab/>
            </w:r>
            <w:r w:rsidR="003E324E" w:rsidRPr="003E324E">
              <w:t>Introduire un seuil pour l</w:t>
            </w:r>
            <w:r w:rsidR="00321934">
              <w:t>’</w:t>
            </w:r>
            <w:r w:rsidR="003E324E" w:rsidRPr="003E324E">
              <w:t>oxygène et les gaz inflammables au-dessus duquel l</w:t>
            </w:r>
            <w:r w:rsidR="00321934">
              <w:t>’</w:t>
            </w:r>
            <w:r w:rsidR="003E324E" w:rsidRPr="003E324E">
              <w:t>entrée dans un espace clos n</w:t>
            </w:r>
            <w:r w:rsidR="00321934">
              <w:t>’</w:t>
            </w:r>
            <w:r w:rsidR="003E324E" w:rsidRPr="003E324E">
              <w:t xml:space="preserve">est pas autorisée. </w:t>
            </w:r>
          </w:p>
          <w:p w:rsidR="003E324E" w:rsidRPr="003E324E" w:rsidRDefault="003E324E" w:rsidP="003E324E">
            <w:pPr>
              <w:suppressAutoHyphens w:val="0"/>
              <w:spacing w:before="40" w:after="120"/>
              <w:ind w:right="113"/>
            </w:pPr>
            <w:r w:rsidRPr="003E324E">
              <w:t>Aucun seuil n</w:t>
            </w:r>
            <w:r w:rsidR="00321934">
              <w:t>’</w:t>
            </w:r>
            <w:r w:rsidRPr="003E324E">
              <w:t>est fixé pour les gaz toxiques en raison des écarts entre les seuils utilisés dans la législation nationale de différents États Parties contractantes à l</w:t>
            </w:r>
            <w:r w:rsidR="00321934">
              <w:t>’</w:t>
            </w:r>
            <w:r w:rsidRPr="003E324E">
              <w:t>ADN.</w:t>
            </w:r>
          </w:p>
          <w:p w:rsidR="003E324E" w:rsidRPr="003E324E" w:rsidRDefault="004F7FA4" w:rsidP="004F7FA4">
            <w:pPr>
              <w:suppressAutoHyphens w:val="0"/>
              <w:kinsoku/>
              <w:overflowPunct/>
              <w:autoSpaceDE/>
              <w:adjustRightInd/>
              <w:snapToGrid/>
              <w:spacing w:before="40" w:after="120" w:line="220" w:lineRule="exact"/>
              <w:ind w:left="720" w:right="113" w:hanging="360"/>
              <w:textAlignment w:val="baseline"/>
            </w:pPr>
            <w:r>
              <w:t>–</w:t>
            </w:r>
            <w:r>
              <w:tab/>
            </w:r>
            <w:r w:rsidR="003E324E" w:rsidRPr="003E324E">
              <w:t>L</w:t>
            </w:r>
            <w:r w:rsidR="00321934">
              <w:t>’</w:t>
            </w:r>
            <w:r w:rsidR="003E324E" w:rsidRPr="003E324E">
              <w:t>autorisation d</w:t>
            </w:r>
            <w:r w:rsidR="00321934">
              <w:t>’</w:t>
            </w:r>
            <w:r w:rsidR="003E324E" w:rsidRPr="003E324E">
              <w:t>entrer dans la citerne à cargaison en cas d</w:t>
            </w:r>
            <w:r w:rsidR="00321934">
              <w:t>’</w:t>
            </w:r>
            <w:r w:rsidR="003E324E" w:rsidRPr="003E324E">
              <w:t>urgence ou d</w:t>
            </w:r>
            <w:r w:rsidR="00321934">
              <w:t>’</w:t>
            </w:r>
            <w:r w:rsidR="003E324E" w:rsidRPr="003E324E">
              <w:t>incident mécanique (10-50 % de la limité inférieure d</w:t>
            </w:r>
            <w:r w:rsidR="00321934">
              <w:t>’</w:t>
            </w:r>
            <w:r w:rsidR="003E324E" w:rsidRPr="003E324E">
              <w:t xml:space="preserve">explosivité) est rendue plus explicite et plus contraignante. </w:t>
            </w:r>
          </w:p>
          <w:p w:rsidR="003E324E" w:rsidRPr="004F7FA4" w:rsidRDefault="003E324E" w:rsidP="003E324E">
            <w:pPr>
              <w:suppressAutoHyphens w:val="0"/>
              <w:spacing w:before="40" w:after="120"/>
              <w:ind w:right="113"/>
              <w:rPr>
                <w:b/>
              </w:rPr>
            </w:pPr>
            <w:r w:rsidRPr="004F7FA4">
              <w:rPr>
                <w:b/>
              </w:rPr>
              <w:t>Justification</w:t>
            </w:r>
          </w:p>
          <w:p w:rsidR="003E324E" w:rsidRPr="003E324E" w:rsidRDefault="003E324E" w:rsidP="003E324E">
            <w:pPr>
              <w:suppressAutoHyphens w:val="0"/>
              <w:spacing w:before="40" w:after="120"/>
              <w:ind w:right="113"/>
            </w:pPr>
            <w:r w:rsidRPr="003E324E">
              <w:t>Cette proposition fixe un seuil précis pour les gaz inflammables et l</w:t>
            </w:r>
            <w:r w:rsidR="00321934">
              <w:t>’</w:t>
            </w:r>
            <w:r w:rsidRPr="003E324E">
              <w:t>oxygène, en remplacement des dispositions actuelles plus vagues.</w:t>
            </w: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3E324E">
              <w:rPr>
                <w:u w:val="single"/>
              </w:rPr>
              <w:t>Si la concentration de gaz inflammables provenant de la cargaison dans les cales, la citerne à restes de cargaison, les chambres de pompes à cargaison, les cofferdams, les espaces de double coque, les doubles fonds, les espaces de cale ou tout autre espace confiné est inférieure à 10 % de la LIE, la concentration de gaz toxiques provenant de la cargaison est inférieure à un pourcentage considéré comme dangereux et la teneur en oxygène est comprise entre 20 et 23,5 % en volume</w:t>
            </w:r>
            <w:r w:rsidR="004F7FA4">
              <w:rPr>
                <w:u w:val="single"/>
              </w:rPr>
              <w:t> ;</w:t>
            </w:r>
          </w:p>
          <w:p w:rsidR="003E324E" w:rsidRPr="003E324E" w:rsidRDefault="003E324E" w:rsidP="003E324E">
            <w:pPr>
              <w:suppressAutoHyphens w:val="0"/>
              <w:spacing w:before="40" w:after="120"/>
              <w:ind w:right="113"/>
              <w:rPr>
                <w:u w:val="single"/>
              </w:rPr>
            </w:pPr>
            <w:r w:rsidRPr="003E324E">
              <w:rPr>
                <w:u w:val="single"/>
              </w:rPr>
              <w:t>ou</w:t>
            </w:r>
          </w:p>
          <w:p w:rsidR="003E324E" w:rsidRPr="003E324E" w:rsidRDefault="003E324E" w:rsidP="003E324E">
            <w:pPr>
              <w:suppressAutoHyphens w:val="0"/>
              <w:spacing w:before="40" w:after="120"/>
              <w:ind w:right="113"/>
            </w:pPr>
            <w:r w:rsidRPr="003E324E">
              <w:rPr>
                <w:u w:val="single"/>
              </w:rPr>
              <w:t>Si la concentration de gaz inflammables provenant de la cargaison dans les cales, la citerne à restes de cargaison, les chambres de pompes à cargaison, les cofferdams, les espaces de double coque, les doubles fonds, les espaces de cale ou tout autre espace confiné est inférieure à 10 % de la LIE, et si la personne qui y pénètre porte un appareil respiratoire autonome et les autres équipements de protection et de secours nécessaires et si elle est assurée par une corde.</w:t>
            </w:r>
          </w:p>
        </w:tc>
        <w:tc>
          <w:tcPr>
            <w:tcW w:w="5046" w:type="dxa"/>
            <w:shd w:val="clear" w:color="auto" w:fill="auto"/>
          </w:tcPr>
          <w:p w:rsidR="003E324E" w:rsidRPr="003E324E" w:rsidRDefault="003E324E" w:rsidP="003E324E">
            <w:pPr>
              <w:suppressAutoHyphens w:val="0"/>
              <w:spacing w:before="40" w:after="120"/>
              <w:ind w:right="113"/>
            </w:pPr>
            <w:r w:rsidRPr="003E324E">
              <w:t>Actuellement, l</w:t>
            </w:r>
            <w:r w:rsidR="00321934">
              <w:t>’</w:t>
            </w:r>
            <w:r w:rsidRPr="003E324E">
              <w:t>ADN autorise l</w:t>
            </w:r>
            <w:r w:rsidR="00321934">
              <w:t>’</w:t>
            </w:r>
            <w:r w:rsidRPr="003E324E">
              <w:t>entrée dans la citerne à cargaison si la concentration des gaz est inférieure à 50 % de la LIE, mais il n</w:t>
            </w:r>
            <w:r w:rsidR="00321934">
              <w:t>’</w:t>
            </w:r>
            <w:r w:rsidRPr="003E324E">
              <w:t>y a pas de prescription stipulant que l</w:t>
            </w:r>
            <w:r w:rsidR="00321934">
              <w:t>’</w:t>
            </w:r>
            <w:r w:rsidRPr="003E324E">
              <w:t>équipement utilisé ne doit pas produire d</w:t>
            </w:r>
            <w:r w:rsidR="00321934">
              <w:t>’</w:t>
            </w:r>
            <w:r w:rsidRPr="003E324E">
              <w:t>étincelles.</w:t>
            </w:r>
          </w:p>
        </w:tc>
      </w:tr>
      <w:tr w:rsidR="003E324E" w:rsidRPr="003E324E" w:rsidTr="00B412CD">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3E324E">
              <w:rPr>
                <w:u w:val="single"/>
              </w:rPr>
              <w:t>L</w:t>
            </w:r>
            <w:r w:rsidR="00321934">
              <w:rPr>
                <w:u w:val="single"/>
              </w:rPr>
              <w:t>’</w:t>
            </w:r>
            <w:r w:rsidRPr="003E324E">
              <w:rPr>
                <w:u w:val="single"/>
              </w:rPr>
              <w:t>entrée dans ces espaces n</w:t>
            </w:r>
            <w:r w:rsidR="00321934">
              <w:rPr>
                <w:u w:val="single"/>
              </w:rPr>
              <w:t>’</w:t>
            </w:r>
            <w:r w:rsidRPr="003E324E">
              <w:rPr>
                <w:u w:val="single"/>
              </w:rPr>
              <w:t>est autorisée que si cette opération est surveillée par une deuxième personne ayant à sa disposition le même équipement de protection. Deux autres personnes capables de prêter assistance en cas d</w:t>
            </w:r>
            <w:r w:rsidR="00321934">
              <w:rPr>
                <w:u w:val="single"/>
              </w:rPr>
              <w:t>’</w:t>
            </w:r>
            <w:r w:rsidRPr="003E324E">
              <w:rPr>
                <w:u w:val="single"/>
              </w:rPr>
              <w:t>urgence doivent être sur le bateau à portée de voix. Il suffira cependant d</w:t>
            </w:r>
            <w:r w:rsidR="00321934">
              <w:rPr>
                <w:u w:val="single"/>
              </w:rPr>
              <w:t>’</w:t>
            </w:r>
            <w:r w:rsidRPr="003E324E">
              <w:rPr>
                <w:u w:val="single"/>
              </w:rPr>
              <w:t>une seule autre personne si un treuil de sauvetage est installé.</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bottom w:val="single" w:sz="4" w:space="0" w:color="auto"/>
            </w:tcBorders>
            <w:shd w:val="clear" w:color="auto" w:fill="auto"/>
          </w:tcPr>
          <w:p w:rsidR="003E324E" w:rsidRPr="003E324E" w:rsidRDefault="003E324E" w:rsidP="003E324E">
            <w:pPr>
              <w:suppressAutoHyphens w:val="0"/>
              <w:spacing w:before="40" w:after="120"/>
              <w:ind w:right="113"/>
            </w:pPr>
          </w:p>
        </w:tc>
        <w:tc>
          <w:tcPr>
            <w:tcW w:w="5976" w:type="dxa"/>
            <w:tcBorders>
              <w:bottom w:val="single" w:sz="4" w:space="0" w:color="auto"/>
            </w:tcBorders>
            <w:shd w:val="clear" w:color="auto" w:fill="auto"/>
          </w:tcPr>
          <w:p w:rsidR="003E324E" w:rsidRPr="003E324E" w:rsidRDefault="003E324E" w:rsidP="003E324E">
            <w:pPr>
              <w:suppressAutoHyphens w:val="0"/>
              <w:spacing w:before="40" w:after="120"/>
              <w:ind w:right="113"/>
              <w:rPr>
                <w:u w:val="single"/>
              </w:rPr>
            </w:pPr>
            <w:r w:rsidRPr="003E324E">
              <w:rPr>
                <w:u w:val="single"/>
              </w:rPr>
              <w:t>En cas d</w:t>
            </w:r>
            <w:r w:rsidR="00321934">
              <w:rPr>
                <w:u w:val="single"/>
              </w:rPr>
              <w:t>’</w:t>
            </w:r>
            <w:r w:rsidRPr="003E324E">
              <w:rPr>
                <w:u w:val="single"/>
              </w:rPr>
              <w:t>urgence ou d</w:t>
            </w:r>
            <w:r w:rsidR="00321934">
              <w:rPr>
                <w:u w:val="single"/>
              </w:rPr>
              <w:t>’</w:t>
            </w:r>
            <w:r w:rsidRPr="003E324E">
              <w:rPr>
                <w:u w:val="single"/>
              </w:rPr>
              <w:t>incident mécanique, l</w:t>
            </w:r>
            <w:r w:rsidR="00321934">
              <w:rPr>
                <w:u w:val="single"/>
              </w:rPr>
              <w:t>’</w:t>
            </w:r>
            <w:r w:rsidRPr="003E324E">
              <w:rPr>
                <w:u w:val="single"/>
              </w:rPr>
              <w:t>entrée dans la citerne est autorisée si la concentration de gaz provenant de la cargaison est comprise entre 10 et 50 % de la limité inférieure d</w:t>
            </w:r>
            <w:r w:rsidR="00321934">
              <w:rPr>
                <w:u w:val="single"/>
              </w:rPr>
              <w:t>’</w:t>
            </w:r>
            <w:r w:rsidRPr="003E324E">
              <w:rPr>
                <w:u w:val="single"/>
              </w:rPr>
              <w:t>explosivité. L</w:t>
            </w:r>
            <w:r w:rsidR="00321934">
              <w:rPr>
                <w:u w:val="single"/>
              </w:rPr>
              <w:t>’</w:t>
            </w:r>
            <w:r w:rsidRPr="003E324E">
              <w:rPr>
                <w:u w:val="single"/>
              </w:rPr>
              <w:t>appareil respiratoire utilisé doit être conçu pour éviter la production d</w:t>
            </w:r>
            <w:r w:rsidR="00321934">
              <w:rPr>
                <w:u w:val="single"/>
              </w:rPr>
              <w:t>’</w:t>
            </w:r>
            <w:r w:rsidRPr="003E324E">
              <w:rPr>
                <w:u w:val="single"/>
              </w:rPr>
              <w:t xml:space="preserve">étincelles. </w:t>
            </w:r>
          </w:p>
          <w:p w:rsidR="003E324E" w:rsidRPr="003E324E" w:rsidRDefault="003E324E" w:rsidP="003E324E">
            <w:pPr>
              <w:suppressAutoHyphens w:val="0"/>
              <w:spacing w:before="40" w:after="120"/>
              <w:ind w:right="113"/>
            </w:pPr>
            <w:r w:rsidRPr="003E324E">
              <w:rPr>
                <w:u w:val="single"/>
              </w:rPr>
              <w:t>Contrairement à ce que dispose le 1.1.4.6, la législation nationale relative à l</w:t>
            </w:r>
            <w:r w:rsidR="00321934">
              <w:rPr>
                <w:u w:val="single"/>
              </w:rPr>
              <w:t>’</w:t>
            </w:r>
            <w:r w:rsidRPr="003E324E">
              <w:rPr>
                <w:u w:val="single"/>
              </w:rPr>
              <w:t>accès aux citernes à cargaison l</w:t>
            </w:r>
            <w:r w:rsidR="00321934">
              <w:rPr>
                <w:u w:val="single"/>
              </w:rPr>
              <w:t>’</w:t>
            </w:r>
            <w:r w:rsidRPr="003E324E">
              <w:rPr>
                <w:u w:val="single"/>
              </w:rPr>
              <w:t>emporte sur l</w:t>
            </w:r>
            <w:r w:rsidR="00321934">
              <w:rPr>
                <w:u w:val="single"/>
              </w:rPr>
              <w:t>’</w:t>
            </w:r>
            <w:r w:rsidRPr="003E324E">
              <w:rPr>
                <w:u w:val="single"/>
              </w:rPr>
              <w:t>ADN</w:t>
            </w:r>
            <w:r w:rsidRPr="003E324E">
              <w:t>.</w:t>
            </w:r>
          </w:p>
        </w:tc>
        <w:tc>
          <w:tcPr>
            <w:tcW w:w="5046" w:type="dxa"/>
            <w:tcBorders>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7.2.3.7</w:t>
            </w:r>
          </w:p>
        </w:tc>
        <w:tc>
          <w:tcPr>
            <w:tcW w:w="5976" w:type="dxa"/>
            <w:tcBorders>
              <w:top w:val="single" w:sz="4" w:space="0" w:color="auto"/>
              <w:bottom w:val="single" w:sz="4" w:space="0" w:color="auto"/>
            </w:tcBorders>
            <w:shd w:val="clear" w:color="auto" w:fill="auto"/>
          </w:tcPr>
          <w:p w:rsidR="003E324E" w:rsidRPr="004F7FA4" w:rsidRDefault="003E324E" w:rsidP="003E324E">
            <w:pPr>
              <w:suppressAutoHyphens w:val="0"/>
              <w:spacing w:before="40" w:after="120"/>
              <w:ind w:right="113"/>
              <w:rPr>
                <w:b/>
              </w:rPr>
            </w:pPr>
            <w:r w:rsidRPr="004F7FA4">
              <w:rPr>
                <w:b/>
              </w:rPr>
              <w:t>Dégazage des citernes à cargaison vides</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7.2.3.7.0</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Le dégazage de citernes à cargaison vides ou déchargées est autorisé sous les conditions ci-dessous mais uniquement s</w:t>
            </w:r>
            <w:r w:rsidR="00321934">
              <w:t>’</w:t>
            </w:r>
            <w:r w:rsidRPr="003E324E">
              <w:t>il n</w:t>
            </w:r>
            <w:r w:rsidR="00321934">
              <w:t>’</w:t>
            </w:r>
            <w:r w:rsidRPr="003E324E">
              <w:t>est pas interdit sur la base de prescriptions de droit internationales ou nationales.</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7.2.3.7.1</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 xml:space="preserve">Les citernes à cargaison vides ou déchargées ayant contenu précédemment des matières dangereuses de la classe 2 ou de la classe 3, avec le code de classification comprenant </w:t>
            </w:r>
            <w:r w:rsidR="004F7FA4">
              <w:t>la lettre « T » à la colonne (3 </w:t>
            </w:r>
            <w:r w:rsidRPr="003E324E">
              <w:t>b) du tableau C du chapitre 3.2, de la classe 6.1 ou du groupe d</w:t>
            </w:r>
            <w:r w:rsidR="00321934">
              <w:t>’</w:t>
            </w:r>
            <w:r w:rsidRPr="003E324E">
              <w:t xml:space="preserve">emballage I de la classe 8, ne peuvent être dégazées que par les personnes compétentes conformément </w:t>
            </w:r>
            <w:r w:rsidRPr="003E324E">
              <w:rPr>
                <w:strike/>
              </w:rPr>
              <w:t>à l</w:t>
            </w:r>
            <w:r w:rsidR="00321934">
              <w:rPr>
                <w:strike/>
              </w:rPr>
              <w:t>’</w:t>
            </w:r>
            <w:r w:rsidRPr="003E324E">
              <w:rPr>
                <w:strike/>
              </w:rPr>
              <w:t>alinéa</w:t>
            </w:r>
            <w:r w:rsidRPr="003E324E">
              <w:t xml:space="preserve"> </w:t>
            </w:r>
            <w:r w:rsidRPr="003E324E">
              <w:rPr>
                <w:u w:val="single"/>
              </w:rPr>
              <w:t>au</w:t>
            </w:r>
            <w:r w:rsidRPr="003E324E">
              <w:t xml:space="preserve"> 8.2.1.2 ou par des entreprises agréées à cet effet par l</w:t>
            </w:r>
            <w:r w:rsidR="00321934">
              <w:t>’</w:t>
            </w:r>
            <w:r w:rsidRPr="003E324E">
              <w:t>autorité compétente. Le dégazage ne peut être effectué qu</w:t>
            </w:r>
            <w:r w:rsidR="00321934">
              <w:t>’</w:t>
            </w:r>
            <w:r w:rsidRPr="003E324E">
              <w:t>en des emplacements agréés par l</w:t>
            </w:r>
            <w:r w:rsidR="00321934">
              <w:t>’</w:t>
            </w:r>
            <w:r w:rsidRPr="003E324E">
              <w:t>autorité compétente.</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tcBorders>
            <w:shd w:val="clear" w:color="auto" w:fill="auto"/>
          </w:tcPr>
          <w:p w:rsidR="003E324E" w:rsidRPr="003E324E" w:rsidRDefault="003E324E" w:rsidP="003E324E">
            <w:pPr>
              <w:suppressAutoHyphens w:val="0"/>
              <w:spacing w:before="40" w:after="120"/>
              <w:ind w:right="113"/>
            </w:pPr>
            <w:r w:rsidRPr="003E324E">
              <w:t>7.2.3.7.2</w:t>
            </w:r>
          </w:p>
        </w:tc>
        <w:tc>
          <w:tcPr>
            <w:tcW w:w="5976" w:type="dxa"/>
            <w:tcBorders>
              <w:top w:val="single" w:sz="4" w:space="0" w:color="auto"/>
            </w:tcBorders>
            <w:shd w:val="clear" w:color="auto" w:fill="auto"/>
          </w:tcPr>
          <w:p w:rsidR="003E324E" w:rsidRPr="004F7FA4" w:rsidRDefault="003E324E" w:rsidP="003E324E">
            <w:pPr>
              <w:suppressAutoHyphens w:val="0"/>
              <w:spacing w:before="40" w:after="120"/>
              <w:ind w:right="113"/>
              <w:rPr>
                <w:bCs/>
                <w:i/>
                <w:u w:val="single"/>
              </w:rPr>
            </w:pPr>
            <w:r w:rsidRPr="004F7FA4">
              <w:rPr>
                <w:bCs/>
                <w:i/>
                <w:u w:val="single"/>
              </w:rPr>
              <w:t>Dégazage des citernes à cargaison vides ou déchargées lorsque la concentration de gaz est supérieure à 10 % de la LIE</w:t>
            </w:r>
          </w:p>
          <w:p w:rsidR="003E324E" w:rsidRPr="003E324E" w:rsidRDefault="003E324E" w:rsidP="003E324E">
            <w:pPr>
              <w:suppressAutoHyphens w:val="0"/>
              <w:spacing w:before="40" w:after="120"/>
              <w:ind w:right="113"/>
              <w:rPr>
                <w:bCs/>
              </w:rPr>
            </w:pPr>
            <w:r w:rsidRPr="003E324E">
              <w:rPr>
                <w:bCs/>
              </w:rPr>
              <w:t>Le dégazage des citernes à cargaison vides ou déchargées ayant contenu des matières dangereuses autres que c</w:t>
            </w:r>
            <w:r w:rsidR="000F21C2">
              <w:rPr>
                <w:bCs/>
              </w:rPr>
              <w:t>elles indiquées au 7.2.3.7.1 ci</w:t>
            </w:r>
            <w:r w:rsidR="000F21C2">
              <w:rPr>
                <w:bCs/>
              </w:rPr>
              <w:noBreakHyphen/>
            </w:r>
            <w:r w:rsidRPr="003E324E">
              <w:rPr>
                <w:bCs/>
              </w:rPr>
              <w:t>dessus</w:t>
            </w:r>
            <w:r w:rsidRPr="003E324E">
              <w:rPr>
                <w:u w:val="single"/>
              </w:rPr>
              <w:t>, lorsque la concentration de gaz provenant de la cargaison est supérieure ou égale à 10 % de la LIE</w:t>
            </w:r>
            <w:r w:rsidRPr="003E324E">
              <w:t xml:space="preserve">, </w:t>
            </w:r>
            <w:r w:rsidRPr="003E324E">
              <w:rPr>
                <w:bCs/>
              </w:rPr>
              <w:t>peut être effectué en cours de route, ou durant un stationnement en des emplacements agréés par l</w:t>
            </w:r>
            <w:r w:rsidR="00321934">
              <w:rPr>
                <w:bCs/>
              </w:rPr>
              <w:t>’</w:t>
            </w:r>
            <w:r w:rsidRPr="003E324E">
              <w:rPr>
                <w:bCs/>
              </w:rPr>
              <w:t>autorité compétente, au moyen de dispositifs de ventilation appropriés, les couvercles des citernes à cargaison étant fermés et la sortie du mélange de gaz et d</w:t>
            </w:r>
            <w:r w:rsidR="00321934">
              <w:rPr>
                <w:bCs/>
              </w:rPr>
              <w:t>’</w:t>
            </w:r>
            <w:r w:rsidRPr="003E324E">
              <w:rPr>
                <w:bCs/>
              </w:rPr>
              <w:t xml:space="preserve">air se faisant par des coupe-flammes résistant à un feu continu. </w:t>
            </w:r>
            <w:r w:rsidRPr="003E324E">
              <w:rPr>
                <w:bCs/>
                <w:strike/>
              </w:rPr>
              <w:t>Dans les conditions normales d</w:t>
            </w:r>
            <w:r w:rsidR="00321934">
              <w:rPr>
                <w:bCs/>
                <w:strike/>
              </w:rPr>
              <w:t>’</w:t>
            </w:r>
            <w:r w:rsidRPr="003E324E">
              <w:rPr>
                <w:bCs/>
                <w:strike/>
              </w:rPr>
              <w:t>exploitation</w:t>
            </w:r>
            <w:r w:rsidRPr="003E324E">
              <w:rPr>
                <w:bCs/>
              </w:rPr>
              <w:t xml:space="preserve"> </w:t>
            </w:r>
            <w:r w:rsidRPr="003E324E">
              <w:rPr>
                <w:bCs/>
                <w:u w:val="single"/>
              </w:rPr>
              <w:t>L</w:t>
            </w:r>
            <w:r w:rsidRPr="003E324E">
              <w:rPr>
                <w:bCs/>
              </w:rPr>
              <w:t>a concentration de gaz dans le mélange à l</w:t>
            </w:r>
            <w:r w:rsidR="00321934">
              <w:rPr>
                <w:bCs/>
              </w:rPr>
              <w:t>’</w:t>
            </w:r>
            <w:r w:rsidRPr="003E324E">
              <w:rPr>
                <w:bCs/>
              </w:rPr>
              <w:t xml:space="preserve">orifice de sortie doit être inférieure à 50 % de la </w:t>
            </w:r>
            <w:r w:rsidRPr="003E324E">
              <w:rPr>
                <w:bCs/>
                <w:u w:val="single"/>
              </w:rPr>
              <w:t>LIE</w:t>
            </w:r>
            <w:r w:rsidRPr="003E324E">
              <w:rPr>
                <w:bCs/>
              </w:rPr>
              <w:t xml:space="preserve"> </w:t>
            </w:r>
            <w:r w:rsidRPr="003E324E">
              <w:rPr>
                <w:bCs/>
                <w:strike/>
              </w:rPr>
              <w:t>limite inférieure d</w:t>
            </w:r>
            <w:r w:rsidR="00321934">
              <w:rPr>
                <w:bCs/>
                <w:strike/>
              </w:rPr>
              <w:t>’</w:t>
            </w:r>
            <w:r w:rsidRPr="003E324E">
              <w:rPr>
                <w:bCs/>
                <w:strike/>
              </w:rPr>
              <w:t>explosivité</w:t>
            </w:r>
            <w:r w:rsidRPr="003E324E">
              <w:rPr>
                <w:bCs/>
              </w:rPr>
              <w:t>. Les dispositifs de ventilation appropriés ne peuvent être utilisés pour le dégazage par aspiration qu</w:t>
            </w:r>
            <w:r w:rsidR="00321934">
              <w:rPr>
                <w:bCs/>
              </w:rPr>
              <w:t>’</w:t>
            </w:r>
            <w:r w:rsidRPr="003E324E">
              <w:rPr>
                <w:bCs/>
              </w:rPr>
              <w:t>avec un coupe-flammes monté immédiatement devant le ventilateur, du côté de l</w:t>
            </w:r>
            <w:r w:rsidR="00321934">
              <w:rPr>
                <w:bCs/>
              </w:rPr>
              <w:t>’</w:t>
            </w:r>
            <w:r w:rsidRPr="003E324E">
              <w:rPr>
                <w:bCs/>
              </w:rPr>
              <w:t xml:space="preserve">aspiration. La concentration de gaz doit être mesurée chaque heure pendant les deux premières heures après le début du dégazage, le dispositif de ventilation par refoulement ou par aspiration étant en marche, par un expert visé au 8.2.1 </w:t>
            </w:r>
            <w:r w:rsidRPr="003E324E">
              <w:rPr>
                <w:bCs/>
                <w:strike/>
              </w:rPr>
              <w:t>7.2.3.15</w:t>
            </w:r>
            <w:r w:rsidRPr="003E324E">
              <w:rPr>
                <w:bCs/>
              </w:rPr>
              <w:t>. Les résultats des mesures doivent être consignés par écrit.</w:t>
            </w:r>
          </w:p>
          <w:p w:rsidR="003E324E" w:rsidRPr="003E324E" w:rsidRDefault="003E324E" w:rsidP="003E324E">
            <w:pPr>
              <w:suppressAutoHyphens w:val="0"/>
              <w:spacing w:before="40" w:after="120"/>
              <w:ind w:right="113"/>
            </w:pPr>
            <w:r w:rsidRPr="003E324E">
              <w:rPr>
                <w:bCs/>
              </w:rPr>
              <w:t>Le dégazage est toutefois interdit dans les zones d</w:t>
            </w:r>
            <w:r w:rsidR="00321934">
              <w:rPr>
                <w:bCs/>
              </w:rPr>
              <w:t>’</w:t>
            </w:r>
            <w:r w:rsidRPr="003E324E">
              <w:rPr>
                <w:bCs/>
              </w:rPr>
              <w:t>écluses, y compris leurs garages</w:t>
            </w:r>
            <w:r w:rsidRPr="003E324E">
              <w:rPr>
                <w:bCs/>
                <w:u w:val="single"/>
              </w:rPr>
              <w:t>, sous les ponts ou dans des zones à forte densité de population</w:t>
            </w:r>
            <w:r w:rsidRPr="003E324E">
              <w:rPr>
                <w:bCs/>
              </w:rPr>
              <w:t>.</w:t>
            </w:r>
          </w:p>
        </w:tc>
        <w:tc>
          <w:tcPr>
            <w:tcW w:w="5046" w:type="dxa"/>
            <w:tcBorders>
              <w:top w:val="single" w:sz="4" w:space="0" w:color="auto"/>
            </w:tcBorders>
            <w:shd w:val="clear" w:color="auto" w:fill="auto"/>
          </w:tcPr>
          <w:p w:rsidR="003E324E" w:rsidRPr="004F7FA4" w:rsidRDefault="003E324E" w:rsidP="003E324E">
            <w:pPr>
              <w:suppressAutoHyphens w:val="0"/>
              <w:spacing w:before="40" w:after="120"/>
              <w:ind w:right="113"/>
              <w:rPr>
                <w:b/>
              </w:rPr>
            </w:pPr>
            <w:r w:rsidRPr="004F7FA4">
              <w:rPr>
                <w:b/>
              </w:rPr>
              <w:t>Proposition</w:t>
            </w:r>
          </w:p>
          <w:p w:rsidR="003E324E" w:rsidRPr="003E324E" w:rsidRDefault="003E324E" w:rsidP="003E324E">
            <w:pPr>
              <w:suppressAutoHyphens w:val="0"/>
              <w:spacing w:before="40" w:after="120"/>
              <w:ind w:right="113"/>
            </w:pPr>
            <w:r w:rsidRPr="003E324E">
              <w:t>Introduire un seuil de 10 % au-dessus duquel les dispositions actuelles relatives au dégazage deviennent obligatoires. Il n</w:t>
            </w:r>
            <w:r w:rsidR="00321934">
              <w:t>’</w:t>
            </w:r>
            <w:r w:rsidRPr="003E324E">
              <w:t>y a aucune différence avec la pratique actuelle dans le cas d</w:t>
            </w:r>
            <w:r w:rsidR="00321934">
              <w:t>’</w:t>
            </w:r>
            <w:r w:rsidRPr="003E324E">
              <w:t>une citerne à cargaison considérée comme « dégazée » avec une concentration de gaz inférieure à 10 % de la LIE. Or, cela n</w:t>
            </w:r>
            <w:r w:rsidR="00321934">
              <w:t>’</w:t>
            </w:r>
            <w:r w:rsidRPr="003E324E">
              <w:t>est pas exprimé très clairement dans le texte actuel de l</w:t>
            </w:r>
            <w:r w:rsidR="00321934">
              <w:t>’</w:t>
            </w:r>
            <w:r w:rsidRPr="003E324E">
              <w:t xml:space="preserve">ADN. </w:t>
            </w:r>
          </w:p>
          <w:p w:rsidR="003E324E" w:rsidRPr="004F7FA4" w:rsidRDefault="003E324E" w:rsidP="003E324E">
            <w:pPr>
              <w:suppressAutoHyphens w:val="0"/>
              <w:spacing w:before="40" w:after="120"/>
              <w:ind w:right="113"/>
              <w:rPr>
                <w:b/>
              </w:rPr>
            </w:pPr>
            <w:r w:rsidRPr="004F7FA4">
              <w:rPr>
                <w:b/>
              </w:rPr>
              <w:t>Justification</w:t>
            </w:r>
          </w:p>
          <w:p w:rsidR="003E324E" w:rsidRPr="003E324E" w:rsidRDefault="003E324E" w:rsidP="003E324E">
            <w:pPr>
              <w:suppressAutoHyphens w:val="0"/>
              <w:spacing w:before="40" w:after="120"/>
              <w:ind w:right="113"/>
            </w:pPr>
            <w:r w:rsidRPr="003E324E">
              <w:t>Dans l</w:t>
            </w:r>
            <w:r w:rsidR="00321934">
              <w:t>’</w:t>
            </w:r>
            <w:r w:rsidRPr="003E324E">
              <w:t>ADN, une concentration égale à 10 % de la LIE est considérée comme sûre dans le cas des gaz inflammables. Ce principe serait aussi énoncé pour le dégazage des citernes à cargaison.</w:t>
            </w:r>
          </w:p>
        </w:tc>
      </w:tr>
      <w:tr w:rsidR="003E324E" w:rsidRPr="003E324E" w:rsidTr="00B412CD">
        <w:trPr>
          <w:gridAfter w:val="2"/>
          <w:wAfter w:w="231" w:type="dxa"/>
        </w:trPr>
        <w:tc>
          <w:tcPr>
            <w:tcW w:w="1328" w:type="dxa"/>
            <w:tcBorders>
              <w:bottom w:val="single" w:sz="4" w:space="0" w:color="auto"/>
            </w:tcBorders>
            <w:shd w:val="clear" w:color="auto" w:fill="auto"/>
          </w:tcPr>
          <w:p w:rsidR="003E324E" w:rsidRPr="003E324E" w:rsidRDefault="003E324E" w:rsidP="003E324E">
            <w:pPr>
              <w:suppressAutoHyphens w:val="0"/>
              <w:spacing w:before="40" w:after="120"/>
              <w:ind w:right="113"/>
            </w:pPr>
          </w:p>
        </w:tc>
        <w:tc>
          <w:tcPr>
            <w:tcW w:w="5976" w:type="dxa"/>
            <w:tcBorders>
              <w:bottom w:val="single" w:sz="4" w:space="0" w:color="auto"/>
            </w:tcBorders>
            <w:shd w:val="clear" w:color="auto" w:fill="auto"/>
          </w:tcPr>
          <w:p w:rsidR="003E324E" w:rsidRPr="004F7FA4" w:rsidRDefault="003E324E" w:rsidP="003E324E">
            <w:pPr>
              <w:suppressAutoHyphens w:val="0"/>
              <w:spacing w:before="40" w:after="120"/>
              <w:ind w:right="113"/>
              <w:rPr>
                <w:bCs/>
                <w:i/>
                <w:u w:val="single"/>
              </w:rPr>
            </w:pPr>
            <w:r w:rsidRPr="004F7FA4">
              <w:rPr>
                <w:bCs/>
                <w:i/>
                <w:u w:val="single"/>
              </w:rPr>
              <w:t>Dégazage de citernes à cargaison vides ou déchargées lorsque la concentration de gaz est inférieure à 10 % de la LIE</w:t>
            </w:r>
          </w:p>
          <w:p w:rsidR="003E324E" w:rsidRPr="003E324E" w:rsidRDefault="003E324E" w:rsidP="003E324E">
            <w:pPr>
              <w:suppressAutoHyphens w:val="0"/>
              <w:spacing w:before="40" w:after="120"/>
              <w:ind w:right="113"/>
            </w:pPr>
            <w:r w:rsidRPr="003E324E">
              <w:rPr>
                <w:u w:val="single"/>
              </w:rPr>
              <w:t>Le dégazage de citernes à cargaison vides ou déchargées ayant contenu des matières dangereuses autres que celles visées au 7.2.3.7.1 et présentant une concentration de gaz provenant de la cargaison inférieure à 10 % de la LIE est autorisé, et l</w:t>
            </w:r>
            <w:r w:rsidR="00321934">
              <w:rPr>
                <w:u w:val="single"/>
              </w:rPr>
              <w:t>’</w:t>
            </w:r>
            <w:r w:rsidRPr="003E324E">
              <w:rPr>
                <w:u w:val="single"/>
              </w:rPr>
              <w:t>ouverture d</w:t>
            </w:r>
            <w:r w:rsidR="00321934">
              <w:rPr>
                <w:u w:val="single"/>
              </w:rPr>
              <w:t>’</w:t>
            </w:r>
            <w:r w:rsidRPr="003E324E">
              <w:rPr>
                <w:u w:val="single"/>
              </w:rPr>
              <w:t>autres orifices de la citerne à cargaison est autorisée s</w:t>
            </w:r>
            <w:r w:rsidR="00321934">
              <w:rPr>
                <w:u w:val="single"/>
              </w:rPr>
              <w:t>’</w:t>
            </w:r>
            <w:r w:rsidRPr="003E324E">
              <w:rPr>
                <w:u w:val="single"/>
              </w:rPr>
              <w:t>il n</w:t>
            </w:r>
            <w:r w:rsidR="00321934">
              <w:rPr>
                <w:u w:val="single"/>
              </w:rPr>
              <w:t>’</w:t>
            </w:r>
            <w:r w:rsidRPr="003E324E">
              <w:rPr>
                <w:u w:val="single"/>
              </w:rPr>
              <w:t>y a pas de risque pour l</w:t>
            </w:r>
            <w:r w:rsidR="00321934">
              <w:rPr>
                <w:u w:val="single"/>
              </w:rPr>
              <w:t>’</w:t>
            </w:r>
            <w:r w:rsidRPr="003E324E">
              <w:rPr>
                <w:u w:val="single"/>
              </w:rPr>
              <w:t>équipage. En outre, l</w:t>
            </w:r>
            <w:r w:rsidR="00321934">
              <w:rPr>
                <w:u w:val="single"/>
              </w:rPr>
              <w:t>’</w:t>
            </w:r>
            <w:r w:rsidRPr="003E324E">
              <w:rPr>
                <w:u w:val="single"/>
              </w:rPr>
              <w:t>utilisation d</w:t>
            </w:r>
            <w:r w:rsidR="00321934">
              <w:rPr>
                <w:u w:val="single"/>
              </w:rPr>
              <w:t>’</w:t>
            </w:r>
            <w:r w:rsidRPr="003E324E">
              <w:rPr>
                <w:u w:val="single"/>
              </w:rPr>
              <w:t>un coupe-flammes n</w:t>
            </w:r>
            <w:r w:rsidR="00321934">
              <w:rPr>
                <w:u w:val="single"/>
              </w:rPr>
              <w:t>’</w:t>
            </w:r>
            <w:r w:rsidRPr="003E324E">
              <w:rPr>
                <w:u w:val="single"/>
              </w:rPr>
              <w:t>est pas obligatoire.</w:t>
            </w:r>
            <w:r w:rsidRPr="003E324E">
              <w:t xml:space="preserve"> </w:t>
            </w:r>
          </w:p>
          <w:p w:rsidR="003E324E" w:rsidRPr="003E324E" w:rsidRDefault="003E324E" w:rsidP="003E324E">
            <w:pPr>
              <w:suppressAutoHyphens w:val="0"/>
              <w:spacing w:before="40" w:after="120"/>
              <w:ind w:right="113"/>
              <w:rPr>
                <w:bCs/>
                <w:u w:val="single"/>
              </w:rPr>
            </w:pPr>
            <w:r w:rsidRPr="003E324E">
              <w:rPr>
                <w:bCs/>
                <w:u w:val="single"/>
              </w:rPr>
              <w:t>Le dégazage est toutefois interdit dans les zones d</w:t>
            </w:r>
            <w:r w:rsidR="00321934">
              <w:rPr>
                <w:bCs/>
                <w:u w:val="single"/>
              </w:rPr>
              <w:t>’</w:t>
            </w:r>
            <w:r w:rsidRPr="003E324E">
              <w:rPr>
                <w:bCs/>
                <w:u w:val="single"/>
              </w:rPr>
              <w:t>écluses, y compris leurs garages</w:t>
            </w:r>
            <w:r w:rsidRPr="003E324E">
              <w:rPr>
                <w:u w:val="single"/>
              </w:rPr>
              <w:t>, sous les ponts ou dans des zones à forte densité de population.</w:t>
            </w:r>
          </w:p>
        </w:tc>
        <w:tc>
          <w:tcPr>
            <w:tcW w:w="5046" w:type="dxa"/>
            <w:tcBorders>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7.2.3.7.3</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Si le dégazage de citernes à cargaison ayant contenu précédemment des matières dangereuses énumérées au 7.2.3.7.1 ci-dessus n</w:t>
            </w:r>
            <w:r w:rsidR="00321934">
              <w:t>’</w:t>
            </w:r>
            <w:r w:rsidRPr="003E324E">
              <w:t>est pas possible aux endroits désignés ou agréés par l</w:t>
            </w:r>
            <w:r w:rsidR="00321934">
              <w:t>’</w:t>
            </w:r>
            <w:r w:rsidRPr="003E324E">
              <w:t>autorité compétente, il peut être effectué pendant que le bateau fait route, à condition :</w:t>
            </w:r>
          </w:p>
          <w:p w:rsidR="003E324E" w:rsidRPr="003E324E" w:rsidRDefault="003E324E" w:rsidP="003E324E">
            <w:pPr>
              <w:suppressAutoHyphens w:val="0"/>
              <w:spacing w:before="40" w:after="120"/>
              <w:ind w:right="113"/>
            </w:pPr>
            <w:r w:rsidRPr="003E324E">
              <w:t xml:space="preserve">Que les prescriptions du </w:t>
            </w:r>
            <w:r w:rsidRPr="003E324E">
              <w:rPr>
                <w:u w:val="single"/>
              </w:rPr>
              <w:t xml:space="preserve">premier paragraphe du </w:t>
            </w:r>
            <w:r w:rsidRPr="003E324E">
              <w:t>7.2.3.7.2 soient respectées</w:t>
            </w:r>
            <w:r w:rsidR="00310024">
              <w:t> ;</w:t>
            </w:r>
            <w:r w:rsidRPr="003E324E">
              <w:t xml:space="preserve"> la concentration de </w:t>
            </w:r>
            <w:r w:rsidRPr="003E324E">
              <w:rPr>
                <w:strike/>
              </w:rPr>
              <w:t xml:space="preserve">matières dangereuses </w:t>
            </w:r>
            <w:r w:rsidRPr="003E324E">
              <w:rPr>
                <w:u w:val="single"/>
              </w:rPr>
              <w:t>gaz inflammables provenant de la cargaison</w:t>
            </w:r>
            <w:r w:rsidRPr="003E324E">
              <w:t xml:space="preserve"> dans le mélange à l</w:t>
            </w:r>
            <w:r w:rsidR="00321934">
              <w:t>’</w:t>
            </w:r>
            <w:r w:rsidRPr="003E324E">
              <w:t xml:space="preserve">orifice de sortie ne doit toutefois pas dépasser 10 % de la </w:t>
            </w:r>
            <w:r w:rsidRPr="003E324E">
              <w:rPr>
                <w:strike/>
              </w:rPr>
              <w:t>limite inférieure d</w:t>
            </w:r>
            <w:r w:rsidR="00321934">
              <w:rPr>
                <w:strike/>
              </w:rPr>
              <w:t>’</w:t>
            </w:r>
            <w:r w:rsidRPr="003E324E">
              <w:rPr>
                <w:strike/>
              </w:rPr>
              <w:t>explosivité</w:t>
            </w:r>
            <w:r w:rsidRPr="003E324E">
              <w:t xml:space="preserve"> </w:t>
            </w:r>
            <w:r w:rsidRPr="003E324E">
              <w:rPr>
                <w:u w:val="single"/>
              </w:rPr>
              <w:t>LIE</w:t>
            </w:r>
            <w:r w:rsidR="00310024">
              <w:rPr>
                <w:u w:val="single"/>
              </w:rPr>
              <w:t> </w:t>
            </w:r>
            <w:r w:rsidR="00310024">
              <w:t>;</w:t>
            </w:r>
          </w:p>
          <w:p w:rsidR="003E324E" w:rsidRPr="003E324E" w:rsidRDefault="003E324E" w:rsidP="003E324E">
            <w:pPr>
              <w:suppressAutoHyphens w:val="0"/>
              <w:spacing w:before="40" w:after="120"/>
              <w:ind w:right="113"/>
            </w:pPr>
            <w:r w:rsidRPr="003E324E">
              <w:t>…</w:t>
            </w:r>
          </w:p>
        </w:tc>
        <w:tc>
          <w:tcPr>
            <w:tcW w:w="5046" w:type="dxa"/>
            <w:tcBorders>
              <w:top w:val="single" w:sz="4" w:space="0" w:color="auto"/>
              <w:bottom w:val="single" w:sz="4" w:space="0" w:color="auto"/>
            </w:tcBorders>
            <w:shd w:val="clear" w:color="auto" w:fill="auto"/>
          </w:tcPr>
          <w:p w:rsidR="003E324E" w:rsidRPr="004F7FA4" w:rsidRDefault="003E324E" w:rsidP="003E324E">
            <w:pPr>
              <w:suppressAutoHyphens w:val="0"/>
              <w:spacing w:before="40" w:after="120"/>
              <w:ind w:right="113"/>
              <w:rPr>
                <w:b/>
              </w:rPr>
            </w:pPr>
            <w:r w:rsidRPr="004F7FA4">
              <w:rPr>
                <w:b/>
              </w:rPr>
              <w:t>Proposition</w:t>
            </w:r>
          </w:p>
          <w:p w:rsidR="003E324E" w:rsidRPr="003E324E" w:rsidRDefault="003E324E" w:rsidP="003E324E">
            <w:pPr>
              <w:suppressAutoHyphens w:val="0"/>
              <w:spacing w:before="40" w:after="120"/>
              <w:ind w:right="113"/>
            </w:pPr>
            <w:r w:rsidRPr="003E324E">
              <w:t>Remplacer « matières dangereuses » par « gaz inflammables ».</w:t>
            </w:r>
          </w:p>
          <w:p w:rsidR="003E324E" w:rsidRPr="004F7FA4" w:rsidRDefault="003E324E" w:rsidP="003E324E">
            <w:pPr>
              <w:suppressAutoHyphens w:val="0"/>
              <w:spacing w:before="40" w:after="120"/>
              <w:ind w:right="113"/>
              <w:rPr>
                <w:b/>
              </w:rPr>
            </w:pPr>
            <w:r w:rsidRPr="004F7FA4">
              <w:rPr>
                <w:b/>
              </w:rPr>
              <w:t>Justification</w:t>
            </w:r>
          </w:p>
          <w:p w:rsidR="003E324E" w:rsidRPr="003E324E" w:rsidRDefault="003E324E" w:rsidP="003E324E">
            <w:pPr>
              <w:suppressAutoHyphens w:val="0"/>
              <w:spacing w:before="40" w:after="120"/>
              <w:ind w:right="113"/>
            </w:pPr>
            <w:r w:rsidRPr="003E324E">
              <w:t>Puisqu</w:t>
            </w:r>
            <w:r w:rsidR="00321934">
              <w:t>’</w:t>
            </w:r>
            <w:r w:rsidRPr="003E324E">
              <w:t>il est fait référence à la limite inférieure d</w:t>
            </w:r>
            <w:r w:rsidR="00321934">
              <w:t>’</w:t>
            </w:r>
            <w:r w:rsidRPr="003E324E">
              <w:t>explosivité, « matières dangereuses » doit être interprété comme signifiant « gaz inflammables ».</w:t>
            </w: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7.2.3.7.4</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Les opérations de dégazage doivent être interrompues en cas d</w:t>
            </w:r>
            <w:r w:rsidR="00321934">
              <w:t>’</w:t>
            </w:r>
            <w:r w:rsidRPr="003E324E">
              <w:t xml:space="preserve">orage ou lorsque, à cause de vents défavorables, des concentrations dangereuses de gaz </w:t>
            </w:r>
            <w:r w:rsidRPr="003E324E">
              <w:rPr>
                <w:u w:val="single"/>
              </w:rPr>
              <w:t>inflammables ou toxiques</w:t>
            </w:r>
            <w:r w:rsidRPr="003E324E">
              <w:t xml:space="preserve"> sont à craindre en dehors de la zone de cargaison devant les logements, la timonerie ou des locaux de service. L</w:t>
            </w:r>
            <w:r w:rsidR="00321934">
              <w:t>’</w:t>
            </w:r>
            <w:r w:rsidRPr="003E324E">
              <w:t>état critique est atteint dès que, par des mesures au moyen d</w:t>
            </w:r>
            <w:r w:rsidR="00321934">
              <w:t>’</w:t>
            </w:r>
            <w:r w:rsidRPr="003E324E">
              <w:t xml:space="preserve">instruments portables, des concentrations de </w:t>
            </w:r>
            <w:r w:rsidRPr="003E324E">
              <w:rPr>
                <w:u w:val="single"/>
              </w:rPr>
              <w:t>gaz inflammables provenant de la cargaison</w:t>
            </w:r>
            <w:r w:rsidRPr="003E324E">
              <w:t>, supérieure à</w:t>
            </w:r>
            <w:r w:rsidRPr="000F21C2">
              <w:t xml:space="preserve"> </w:t>
            </w:r>
            <w:r w:rsidRPr="003E324E">
              <w:t xml:space="preserve">20 % de la </w:t>
            </w:r>
            <w:r w:rsidRPr="003E324E">
              <w:rPr>
                <w:strike/>
              </w:rPr>
              <w:t>limite inférieure d</w:t>
            </w:r>
            <w:r w:rsidR="00321934">
              <w:rPr>
                <w:strike/>
              </w:rPr>
              <w:t>’</w:t>
            </w:r>
            <w:r w:rsidRPr="003E324E">
              <w:rPr>
                <w:strike/>
              </w:rPr>
              <w:t>explosivité</w:t>
            </w:r>
            <w:r w:rsidRPr="003E324E">
              <w:t xml:space="preserve"> </w:t>
            </w:r>
            <w:r w:rsidRPr="003E324E">
              <w:rPr>
                <w:u w:val="single"/>
              </w:rPr>
              <w:t>LIE</w:t>
            </w:r>
            <w:r w:rsidRPr="003E324E">
              <w:t xml:space="preserve"> </w:t>
            </w:r>
            <w:r w:rsidRPr="003E324E">
              <w:rPr>
                <w:u w:val="single"/>
              </w:rPr>
              <w:t xml:space="preserve">ou des concentrations significatives de gaz toxiques </w:t>
            </w:r>
            <w:r w:rsidRPr="003E324E">
              <w:t>ont été constatées dans ces zones.</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7.2.3.7.5</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 xml:space="preserve">La signalisation prescrite à la colonne (19) du tableau C du chapitre 3.2 peut être retirée </w:t>
            </w:r>
            <w:r w:rsidRPr="003E324E">
              <w:rPr>
                <w:strike/>
              </w:rPr>
              <w:t>pas le</w:t>
            </w:r>
            <w:r w:rsidRPr="003E324E">
              <w:t xml:space="preserve"> </w:t>
            </w:r>
            <w:r w:rsidRPr="003E324E">
              <w:rPr>
                <w:u w:val="single"/>
              </w:rPr>
              <w:t>sur ordre du</w:t>
            </w:r>
            <w:r w:rsidRPr="003E324E">
              <w:t xml:space="preserve"> conducteur lorsque, après dégazage des citernes à cargaison, il a été constaté au moyen des appareils visés à la colonne (18) du tableau C du chapitre 3.2 que les citernes à cargaison ne contiennent plus de gaz inflammables à une concentration supérieure à 20 % de la </w:t>
            </w:r>
            <w:r w:rsidRPr="003E324E">
              <w:rPr>
                <w:strike/>
              </w:rPr>
              <w:t>limite inférieure d</w:t>
            </w:r>
            <w:r w:rsidR="00321934">
              <w:rPr>
                <w:strike/>
              </w:rPr>
              <w:t>’</w:t>
            </w:r>
            <w:r w:rsidRPr="003E324E">
              <w:rPr>
                <w:strike/>
              </w:rPr>
              <w:t>explosivité</w:t>
            </w:r>
            <w:r w:rsidRPr="003E324E">
              <w:t xml:space="preserve"> </w:t>
            </w:r>
            <w:r w:rsidRPr="003E324E">
              <w:rPr>
                <w:u w:val="single"/>
              </w:rPr>
              <w:t>LIE</w:t>
            </w:r>
            <w:r w:rsidRPr="003E324E">
              <w:t xml:space="preserve"> ni de concentration significative de gaz toxiques.</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7.2.3.7.6</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 xml:space="preserve">Avant de prendre les mesures qui pourraient entraîner les dangers décrits dans la section 8.3.5, il convient de nettoyer et de dégazer les citernes à cargaison et les tuyauteries de la zone de cargaison. </w:t>
            </w:r>
            <w:r w:rsidRPr="003E324E">
              <w:rPr>
                <w:u w:val="single"/>
              </w:rPr>
              <w:t>Cette opération</w:t>
            </w:r>
            <w:r w:rsidRPr="003E324E">
              <w:t xml:space="preserve"> </w:t>
            </w:r>
            <w:r w:rsidRPr="003E324E">
              <w:rPr>
                <w:strike/>
              </w:rPr>
              <w:t>Le résultat du dégazage</w:t>
            </w:r>
            <w:r w:rsidRPr="003E324E">
              <w:t xml:space="preserve"> doit être consignée dans un certificat attestant l</w:t>
            </w:r>
            <w:r w:rsidR="00321934">
              <w:t>’</w:t>
            </w:r>
            <w:r w:rsidRPr="003E324E">
              <w:t>absence de gaz. La condition d</w:t>
            </w:r>
            <w:r w:rsidR="00321934">
              <w:t>’</w:t>
            </w:r>
            <w:r w:rsidRPr="003E324E">
              <w:t>absence de gaz ne peut être déclarée et certifiée que par une personne agrée par l</w:t>
            </w:r>
            <w:r w:rsidR="00321934">
              <w:t>’</w:t>
            </w:r>
            <w:r w:rsidRPr="003E324E">
              <w:t>autorité compétente.</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tcBorders>
            <w:shd w:val="clear" w:color="auto" w:fill="auto"/>
          </w:tcPr>
          <w:p w:rsidR="003E324E" w:rsidRPr="003E324E" w:rsidRDefault="003E324E" w:rsidP="004F7FA4">
            <w:pPr>
              <w:keepNext/>
              <w:suppressAutoHyphens w:val="0"/>
              <w:spacing w:before="40" w:after="120"/>
              <w:ind w:right="113"/>
            </w:pPr>
            <w:r w:rsidRPr="003E324E">
              <w:t>7.2.3.12.2</w:t>
            </w:r>
          </w:p>
        </w:tc>
        <w:tc>
          <w:tcPr>
            <w:tcW w:w="5976" w:type="dxa"/>
            <w:tcBorders>
              <w:top w:val="single" w:sz="4" w:space="0" w:color="auto"/>
            </w:tcBorders>
            <w:shd w:val="clear" w:color="auto" w:fill="auto"/>
          </w:tcPr>
          <w:p w:rsidR="003E324E" w:rsidRPr="003E324E" w:rsidRDefault="003E324E" w:rsidP="004F7FA4">
            <w:pPr>
              <w:keepNext/>
              <w:suppressAutoHyphens w:val="0"/>
              <w:spacing w:before="40" w:after="120"/>
              <w:ind w:right="113"/>
            </w:pPr>
            <w:r w:rsidRPr="003E324E">
              <w:t>La ventilation des chambres des pompes doit fonctionner :</w:t>
            </w:r>
          </w:p>
        </w:tc>
        <w:tc>
          <w:tcPr>
            <w:tcW w:w="5046" w:type="dxa"/>
            <w:tcBorders>
              <w:top w:val="single" w:sz="4" w:space="0" w:color="auto"/>
            </w:tcBorders>
            <w:shd w:val="clear" w:color="auto" w:fill="auto"/>
          </w:tcPr>
          <w:p w:rsidR="003E324E" w:rsidRPr="003E324E" w:rsidRDefault="003E324E" w:rsidP="004F7FA4">
            <w:pPr>
              <w:keepNext/>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4F7FA4">
            <w:pPr>
              <w:keepNext/>
              <w:suppressAutoHyphens w:val="0"/>
              <w:spacing w:before="40" w:after="120"/>
              <w:ind w:right="113"/>
            </w:pPr>
          </w:p>
        </w:tc>
        <w:tc>
          <w:tcPr>
            <w:tcW w:w="5976" w:type="dxa"/>
            <w:shd w:val="clear" w:color="auto" w:fill="auto"/>
          </w:tcPr>
          <w:p w:rsidR="003E324E" w:rsidRPr="003E324E" w:rsidRDefault="004F7FA4" w:rsidP="004F7FA4">
            <w:pPr>
              <w:keepNext/>
              <w:suppressAutoHyphens w:val="0"/>
              <w:spacing w:before="40" w:after="120"/>
              <w:ind w:right="113"/>
            </w:pPr>
            <w:r>
              <w:t>– 30 </w:t>
            </w:r>
            <w:r w:rsidR="003E324E" w:rsidRPr="003E324E">
              <w:t>minutes au moins avant qu</w:t>
            </w:r>
            <w:r w:rsidR="00321934">
              <w:t>’</w:t>
            </w:r>
            <w:r w:rsidR="003E324E" w:rsidRPr="003E324E">
              <w:t>on n</w:t>
            </w:r>
            <w:r w:rsidR="00321934">
              <w:t>’</w:t>
            </w:r>
            <w:r w:rsidR="003E324E" w:rsidRPr="003E324E">
              <w:t>y pénètre et pendant l</w:t>
            </w:r>
            <w:r w:rsidR="00321934">
              <w:t>’</w:t>
            </w:r>
            <w:r w:rsidR="003E324E" w:rsidRPr="003E324E">
              <w:t>occupation</w:t>
            </w:r>
            <w:r>
              <w:t> ;</w:t>
            </w:r>
          </w:p>
        </w:tc>
        <w:tc>
          <w:tcPr>
            <w:tcW w:w="5046" w:type="dxa"/>
            <w:shd w:val="clear" w:color="auto" w:fill="auto"/>
          </w:tcPr>
          <w:p w:rsidR="003E324E" w:rsidRPr="003E324E" w:rsidRDefault="003E324E" w:rsidP="004F7FA4">
            <w:pPr>
              <w:keepNext/>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4F7FA4">
            <w:pPr>
              <w:keepNext/>
              <w:suppressAutoHyphens w:val="0"/>
              <w:spacing w:before="40" w:after="120"/>
              <w:ind w:right="113"/>
            </w:pPr>
          </w:p>
        </w:tc>
        <w:tc>
          <w:tcPr>
            <w:tcW w:w="5976" w:type="dxa"/>
            <w:shd w:val="clear" w:color="auto" w:fill="auto"/>
          </w:tcPr>
          <w:p w:rsidR="003E324E" w:rsidRPr="003E324E" w:rsidRDefault="004F7FA4" w:rsidP="004F7FA4">
            <w:pPr>
              <w:keepNext/>
              <w:suppressAutoHyphens w:val="0"/>
              <w:spacing w:before="40" w:after="120"/>
              <w:ind w:right="113"/>
            </w:pPr>
            <w:r>
              <w:t xml:space="preserve">– </w:t>
            </w:r>
            <w:r w:rsidR="003E324E" w:rsidRPr="003E324E">
              <w:t>Pendant le chargement, le déchargement et le dégazage</w:t>
            </w:r>
            <w:r>
              <w:t> ;</w:t>
            </w:r>
          </w:p>
        </w:tc>
        <w:tc>
          <w:tcPr>
            <w:tcW w:w="5046" w:type="dxa"/>
            <w:shd w:val="clear" w:color="auto" w:fill="auto"/>
          </w:tcPr>
          <w:p w:rsidR="003E324E" w:rsidRPr="003E324E" w:rsidRDefault="003E324E" w:rsidP="004F7FA4">
            <w:pPr>
              <w:keepNext/>
              <w:suppressAutoHyphens w:val="0"/>
              <w:spacing w:before="40" w:after="120"/>
              <w:ind w:right="113"/>
            </w:pPr>
          </w:p>
        </w:tc>
      </w:tr>
      <w:tr w:rsidR="003E324E" w:rsidRPr="003E324E" w:rsidTr="00B412CD">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4F7FA4" w:rsidP="003E324E">
            <w:pPr>
              <w:suppressAutoHyphens w:val="0"/>
              <w:spacing w:before="40" w:after="120"/>
              <w:ind w:right="113"/>
            </w:pPr>
            <w:r>
              <w:t xml:space="preserve">– </w:t>
            </w:r>
            <w:r w:rsidR="003E324E" w:rsidRPr="003E324E">
              <w:t>Après déclenchement de l</w:t>
            </w:r>
            <w:r w:rsidR="00321934">
              <w:t>’</w:t>
            </w:r>
            <w:r w:rsidR="003E324E" w:rsidRPr="003E324E">
              <w:t>installation de détection de gaz.</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bottom w:val="single" w:sz="4" w:space="0" w:color="auto"/>
            </w:tcBorders>
            <w:shd w:val="clear" w:color="auto" w:fill="auto"/>
          </w:tcPr>
          <w:p w:rsidR="003E324E" w:rsidRPr="003E324E" w:rsidRDefault="003E324E" w:rsidP="003E324E">
            <w:pPr>
              <w:suppressAutoHyphens w:val="0"/>
              <w:spacing w:before="40" w:after="120"/>
              <w:ind w:right="113"/>
            </w:pPr>
            <w:r w:rsidRPr="003E324E">
              <w:t>7.2.4.2.2</w:t>
            </w:r>
          </w:p>
        </w:tc>
        <w:tc>
          <w:tcPr>
            <w:tcW w:w="5976" w:type="dxa"/>
            <w:tcBorders>
              <w:bottom w:val="single" w:sz="4" w:space="0" w:color="auto"/>
            </w:tcBorders>
            <w:shd w:val="clear" w:color="auto" w:fill="auto"/>
          </w:tcPr>
          <w:p w:rsidR="003E324E" w:rsidRPr="003E324E" w:rsidRDefault="003E324E" w:rsidP="003E324E">
            <w:pPr>
              <w:suppressAutoHyphens w:val="0"/>
              <w:spacing w:before="40" w:after="120"/>
              <w:ind w:right="113"/>
            </w:pPr>
            <w:r w:rsidRPr="003E324E">
              <w:t>L</w:t>
            </w:r>
            <w:r w:rsidR="00321934">
              <w:t>’</w:t>
            </w:r>
            <w:r w:rsidRPr="003E324E">
              <w:t>accostage et la réception de déchets huileux et graisseux ne peut avoir lieu pendant le chargement et le déchargement de matières pour lesquelles la protection contre les explosions est exigée à la colonn</w:t>
            </w:r>
            <w:r w:rsidR="004F7FA4">
              <w:t>e (17) du tableau C du chapitre </w:t>
            </w:r>
            <w:r w:rsidRPr="003E324E">
              <w:t>3.2, ni pendant le dégazage de bateaux-citernes. Cette prescription ne s</w:t>
            </w:r>
            <w:r w:rsidR="00321934">
              <w:t>’</w:t>
            </w:r>
            <w:r w:rsidRPr="003E324E">
              <w:t>applique pas aux bateaux déshuileurs pour autant que les dispositions de protection contre les explosions applicables à la marchandise dangereuse sont respectées.</w:t>
            </w:r>
          </w:p>
        </w:tc>
        <w:tc>
          <w:tcPr>
            <w:tcW w:w="5046" w:type="dxa"/>
            <w:tcBorders>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7.2.4.2.3</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L</w:t>
            </w:r>
            <w:r w:rsidR="00321934">
              <w:t>’</w:t>
            </w:r>
            <w:r w:rsidRPr="003E324E">
              <w:t>accostage et la remise de produits pour l</w:t>
            </w:r>
            <w:r w:rsidR="00321934">
              <w:t>’</w:t>
            </w:r>
            <w:r w:rsidRPr="003E324E">
              <w:t>exploitation des bateaux ne peut avoir lieu pendant le chargement et le déchargement de matières pour lesquelles la protection contre les explosions est exigée à la colonne (17) du tableau C du chapitre 3.2, ni</w:t>
            </w:r>
            <w:r w:rsidR="004F7FA4">
              <w:t xml:space="preserve"> pendant le dégazage de bateaux</w:t>
            </w:r>
            <w:r w:rsidR="004F7FA4">
              <w:noBreakHyphen/>
            </w:r>
            <w:r w:rsidRPr="003E324E">
              <w:t>citernes. Cette prescription ne s</w:t>
            </w:r>
            <w:r w:rsidR="00321934">
              <w:t>’</w:t>
            </w:r>
            <w:r w:rsidRPr="003E324E">
              <w:t>applique pas aux bateaux avitailleurs pour autant que les dispositions de protection contre les explosions applicables à la marchandise dangereuse sont respectées.</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4F7FA4" w:rsidRDefault="003E324E" w:rsidP="003E324E">
            <w:pPr>
              <w:suppressAutoHyphens w:val="0"/>
              <w:spacing w:before="40" w:after="120"/>
              <w:ind w:right="113"/>
              <w:rPr>
                <w:b/>
              </w:rPr>
            </w:pPr>
            <w:r w:rsidRPr="004F7FA4">
              <w:rPr>
                <w:b/>
              </w:rPr>
              <w:t>7.2.4.7</w:t>
            </w:r>
          </w:p>
        </w:tc>
        <w:tc>
          <w:tcPr>
            <w:tcW w:w="5976" w:type="dxa"/>
            <w:tcBorders>
              <w:top w:val="single" w:sz="4" w:space="0" w:color="auto"/>
              <w:bottom w:val="single" w:sz="4" w:space="0" w:color="auto"/>
            </w:tcBorders>
            <w:shd w:val="clear" w:color="auto" w:fill="auto"/>
          </w:tcPr>
          <w:p w:rsidR="003E324E" w:rsidRPr="004F7FA4" w:rsidRDefault="003E324E" w:rsidP="003E324E">
            <w:pPr>
              <w:suppressAutoHyphens w:val="0"/>
              <w:spacing w:before="40" w:after="120"/>
              <w:ind w:right="113"/>
              <w:rPr>
                <w:b/>
                <w:i/>
              </w:rPr>
            </w:pPr>
            <w:r w:rsidRPr="004F7FA4">
              <w:rPr>
                <w:b/>
                <w:i/>
              </w:rPr>
              <w:t>Lieux de chargement et de déchargement</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7.2.4.7.1</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 xml:space="preserve">Le chargement, </w:t>
            </w:r>
            <w:r w:rsidRPr="003E324E">
              <w:rPr>
                <w:u w:val="single"/>
              </w:rPr>
              <w:t>et</w:t>
            </w:r>
            <w:r w:rsidRPr="003E324E">
              <w:t xml:space="preserve"> le déchargement </w:t>
            </w:r>
            <w:r w:rsidRPr="003E324E">
              <w:rPr>
                <w:strike/>
              </w:rPr>
              <w:t>et le dégazage</w:t>
            </w:r>
            <w:r w:rsidRPr="003E324E">
              <w:t xml:space="preserve"> des bateaux-citernes ne doivent avoir lieu qu</w:t>
            </w:r>
            <w:r w:rsidR="00321934">
              <w:t>’</w:t>
            </w:r>
            <w:r w:rsidRPr="003E324E">
              <w:t>aux emplacements désignés ou agréés à cette fin par l</w:t>
            </w:r>
            <w:r w:rsidR="00321934">
              <w:t>’</w:t>
            </w:r>
            <w:r w:rsidRPr="003E324E">
              <w:t>autorité compétente.</w:t>
            </w:r>
          </w:p>
        </w:tc>
        <w:tc>
          <w:tcPr>
            <w:tcW w:w="5046" w:type="dxa"/>
            <w:tcBorders>
              <w:top w:val="single" w:sz="4" w:space="0" w:color="auto"/>
              <w:bottom w:val="single" w:sz="4" w:space="0" w:color="auto"/>
            </w:tcBorders>
            <w:shd w:val="clear" w:color="auto" w:fill="auto"/>
          </w:tcPr>
          <w:p w:rsidR="003E324E" w:rsidRPr="004F7FA4" w:rsidRDefault="003E324E" w:rsidP="003E324E">
            <w:pPr>
              <w:suppressAutoHyphens w:val="0"/>
              <w:spacing w:before="40" w:after="120"/>
              <w:ind w:right="113"/>
              <w:rPr>
                <w:b/>
              </w:rPr>
            </w:pPr>
            <w:r w:rsidRPr="004F7FA4">
              <w:rPr>
                <w:b/>
              </w:rPr>
              <w:t>Proposition</w:t>
            </w:r>
          </w:p>
          <w:p w:rsidR="003E324E" w:rsidRPr="003E324E" w:rsidRDefault="003E324E" w:rsidP="003E324E">
            <w:pPr>
              <w:suppressAutoHyphens w:val="0"/>
              <w:spacing w:before="40" w:after="120"/>
              <w:ind w:right="113"/>
            </w:pPr>
            <w:r w:rsidRPr="003E324E">
              <w:t>Supprimer « et le dégazage ».</w:t>
            </w:r>
          </w:p>
          <w:p w:rsidR="003E324E" w:rsidRPr="004F7FA4" w:rsidRDefault="003E324E" w:rsidP="003E324E">
            <w:pPr>
              <w:suppressAutoHyphens w:val="0"/>
              <w:spacing w:before="40" w:after="120"/>
              <w:ind w:right="113"/>
              <w:rPr>
                <w:b/>
              </w:rPr>
            </w:pPr>
            <w:r w:rsidRPr="004F7FA4">
              <w:rPr>
                <w:b/>
              </w:rPr>
              <w:t>Justification</w:t>
            </w:r>
          </w:p>
          <w:p w:rsidR="003E324E" w:rsidRPr="003E324E" w:rsidRDefault="003E324E" w:rsidP="003E324E">
            <w:pPr>
              <w:suppressAutoHyphens w:val="0"/>
              <w:spacing w:before="40" w:after="120"/>
              <w:ind w:right="113"/>
            </w:pPr>
            <w:r w:rsidRPr="003E324E">
              <w:t>Compte tenu des modifications apportées au 7.2.3.7, cette mention est superflue.</w:t>
            </w:r>
          </w:p>
        </w:tc>
      </w:tr>
      <w:tr w:rsidR="003E324E" w:rsidRPr="003E324E" w:rsidTr="00B412CD">
        <w:trPr>
          <w:gridAfter w:val="2"/>
          <w:wAfter w:w="231" w:type="dxa"/>
        </w:trPr>
        <w:tc>
          <w:tcPr>
            <w:tcW w:w="1328" w:type="dxa"/>
            <w:tcBorders>
              <w:top w:val="single" w:sz="4" w:space="0" w:color="auto"/>
            </w:tcBorders>
            <w:shd w:val="clear" w:color="auto" w:fill="auto"/>
          </w:tcPr>
          <w:p w:rsidR="003E324E" w:rsidRPr="003E324E" w:rsidRDefault="003E324E" w:rsidP="003E324E">
            <w:pPr>
              <w:suppressAutoHyphens w:val="0"/>
              <w:spacing w:before="40" w:after="120"/>
              <w:ind w:right="113"/>
            </w:pPr>
            <w:r w:rsidRPr="003E324E">
              <w:t>7.2.4.12</w:t>
            </w:r>
          </w:p>
        </w:tc>
        <w:tc>
          <w:tcPr>
            <w:tcW w:w="5976" w:type="dxa"/>
            <w:tcBorders>
              <w:top w:val="single" w:sz="4" w:space="0" w:color="auto"/>
            </w:tcBorders>
            <w:shd w:val="clear" w:color="auto" w:fill="auto"/>
          </w:tcPr>
          <w:p w:rsidR="003E324E" w:rsidRPr="004F7FA4" w:rsidRDefault="003E324E" w:rsidP="003E324E">
            <w:pPr>
              <w:suppressAutoHyphens w:val="0"/>
              <w:spacing w:before="40" w:after="120"/>
              <w:ind w:right="113"/>
              <w:rPr>
                <w:b/>
                <w:bCs/>
                <w:i/>
                <w:iCs/>
              </w:rPr>
            </w:pPr>
            <w:r w:rsidRPr="004F7FA4">
              <w:rPr>
                <w:b/>
                <w:bCs/>
                <w:i/>
                <w:iCs/>
              </w:rPr>
              <w:t>Enregistrement en cours de voyage</w:t>
            </w:r>
          </w:p>
        </w:tc>
        <w:tc>
          <w:tcPr>
            <w:tcW w:w="5046" w:type="dxa"/>
            <w:tcBorders>
              <w:top w:val="single" w:sz="4" w:space="0" w:color="auto"/>
            </w:tcBorders>
            <w:shd w:val="clear" w:color="auto" w:fill="auto"/>
          </w:tcPr>
          <w:p w:rsidR="003E324E" w:rsidRDefault="000F21C2" w:rsidP="003E324E">
            <w:pPr>
              <w:suppressAutoHyphens w:val="0"/>
              <w:spacing w:before="40" w:after="120"/>
              <w:ind w:right="113"/>
              <w:rPr>
                <w:b/>
              </w:rPr>
            </w:pPr>
            <w:r w:rsidRPr="004F7FA4">
              <w:rPr>
                <w:b/>
              </w:rPr>
              <w:t>Proposition</w:t>
            </w:r>
          </w:p>
          <w:p w:rsidR="000F21C2" w:rsidRPr="000F21C2" w:rsidRDefault="000F21C2" w:rsidP="003E324E">
            <w:pPr>
              <w:suppressAutoHyphens w:val="0"/>
              <w:spacing w:before="40" w:after="120"/>
              <w:ind w:right="113"/>
            </w:pPr>
            <w:r>
              <w:t>Dans le texte anglais uniquement, remplacer « gasfreeing » par « degassing ».</w:t>
            </w:r>
          </w:p>
        </w:tc>
      </w:tr>
      <w:tr w:rsidR="003E324E" w:rsidRPr="003E324E" w:rsidTr="003E324E">
        <w:trPr>
          <w:gridAfter w:val="2"/>
          <w:wAfter w:w="231" w:type="dxa"/>
        </w:trPr>
        <w:tc>
          <w:tcPr>
            <w:tcW w:w="1328" w:type="dxa"/>
            <w:shd w:val="clear" w:color="auto" w:fill="auto"/>
          </w:tcPr>
          <w:p w:rsidR="003E324E" w:rsidRPr="003E324E" w:rsidRDefault="003E324E" w:rsidP="000F21C2">
            <w:pPr>
              <w:keepNext/>
              <w:suppressAutoHyphens w:val="0"/>
              <w:spacing w:before="40" w:after="120"/>
              <w:ind w:right="113"/>
            </w:pPr>
          </w:p>
        </w:tc>
        <w:tc>
          <w:tcPr>
            <w:tcW w:w="5976" w:type="dxa"/>
            <w:shd w:val="clear" w:color="auto" w:fill="auto"/>
          </w:tcPr>
          <w:p w:rsidR="003E324E" w:rsidRPr="003E324E" w:rsidRDefault="003E324E" w:rsidP="000F21C2">
            <w:pPr>
              <w:keepNext/>
              <w:suppressAutoHyphens w:val="0"/>
              <w:spacing w:before="40" w:after="120"/>
              <w:ind w:right="113"/>
            </w:pPr>
            <w:r w:rsidRPr="003E324E">
              <w:t>Dans le document d</w:t>
            </w:r>
            <w:r w:rsidR="00321934">
              <w:t>’</w:t>
            </w:r>
            <w:r w:rsidRPr="003E324E">
              <w:t>enregistrement visé au 8.1.11 les indications suivantes doivent immédiatement être saisies :</w:t>
            </w:r>
          </w:p>
        </w:tc>
        <w:tc>
          <w:tcPr>
            <w:tcW w:w="5046" w:type="dxa"/>
            <w:shd w:val="clear" w:color="auto" w:fill="auto"/>
          </w:tcPr>
          <w:p w:rsidR="003E324E" w:rsidRPr="003E324E" w:rsidRDefault="003E324E" w:rsidP="000F21C2">
            <w:pPr>
              <w:keepNext/>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0F21C2">
            <w:pPr>
              <w:keepNext/>
              <w:suppressAutoHyphens w:val="0"/>
              <w:spacing w:before="40" w:after="120"/>
              <w:ind w:right="113"/>
            </w:pPr>
          </w:p>
        </w:tc>
        <w:tc>
          <w:tcPr>
            <w:tcW w:w="5976" w:type="dxa"/>
            <w:shd w:val="clear" w:color="auto" w:fill="auto"/>
          </w:tcPr>
          <w:p w:rsidR="003E324E" w:rsidRPr="003E324E" w:rsidRDefault="003E324E" w:rsidP="000F21C2">
            <w:pPr>
              <w:keepNext/>
              <w:suppressAutoHyphens w:val="0"/>
              <w:spacing w:before="40" w:after="120"/>
              <w:ind w:right="113"/>
            </w:pPr>
            <w:r w:rsidRPr="003E324E">
              <w:t>…</w:t>
            </w:r>
            <w:r w:rsidR="00310024">
              <w:t> ;</w:t>
            </w:r>
          </w:p>
        </w:tc>
        <w:tc>
          <w:tcPr>
            <w:tcW w:w="5046" w:type="dxa"/>
            <w:shd w:val="clear" w:color="auto" w:fill="auto"/>
          </w:tcPr>
          <w:p w:rsidR="003E324E" w:rsidRPr="003E324E" w:rsidRDefault="003E324E" w:rsidP="000F21C2">
            <w:pPr>
              <w:keepNext/>
              <w:suppressAutoHyphens w:val="0"/>
              <w:spacing w:before="40" w:after="120"/>
              <w:ind w:right="113"/>
            </w:pPr>
          </w:p>
        </w:tc>
      </w:tr>
      <w:tr w:rsidR="003E324E" w:rsidRPr="003E324E" w:rsidTr="00B412CD">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3E324E">
              <w:t>Dégazage du N</w:t>
            </w:r>
            <w:r w:rsidRPr="003E324E">
              <w:rPr>
                <w:vertAlign w:val="superscript"/>
              </w:rPr>
              <w:t>o</w:t>
            </w:r>
            <w:r w:rsidRPr="003E324E">
              <w:t> ONU 1203 essence : Lieu et installation ou secteur du dégazage, date et heure.</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bottom w:val="single" w:sz="4" w:space="0" w:color="auto"/>
            </w:tcBorders>
            <w:shd w:val="clear" w:color="auto" w:fill="auto"/>
          </w:tcPr>
          <w:p w:rsidR="003E324E" w:rsidRPr="003E324E" w:rsidRDefault="003E324E" w:rsidP="003E324E">
            <w:pPr>
              <w:suppressAutoHyphens w:val="0"/>
              <w:spacing w:before="40" w:after="120"/>
              <w:ind w:right="113"/>
            </w:pPr>
          </w:p>
        </w:tc>
        <w:tc>
          <w:tcPr>
            <w:tcW w:w="5976" w:type="dxa"/>
            <w:tcBorders>
              <w:bottom w:val="single" w:sz="4" w:space="0" w:color="auto"/>
            </w:tcBorders>
            <w:shd w:val="clear" w:color="auto" w:fill="auto"/>
          </w:tcPr>
          <w:p w:rsidR="003E324E" w:rsidRPr="003E324E" w:rsidRDefault="003E324E" w:rsidP="003E324E">
            <w:pPr>
              <w:suppressAutoHyphens w:val="0"/>
              <w:spacing w:before="40" w:after="120"/>
              <w:ind w:right="113"/>
            </w:pPr>
            <w:r w:rsidRPr="003E324E">
              <w:t>Ces indications doivent être présentées pour chaque citerne à cargaison.</w:t>
            </w:r>
          </w:p>
        </w:tc>
        <w:tc>
          <w:tcPr>
            <w:tcW w:w="5046" w:type="dxa"/>
            <w:tcBorders>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7.2.4.15.3</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Le dégazage des citernes à cargaison et des tuyauteries de chargement et de déchargement doit être effectué conformément aux conditions de la sous-section 7</w:t>
            </w:r>
            <w:r w:rsidR="000F21C2">
              <w:t>.</w:t>
            </w:r>
            <w:r w:rsidRPr="003E324E">
              <w:t>2.3.7.</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7.2.4.16.3</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Les dispositifs de fermeture des tuyauteries de chargement et de déchargement ainsi que des tuyauteries des systèmes d</w:t>
            </w:r>
            <w:r w:rsidR="00321934">
              <w:t>’</w:t>
            </w:r>
            <w:r w:rsidRPr="003E324E">
              <w:t>asséchement doivent rester fermés sauf pendant les opérations de chargement, de déchargement, d</w:t>
            </w:r>
            <w:r w:rsidR="00321934">
              <w:t>’</w:t>
            </w:r>
            <w:r w:rsidRPr="003E324E">
              <w:t>asséchement, de nettoyage et de dégazage.</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7.2.4.16.7</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Lorsqu</w:t>
            </w:r>
            <w:r w:rsidR="00321934">
              <w:t>’</w:t>
            </w:r>
            <w:r w:rsidRPr="003E324E">
              <w:t>un bateau-citerne est conforme au 9.3.2.22.5 d) ou 9.3.3.22.5 d), les citernes à cargaison individuelles doivent être sectionnées pendant le transport et être ouvertes pendant le chargement, le déchargement ou le dégazage.</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tcBorders>
            <w:shd w:val="clear" w:color="auto" w:fill="auto"/>
          </w:tcPr>
          <w:p w:rsidR="003E324E" w:rsidRPr="003E324E" w:rsidRDefault="003E324E" w:rsidP="003E324E">
            <w:pPr>
              <w:suppressAutoHyphens w:val="0"/>
              <w:spacing w:before="40" w:after="120"/>
              <w:ind w:right="113"/>
            </w:pPr>
            <w:r w:rsidRPr="003E324E">
              <w:t>7.2.4.17.1</w:t>
            </w:r>
          </w:p>
        </w:tc>
        <w:tc>
          <w:tcPr>
            <w:tcW w:w="5976" w:type="dxa"/>
            <w:tcBorders>
              <w:top w:val="single" w:sz="4" w:space="0" w:color="auto"/>
            </w:tcBorders>
            <w:shd w:val="clear" w:color="auto" w:fill="auto"/>
          </w:tcPr>
          <w:p w:rsidR="003E324E" w:rsidRPr="003E324E" w:rsidRDefault="003E324E" w:rsidP="003E324E">
            <w:pPr>
              <w:suppressAutoHyphens w:val="0"/>
              <w:spacing w:before="40" w:after="120"/>
              <w:ind w:right="113"/>
            </w:pPr>
            <w:r w:rsidRPr="003E324E">
              <w:t>Pendant le chargement, le déchargement ou le dégazage, tous les accès ou ouvertures des locaux qui sont accessibles du pont et toutes les ouvertures des locaux donnant sur l</w:t>
            </w:r>
            <w:r w:rsidR="00321934">
              <w:t>’</w:t>
            </w:r>
            <w:r w:rsidRPr="003E324E">
              <w:t>extérieur doivent rester fermés.</w:t>
            </w:r>
          </w:p>
        </w:tc>
        <w:tc>
          <w:tcPr>
            <w:tcW w:w="5046" w:type="dxa"/>
            <w:tcBorders>
              <w:top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bottom w:val="single" w:sz="4" w:space="0" w:color="auto"/>
            </w:tcBorders>
            <w:shd w:val="clear" w:color="auto" w:fill="auto"/>
          </w:tcPr>
          <w:p w:rsidR="003E324E" w:rsidRPr="003E324E" w:rsidRDefault="003E324E" w:rsidP="003E324E">
            <w:pPr>
              <w:suppressAutoHyphens w:val="0"/>
              <w:spacing w:before="40" w:after="120"/>
              <w:ind w:right="113"/>
            </w:pPr>
          </w:p>
        </w:tc>
        <w:tc>
          <w:tcPr>
            <w:tcW w:w="5976" w:type="dxa"/>
            <w:tcBorders>
              <w:bottom w:val="single" w:sz="4" w:space="0" w:color="auto"/>
            </w:tcBorders>
            <w:shd w:val="clear" w:color="auto" w:fill="auto"/>
          </w:tcPr>
          <w:p w:rsidR="003E324E" w:rsidRPr="003E324E" w:rsidRDefault="003E324E" w:rsidP="003E324E">
            <w:pPr>
              <w:suppressAutoHyphens w:val="0"/>
              <w:spacing w:before="40" w:after="120"/>
              <w:ind w:right="113"/>
            </w:pPr>
            <w:r w:rsidRPr="003E324E">
              <w:t>…</w:t>
            </w:r>
          </w:p>
        </w:tc>
        <w:tc>
          <w:tcPr>
            <w:tcW w:w="5046" w:type="dxa"/>
            <w:tcBorders>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7.2.4.17.2</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Après la fin des opérations de chargement, de déchargement ou de dégazage, les locaux qui sont accessibles depuis le pont doivent être aérés.</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rPr>
                <w:bCs/>
              </w:rPr>
              <w:t>7.2.4.25.3</w:t>
            </w:r>
          </w:p>
        </w:tc>
        <w:tc>
          <w:tcPr>
            <w:tcW w:w="597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r w:rsidRPr="003E324E">
              <w:t>Les dispositifs de coupure des tuyauteries à cargaison ne doivent être ouverts que pendant et autant que nécessaire pour les opérations de chargement, de déchargement ou de dégazage.</w:t>
            </w:r>
          </w:p>
        </w:tc>
        <w:tc>
          <w:tcPr>
            <w:tcW w:w="5046" w:type="dxa"/>
            <w:tcBorders>
              <w:top w:val="single" w:sz="4" w:space="0" w:color="auto"/>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bottom w:val="single" w:sz="4" w:space="0" w:color="auto"/>
            </w:tcBorders>
            <w:shd w:val="clear" w:color="auto" w:fill="auto"/>
          </w:tcPr>
          <w:p w:rsidR="003E324E" w:rsidRPr="003E324E" w:rsidRDefault="003E324E" w:rsidP="004F7FA4">
            <w:pPr>
              <w:keepNext/>
              <w:suppressAutoHyphens w:val="0"/>
              <w:spacing w:before="40" w:after="120"/>
              <w:ind w:right="113"/>
            </w:pPr>
            <w:r w:rsidRPr="003E324E">
              <w:t>7.2.5.0.1</w:t>
            </w:r>
          </w:p>
        </w:tc>
        <w:tc>
          <w:tcPr>
            <w:tcW w:w="5976" w:type="dxa"/>
            <w:tcBorders>
              <w:top w:val="single" w:sz="4" w:space="0" w:color="auto"/>
              <w:bottom w:val="single" w:sz="4" w:space="0" w:color="auto"/>
            </w:tcBorders>
            <w:shd w:val="clear" w:color="auto" w:fill="auto"/>
          </w:tcPr>
          <w:p w:rsidR="003E324E" w:rsidRPr="003E324E" w:rsidRDefault="003E324E" w:rsidP="004F7FA4">
            <w:pPr>
              <w:keepNext/>
              <w:suppressAutoHyphens w:val="0"/>
              <w:spacing w:before="40" w:after="120"/>
              <w:ind w:right="113"/>
            </w:pPr>
            <w:r w:rsidRPr="003E324E">
              <w:t>Les bateaux transportant les matières énumérées au tableau C du chapitre 3.2 doivent montrer les cônes bleus ou feux bleus en nombre indiqué dans la colonne (19) dudit tableau et conformes au CEVNI. Lorsqu</w:t>
            </w:r>
            <w:r w:rsidR="00321934">
              <w:t>’</w:t>
            </w:r>
            <w:r w:rsidRPr="003E324E">
              <w:t>en raison de la cargaison transportée aucune signalisation avec des cônes ou des feux bleus n</w:t>
            </w:r>
            <w:r w:rsidR="00321934">
              <w:t>’</w:t>
            </w:r>
            <w:r w:rsidRPr="003E324E">
              <w:t xml:space="preserve">est prescrite mais que la concentration de gaz inflammables dans les citernes à cargaison est supérieure de plus de 20 % de la </w:t>
            </w:r>
            <w:r w:rsidRPr="003E324E">
              <w:rPr>
                <w:strike/>
              </w:rPr>
              <w:t>limite inférieure d</w:t>
            </w:r>
            <w:r w:rsidR="00321934">
              <w:rPr>
                <w:strike/>
              </w:rPr>
              <w:t>’</w:t>
            </w:r>
            <w:r w:rsidRPr="003E324E">
              <w:rPr>
                <w:strike/>
              </w:rPr>
              <w:t>explosion</w:t>
            </w:r>
            <w:r w:rsidRPr="003E324E">
              <w:t xml:space="preserve"> LIE de la dernière cargaison pour laquelle une telle signalisation était exigée, le nombre de cônes bleus ou de feux bleus à porter est déterminé par la dernière cargaison pour laquelle une telle signalisation était exigée.</w:t>
            </w:r>
          </w:p>
        </w:tc>
        <w:tc>
          <w:tcPr>
            <w:tcW w:w="5046" w:type="dxa"/>
            <w:tcBorders>
              <w:top w:val="single" w:sz="4" w:space="0" w:color="auto"/>
              <w:bottom w:val="single" w:sz="4" w:space="0" w:color="auto"/>
            </w:tcBorders>
            <w:shd w:val="clear" w:color="auto" w:fill="auto"/>
          </w:tcPr>
          <w:p w:rsidR="003E324E" w:rsidRPr="003E324E" w:rsidRDefault="003E324E" w:rsidP="004F7FA4">
            <w:pPr>
              <w:keepNext/>
              <w:suppressAutoHyphens w:val="0"/>
              <w:spacing w:before="40" w:after="120"/>
              <w:ind w:right="113"/>
            </w:pPr>
          </w:p>
        </w:tc>
      </w:tr>
      <w:tr w:rsidR="003E324E" w:rsidRPr="003E324E" w:rsidTr="00B412CD">
        <w:trPr>
          <w:gridAfter w:val="1"/>
          <w:wAfter w:w="222" w:type="dxa"/>
        </w:trPr>
        <w:tc>
          <w:tcPr>
            <w:tcW w:w="12359" w:type="dxa"/>
            <w:gridSpan w:val="4"/>
            <w:tcBorders>
              <w:bottom w:val="single" w:sz="4" w:space="0" w:color="auto"/>
            </w:tcBorders>
            <w:shd w:val="clear" w:color="auto" w:fill="auto"/>
          </w:tcPr>
          <w:p w:rsidR="003E324E" w:rsidRPr="004F7FA4" w:rsidRDefault="003E324E" w:rsidP="003E324E">
            <w:pPr>
              <w:suppressAutoHyphens w:val="0"/>
              <w:spacing w:before="40" w:after="120"/>
              <w:ind w:right="113"/>
              <w:rPr>
                <w:b/>
              </w:rPr>
            </w:pPr>
            <w:r w:rsidRPr="004F7FA4">
              <w:rPr>
                <w:b/>
              </w:rPr>
              <w:t>Formation de l</w:t>
            </w:r>
            <w:r w:rsidR="00321934">
              <w:rPr>
                <w:b/>
              </w:rPr>
              <w:t>’</w:t>
            </w:r>
            <w:r w:rsidRPr="004F7FA4">
              <w:rPr>
                <w:b/>
              </w:rPr>
              <w:t>équipage</w:t>
            </w: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r w:rsidRPr="003E324E">
              <w:t>8.2.2.3.3.1</w:t>
            </w:r>
          </w:p>
        </w:tc>
        <w:tc>
          <w:tcPr>
            <w:tcW w:w="5976" w:type="dxa"/>
            <w:shd w:val="clear" w:color="auto" w:fill="auto"/>
          </w:tcPr>
          <w:p w:rsidR="003E324E" w:rsidRPr="003E324E" w:rsidRDefault="003E324E" w:rsidP="003E324E">
            <w:pPr>
              <w:suppressAutoHyphens w:val="0"/>
              <w:spacing w:before="40" w:after="120"/>
              <w:ind w:right="113"/>
            </w:pPr>
            <w:r w:rsidRPr="003E324E">
              <w:t>Le cours de spécialisation « gaz » doit comporter au moins les objectifs suivants :</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3E324E">
              <w:rPr>
                <w:iCs/>
              </w:rPr>
              <w:t>…</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4F7FA4" w:rsidRDefault="003E324E" w:rsidP="003E324E">
            <w:pPr>
              <w:suppressAutoHyphens w:val="0"/>
              <w:spacing w:before="40" w:after="120"/>
              <w:ind w:right="113"/>
              <w:rPr>
                <w:i/>
              </w:rPr>
            </w:pPr>
            <w:r w:rsidRPr="004F7FA4">
              <w:rPr>
                <w:i/>
                <w:iCs/>
              </w:rPr>
              <w:t>Pratique :</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3E324E">
              <w:rPr>
                <w:iCs/>
              </w:rPr>
              <w:t>…</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pPr>
            <w:r w:rsidRPr="003E324E">
              <w:t xml:space="preserve">Attestations </w:t>
            </w:r>
            <w:r w:rsidRPr="003E324E">
              <w:rPr>
                <w:strike/>
              </w:rPr>
              <w:t>de dégazage</w:t>
            </w:r>
            <w:r w:rsidRPr="003E324E">
              <w:t xml:space="preserve"> </w:t>
            </w:r>
            <w:r w:rsidRPr="003E324E">
              <w:rPr>
                <w:u w:val="single"/>
              </w:rPr>
              <w:t>d</w:t>
            </w:r>
            <w:r w:rsidR="00321934">
              <w:rPr>
                <w:u w:val="single"/>
              </w:rPr>
              <w:t>’</w:t>
            </w:r>
            <w:r w:rsidRPr="003E324E">
              <w:rPr>
                <w:u w:val="single"/>
              </w:rPr>
              <w:t>absence de gaz</w:t>
            </w:r>
            <w:r w:rsidRPr="003E324E">
              <w:t xml:space="preserve"> et travaux admis</w:t>
            </w:r>
            <w:r w:rsidR="00310024">
              <w:t> ;</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bottom w:val="single" w:sz="4" w:space="0" w:color="auto"/>
            </w:tcBorders>
            <w:shd w:val="clear" w:color="auto" w:fill="auto"/>
          </w:tcPr>
          <w:p w:rsidR="003E324E" w:rsidRPr="003E324E" w:rsidRDefault="003E324E" w:rsidP="003E324E">
            <w:pPr>
              <w:suppressAutoHyphens w:val="0"/>
              <w:spacing w:before="40" w:after="120"/>
              <w:ind w:right="113"/>
            </w:pPr>
          </w:p>
        </w:tc>
        <w:tc>
          <w:tcPr>
            <w:tcW w:w="5976" w:type="dxa"/>
            <w:tcBorders>
              <w:bottom w:val="single" w:sz="4" w:space="0" w:color="auto"/>
            </w:tcBorders>
            <w:shd w:val="clear" w:color="auto" w:fill="auto"/>
          </w:tcPr>
          <w:p w:rsidR="003E324E" w:rsidRPr="003E324E" w:rsidRDefault="003E324E" w:rsidP="003E324E">
            <w:pPr>
              <w:suppressAutoHyphens w:val="0"/>
              <w:spacing w:before="40" w:after="120"/>
              <w:ind w:right="113"/>
            </w:pPr>
            <w:r w:rsidRPr="003E324E">
              <w:rPr>
                <w:iCs/>
              </w:rPr>
              <w:t>…</w:t>
            </w:r>
          </w:p>
        </w:tc>
        <w:tc>
          <w:tcPr>
            <w:tcW w:w="5046" w:type="dxa"/>
            <w:tcBorders>
              <w:bottom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tcBorders>
              <w:top w:val="single" w:sz="4" w:space="0" w:color="auto"/>
            </w:tcBorders>
            <w:shd w:val="clear" w:color="auto" w:fill="auto"/>
          </w:tcPr>
          <w:p w:rsidR="003E324E" w:rsidRPr="003E324E" w:rsidRDefault="003E324E" w:rsidP="003E324E">
            <w:pPr>
              <w:suppressAutoHyphens w:val="0"/>
              <w:spacing w:before="40" w:after="120"/>
              <w:ind w:right="113"/>
            </w:pPr>
            <w:r w:rsidRPr="003E324E">
              <w:t>8.2.2.3.3.2</w:t>
            </w:r>
          </w:p>
        </w:tc>
        <w:tc>
          <w:tcPr>
            <w:tcW w:w="5976" w:type="dxa"/>
            <w:tcBorders>
              <w:top w:val="single" w:sz="4" w:space="0" w:color="auto"/>
            </w:tcBorders>
            <w:shd w:val="clear" w:color="auto" w:fill="auto"/>
          </w:tcPr>
          <w:p w:rsidR="003E324E" w:rsidRPr="003E324E" w:rsidRDefault="003E324E" w:rsidP="003E324E">
            <w:pPr>
              <w:suppressAutoHyphens w:val="0"/>
              <w:spacing w:before="40" w:after="120"/>
              <w:ind w:right="113"/>
            </w:pPr>
            <w:r w:rsidRPr="003E324E">
              <w:rPr>
                <w:bCs/>
              </w:rPr>
              <w:t>Le cours de spécialisation « chimie » doit comporter au moins les objectifs suivants :</w:t>
            </w:r>
          </w:p>
        </w:tc>
        <w:tc>
          <w:tcPr>
            <w:tcW w:w="5046" w:type="dxa"/>
            <w:tcBorders>
              <w:top w:val="single" w:sz="4" w:space="0" w:color="auto"/>
            </w:tcBorders>
            <w:shd w:val="clear" w:color="auto" w:fill="auto"/>
          </w:tcPr>
          <w:p w:rsidR="003E324E" w:rsidRPr="003E324E" w:rsidRDefault="003E324E" w:rsidP="003E324E">
            <w:pPr>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rPr>
                <w:bCs/>
              </w:rPr>
            </w:pPr>
            <w:r w:rsidRPr="003E324E">
              <w:rPr>
                <w:bCs/>
              </w:rPr>
              <w:t>…</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62236" w:rsidRDefault="003E324E" w:rsidP="003E324E">
            <w:pPr>
              <w:suppressAutoHyphens w:val="0"/>
              <w:spacing w:before="40" w:after="120"/>
              <w:ind w:right="113"/>
              <w:rPr>
                <w:bCs/>
                <w:i/>
              </w:rPr>
            </w:pPr>
            <w:r w:rsidRPr="00362236">
              <w:rPr>
                <w:bCs/>
                <w:i/>
              </w:rPr>
              <w:t>Pratique :</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3E324E">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rPr>
                <w:bCs/>
              </w:rPr>
            </w:pPr>
            <w:r w:rsidRPr="003E324E">
              <w:rPr>
                <w:bCs/>
              </w:rPr>
              <w:t>Nettoyage des citernes à cargaison, par exemple dégazage, lavage, cargaison restante et récipients pour résidus</w:t>
            </w:r>
            <w:r w:rsidR="00362236">
              <w:rPr>
                <w:bCs/>
              </w:rPr>
              <w:t> ;</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B412CD">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rPr>
                <w:bCs/>
              </w:rPr>
            </w:pPr>
            <w:r w:rsidRPr="003E324E">
              <w:rPr>
                <w:bCs/>
              </w:rPr>
              <w:t>…</w:t>
            </w:r>
          </w:p>
        </w:tc>
        <w:tc>
          <w:tcPr>
            <w:tcW w:w="5046" w:type="dxa"/>
            <w:shd w:val="clear" w:color="auto" w:fill="auto"/>
          </w:tcPr>
          <w:p w:rsidR="003E324E" w:rsidRPr="003E324E" w:rsidRDefault="003E324E" w:rsidP="003E324E">
            <w:pPr>
              <w:suppressAutoHyphens w:val="0"/>
              <w:spacing w:before="40" w:after="120"/>
              <w:ind w:right="113"/>
            </w:pPr>
          </w:p>
        </w:tc>
      </w:tr>
      <w:tr w:rsidR="003E324E" w:rsidRPr="003E324E" w:rsidTr="000F21C2">
        <w:trPr>
          <w:gridAfter w:val="2"/>
          <w:wAfter w:w="231" w:type="dxa"/>
        </w:trPr>
        <w:tc>
          <w:tcPr>
            <w:tcW w:w="1328" w:type="dxa"/>
            <w:shd w:val="clear" w:color="auto" w:fill="auto"/>
          </w:tcPr>
          <w:p w:rsidR="003E324E" w:rsidRPr="003E324E" w:rsidRDefault="003E324E" w:rsidP="003E324E">
            <w:pPr>
              <w:suppressAutoHyphens w:val="0"/>
              <w:spacing w:before="40" w:after="120"/>
              <w:ind w:right="113"/>
            </w:pPr>
          </w:p>
        </w:tc>
        <w:tc>
          <w:tcPr>
            <w:tcW w:w="5976" w:type="dxa"/>
            <w:shd w:val="clear" w:color="auto" w:fill="auto"/>
          </w:tcPr>
          <w:p w:rsidR="003E324E" w:rsidRPr="003E324E" w:rsidRDefault="003E324E" w:rsidP="003E324E">
            <w:pPr>
              <w:suppressAutoHyphens w:val="0"/>
              <w:spacing w:before="40" w:after="120"/>
              <w:ind w:right="113"/>
              <w:rPr>
                <w:bCs/>
              </w:rPr>
            </w:pPr>
            <w:r w:rsidRPr="003E324E">
              <w:rPr>
                <w:bCs/>
              </w:rPr>
              <w:t xml:space="preserve">Attestations </w:t>
            </w:r>
            <w:r w:rsidRPr="003E324E">
              <w:rPr>
                <w:bCs/>
                <w:strike/>
              </w:rPr>
              <w:t>de dégazage</w:t>
            </w:r>
            <w:r w:rsidRPr="003E324E">
              <w:rPr>
                <w:bCs/>
              </w:rPr>
              <w:t xml:space="preserve"> </w:t>
            </w:r>
            <w:r w:rsidRPr="003E324E">
              <w:rPr>
                <w:bCs/>
                <w:u w:val="single"/>
              </w:rPr>
              <w:t>d</w:t>
            </w:r>
            <w:r w:rsidR="00321934">
              <w:rPr>
                <w:bCs/>
                <w:u w:val="single"/>
              </w:rPr>
              <w:t>’</w:t>
            </w:r>
            <w:r w:rsidRPr="003E324E">
              <w:rPr>
                <w:bCs/>
                <w:u w:val="single"/>
              </w:rPr>
              <w:t>absence de gaz</w:t>
            </w:r>
            <w:r w:rsidRPr="003E324E">
              <w:rPr>
                <w:bCs/>
              </w:rPr>
              <w:t xml:space="preserve"> et travaux admis.</w:t>
            </w:r>
          </w:p>
        </w:tc>
        <w:tc>
          <w:tcPr>
            <w:tcW w:w="5046" w:type="dxa"/>
            <w:shd w:val="clear" w:color="auto" w:fill="auto"/>
          </w:tcPr>
          <w:p w:rsidR="003E324E" w:rsidRPr="003E324E" w:rsidRDefault="003E324E" w:rsidP="003E324E">
            <w:pPr>
              <w:suppressAutoHyphens w:val="0"/>
              <w:spacing w:before="40" w:after="120"/>
              <w:ind w:right="113"/>
            </w:pPr>
          </w:p>
        </w:tc>
      </w:tr>
      <w:tr w:rsidR="000F21C2" w:rsidRPr="003E324E" w:rsidTr="00B412CD">
        <w:trPr>
          <w:gridAfter w:val="2"/>
          <w:wAfter w:w="231" w:type="dxa"/>
        </w:trPr>
        <w:tc>
          <w:tcPr>
            <w:tcW w:w="1328" w:type="dxa"/>
            <w:tcBorders>
              <w:bottom w:val="single" w:sz="4" w:space="0" w:color="auto"/>
            </w:tcBorders>
            <w:shd w:val="clear" w:color="auto" w:fill="auto"/>
          </w:tcPr>
          <w:p w:rsidR="000F21C2" w:rsidRPr="003E324E" w:rsidRDefault="000F21C2" w:rsidP="003E324E">
            <w:pPr>
              <w:suppressAutoHyphens w:val="0"/>
              <w:spacing w:before="40" w:after="120"/>
              <w:ind w:right="113"/>
            </w:pPr>
          </w:p>
        </w:tc>
        <w:tc>
          <w:tcPr>
            <w:tcW w:w="5976" w:type="dxa"/>
            <w:tcBorders>
              <w:bottom w:val="single" w:sz="4" w:space="0" w:color="auto"/>
            </w:tcBorders>
            <w:shd w:val="clear" w:color="auto" w:fill="auto"/>
          </w:tcPr>
          <w:p w:rsidR="000F21C2" w:rsidRPr="003E324E" w:rsidRDefault="000F21C2" w:rsidP="003E324E">
            <w:pPr>
              <w:suppressAutoHyphens w:val="0"/>
              <w:spacing w:before="40" w:after="120"/>
              <w:ind w:right="113"/>
              <w:rPr>
                <w:bCs/>
              </w:rPr>
            </w:pPr>
            <w:r>
              <w:rPr>
                <w:bCs/>
              </w:rPr>
              <w:t>…</w:t>
            </w:r>
          </w:p>
        </w:tc>
        <w:tc>
          <w:tcPr>
            <w:tcW w:w="5046" w:type="dxa"/>
            <w:tcBorders>
              <w:bottom w:val="single" w:sz="4" w:space="0" w:color="auto"/>
            </w:tcBorders>
            <w:shd w:val="clear" w:color="auto" w:fill="auto"/>
          </w:tcPr>
          <w:p w:rsidR="000F21C2" w:rsidRPr="003E324E" w:rsidRDefault="000F21C2" w:rsidP="003E324E">
            <w:pPr>
              <w:suppressAutoHyphens w:val="0"/>
              <w:spacing w:before="40" w:after="120"/>
              <w:ind w:right="113"/>
            </w:pPr>
          </w:p>
        </w:tc>
      </w:tr>
      <w:tr w:rsidR="003E324E" w:rsidRPr="003E324E" w:rsidTr="00B412CD">
        <w:trPr>
          <w:gridAfter w:val="1"/>
          <w:wAfter w:w="222" w:type="dxa"/>
        </w:trPr>
        <w:tc>
          <w:tcPr>
            <w:tcW w:w="12359" w:type="dxa"/>
            <w:gridSpan w:val="4"/>
            <w:tcBorders>
              <w:bottom w:val="single" w:sz="4" w:space="0" w:color="auto"/>
            </w:tcBorders>
            <w:shd w:val="clear" w:color="auto" w:fill="auto"/>
          </w:tcPr>
          <w:p w:rsidR="003E324E" w:rsidRPr="00362236" w:rsidRDefault="003E324E" w:rsidP="00362236">
            <w:pPr>
              <w:keepNext/>
              <w:suppressAutoHyphens w:val="0"/>
              <w:spacing w:before="40" w:after="120"/>
              <w:ind w:right="113"/>
              <w:rPr>
                <w:b/>
              </w:rPr>
            </w:pPr>
            <w:r w:rsidRPr="00362236">
              <w:rPr>
                <w:b/>
              </w:rPr>
              <w:t>Espaces de cale et citernes à cargaison</w:t>
            </w:r>
          </w:p>
        </w:tc>
      </w:tr>
      <w:tr w:rsidR="003E324E" w:rsidRPr="003E324E" w:rsidTr="009B72EA">
        <w:trPr>
          <w:gridAfter w:val="2"/>
          <w:wAfter w:w="231" w:type="dxa"/>
        </w:trPr>
        <w:tc>
          <w:tcPr>
            <w:tcW w:w="1328" w:type="dxa"/>
            <w:tcBorders>
              <w:bottom w:val="single" w:sz="4" w:space="0" w:color="auto"/>
            </w:tcBorders>
            <w:shd w:val="clear" w:color="auto" w:fill="auto"/>
          </w:tcPr>
          <w:p w:rsidR="003E324E" w:rsidRPr="003E324E" w:rsidRDefault="003E324E" w:rsidP="00362236">
            <w:pPr>
              <w:keepNext/>
              <w:suppressAutoHyphens w:val="0"/>
              <w:spacing w:before="40" w:after="120"/>
              <w:ind w:right="113"/>
            </w:pPr>
            <w:r w:rsidRPr="003E324E">
              <w:t>9.3.X.11.3</w:t>
            </w:r>
          </w:p>
        </w:tc>
        <w:tc>
          <w:tcPr>
            <w:tcW w:w="5976" w:type="dxa"/>
            <w:tcBorders>
              <w:bottom w:val="single" w:sz="4" w:space="0" w:color="auto"/>
            </w:tcBorders>
            <w:shd w:val="clear" w:color="auto" w:fill="auto"/>
          </w:tcPr>
          <w:p w:rsidR="003E324E" w:rsidRPr="003E324E" w:rsidRDefault="003E324E" w:rsidP="00362236">
            <w:pPr>
              <w:keepNext/>
              <w:suppressAutoHyphens w:val="0"/>
              <w:spacing w:before="40" w:after="120"/>
              <w:ind w:right="113"/>
            </w:pPr>
            <w:r w:rsidRPr="003E324E">
              <w:tab/>
              <w:t>a)</w:t>
            </w:r>
            <w:r w:rsidRPr="003E324E">
              <w:tab/>
              <w:t>…</w:t>
            </w:r>
          </w:p>
          <w:p w:rsidR="003E324E" w:rsidRPr="003E324E" w:rsidRDefault="003E324E" w:rsidP="00362236">
            <w:pPr>
              <w:keepNext/>
              <w:suppressAutoHyphens w:val="0"/>
              <w:spacing w:before="40" w:after="120"/>
              <w:ind w:right="113"/>
            </w:pPr>
            <w:r w:rsidRPr="003E324E">
              <w:tab/>
              <w:t>b)</w:t>
            </w:r>
            <w:r w:rsidRPr="003E324E">
              <w:tab/>
              <w:t>…</w:t>
            </w:r>
          </w:p>
          <w:p w:rsidR="003E324E" w:rsidRPr="003E324E" w:rsidRDefault="003E324E" w:rsidP="00362236">
            <w:pPr>
              <w:keepNext/>
              <w:suppressAutoHyphens w:val="0"/>
              <w:spacing w:before="40" w:after="120"/>
              <w:ind w:right="113"/>
            </w:pPr>
            <w:r w:rsidRPr="003E324E">
              <w:tab/>
              <w:t>c)</w:t>
            </w:r>
            <w:r w:rsidRPr="003E324E">
              <w:tab/>
              <w:t xml:space="preserve">Tous les locaux dans la zone de cargaison doivent pouvoir être ventilés. </w:t>
            </w:r>
            <w:r w:rsidRPr="003E324E">
              <w:rPr>
                <w:u w:val="single"/>
              </w:rPr>
              <w:t>Ils doivent être équipés d</w:t>
            </w:r>
            <w:r w:rsidR="00321934">
              <w:rPr>
                <w:u w:val="single"/>
              </w:rPr>
              <w:t>’</w:t>
            </w:r>
            <w:r w:rsidRPr="003E324E">
              <w:rPr>
                <w:u w:val="single"/>
              </w:rPr>
              <w:t>une installation permettant de vérifier l</w:t>
            </w:r>
            <w:r w:rsidR="00321934">
              <w:rPr>
                <w:u w:val="single"/>
              </w:rPr>
              <w:t>’</w:t>
            </w:r>
            <w:r w:rsidRPr="003E324E">
              <w:rPr>
                <w:u w:val="single"/>
              </w:rPr>
              <w:t>absence de gaz. Il doit être possible de vérifier qu</w:t>
            </w:r>
            <w:r w:rsidR="00321934">
              <w:rPr>
                <w:u w:val="single"/>
              </w:rPr>
              <w:t>’</w:t>
            </w:r>
            <w:r w:rsidRPr="003E324E">
              <w:rPr>
                <w:u w:val="single"/>
              </w:rPr>
              <w:t>ils ne contiennent pas de gaz.</w:t>
            </w:r>
          </w:p>
        </w:tc>
        <w:tc>
          <w:tcPr>
            <w:tcW w:w="5046" w:type="dxa"/>
            <w:tcBorders>
              <w:bottom w:val="single" w:sz="4" w:space="0" w:color="auto"/>
            </w:tcBorders>
            <w:shd w:val="clear" w:color="auto" w:fill="auto"/>
          </w:tcPr>
          <w:p w:rsidR="003E324E" w:rsidRPr="00362236" w:rsidRDefault="003E324E" w:rsidP="00362236">
            <w:pPr>
              <w:keepNext/>
              <w:suppressAutoHyphens w:val="0"/>
              <w:spacing w:before="40" w:after="120"/>
              <w:ind w:right="113"/>
              <w:rPr>
                <w:b/>
              </w:rPr>
            </w:pPr>
            <w:r w:rsidRPr="00362236">
              <w:rPr>
                <w:b/>
              </w:rPr>
              <w:t>Proposition</w:t>
            </w:r>
          </w:p>
          <w:p w:rsidR="003E324E" w:rsidRPr="003E324E" w:rsidRDefault="003E324E" w:rsidP="00362236">
            <w:pPr>
              <w:keepNext/>
              <w:suppressAutoHyphens w:val="0"/>
              <w:spacing w:before="40" w:after="120"/>
              <w:ind w:right="113"/>
            </w:pPr>
            <w:r w:rsidRPr="003E324E">
              <w:t xml:space="preserve">Les différentes versions linguistiques sont actuellement divergentes. Dans </w:t>
            </w:r>
            <w:r w:rsidR="000F21C2">
              <w:t>les textes français et allemand</w:t>
            </w:r>
            <w:r w:rsidRPr="003E324E">
              <w:t>, il n</w:t>
            </w:r>
            <w:r w:rsidR="00321934">
              <w:t>’</w:t>
            </w:r>
            <w:r w:rsidRPr="003E324E">
              <w:t>est pas obligatoire que l</w:t>
            </w:r>
            <w:r w:rsidR="00321934">
              <w:t>’</w:t>
            </w:r>
            <w:r w:rsidRPr="003E324E">
              <w:t>équipement de contrôle soit à bord.</w:t>
            </w:r>
          </w:p>
        </w:tc>
      </w:tr>
      <w:tr w:rsidR="003E324E" w:rsidRPr="003E324E" w:rsidTr="009B72EA">
        <w:trPr>
          <w:gridAfter w:val="1"/>
          <w:wAfter w:w="222" w:type="dxa"/>
        </w:trPr>
        <w:tc>
          <w:tcPr>
            <w:tcW w:w="12359" w:type="dxa"/>
            <w:gridSpan w:val="4"/>
            <w:tcBorders>
              <w:bottom w:val="single" w:sz="4" w:space="0" w:color="auto"/>
            </w:tcBorders>
            <w:shd w:val="clear" w:color="auto" w:fill="auto"/>
          </w:tcPr>
          <w:p w:rsidR="003E324E" w:rsidRPr="00362236" w:rsidRDefault="003E324E" w:rsidP="003E324E">
            <w:pPr>
              <w:suppressAutoHyphens w:val="0"/>
              <w:spacing w:before="40" w:after="120"/>
              <w:ind w:right="113"/>
              <w:rPr>
                <w:b/>
              </w:rPr>
            </w:pPr>
            <w:r w:rsidRPr="00362236">
              <w:rPr>
                <w:b/>
              </w:rPr>
              <w:t>Bateaux-citernes, type C/N</w:t>
            </w:r>
          </w:p>
        </w:tc>
      </w:tr>
      <w:tr w:rsidR="003E324E" w:rsidRPr="003E324E" w:rsidTr="003E324E">
        <w:trPr>
          <w:gridAfter w:val="2"/>
          <w:wAfter w:w="231" w:type="dxa"/>
        </w:trPr>
        <w:tc>
          <w:tcPr>
            <w:tcW w:w="1328" w:type="dxa"/>
            <w:tcBorders>
              <w:bottom w:val="single" w:sz="12" w:space="0" w:color="auto"/>
            </w:tcBorders>
            <w:shd w:val="clear" w:color="auto" w:fill="auto"/>
          </w:tcPr>
          <w:p w:rsidR="003E324E" w:rsidRPr="003E324E" w:rsidRDefault="003E324E" w:rsidP="003E324E">
            <w:pPr>
              <w:suppressAutoHyphens w:val="0"/>
              <w:spacing w:before="40" w:after="120"/>
              <w:ind w:right="113"/>
              <w:rPr>
                <w:bCs/>
              </w:rPr>
            </w:pPr>
            <w:r w:rsidRPr="003E324E">
              <w:rPr>
                <w:bCs/>
              </w:rPr>
              <w:t>9.3.2.42.4/</w:t>
            </w:r>
          </w:p>
          <w:p w:rsidR="003E324E" w:rsidRPr="003E324E" w:rsidRDefault="003E324E" w:rsidP="003E324E">
            <w:pPr>
              <w:suppressAutoHyphens w:val="0"/>
              <w:spacing w:before="40" w:after="120"/>
              <w:ind w:right="113"/>
            </w:pPr>
            <w:r w:rsidRPr="003E324E">
              <w:rPr>
                <w:bCs/>
              </w:rPr>
              <w:t>9.3.3.42.4</w:t>
            </w:r>
          </w:p>
        </w:tc>
        <w:tc>
          <w:tcPr>
            <w:tcW w:w="5976" w:type="dxa"/>
            <w:tcBorders>
              <w:bottom w:val="single" w:sz="12" w:space="0" w:color="auto"/>
            </w:tcBorders>
            <w:shd w:val="clear" w:color="auto" w:fill="auto"/>
          </w:tcPr>
          <w:p w:rsidR="003E324E" w:rsidRPr="003E324E" w:rsidRDefault="003E324E" w:rsidP="003E324E">
            <w:pPr>
              <w:suppressAutoHyphens w:val="0"/>
              <w:spacing w:before="40" w:after="120"/>
              <w:ind w:right="113"/>
            </w:pPr>
            <w:r w:rsidRPr="003E324E">
              <w:t>Si l</w:t>
            </w:r>
            <w:r w:rsidR="00321934">
              <w:t>’</w:t>
            </w:r>
            <w:r w:rsidRPr="003E324E">
              <w:t xml:space="preserve">installation de chauffage de la cargaison est utilisée lors du chargement, du déchargement ou du dégazage </w:t>
            </w:r>
            <w:r w:rsidRPr="003E324E">
              <w:rPr>
                <w:u w:val="single"/>
              </w:rPr>
              <w:t>avec une concentration provenant de la cargaison supérieure ou égale à 10 % de la LIE</w:t>
            </w:r>
            <w:r w:rsidRPr="003E324E">
              <w:t>, le local de service dans lequel est placée l</w:t>
            </w:r>
            <w:r w:rsidR="00321934">
              <w:t>’</w:t>
            </w:r>
            <w:r w:rsidRPr="003E324E">
              <w:t>installation doit répondre entièrement aux prescriptions du 9.3.2.52.3. Cette prescription ne s</w:t>
            </w:r>
            <w:r w:rsidR="00321934">
              <w:t>’</w:t>
            </w:r>
            <w:r w:rsidRPr="003E324E">
              <w:t>applique pas aux orifices d</w:t>
            </w:r>
            <w:r w:rsidR="00321934">
              <w:t>’</w:t>
            </w:r>
            <w:r w:rsidRPr="003E324E">
              <w:t xml:space="preserve">aspiration du système de ventilation. </w:t>
            </w:r>
          </w:p>
          <w:p w:rsidR="003E324E" w:rsidRPr="003E324E" w:rsidRDefault="003E324E" w:rsidP="003E324E">
            <w:pPr>
              <w:suppressAutoHyphens w:val="0"/>
              <w:spacing w:before="40" w:after="120"/>
              <w:ind w:right="113"/>
            </w:pPr>
            <w:r w:rsidRPr="003E324E">
              <w:t>…</w:t>
            </w:r>
          </w:p>
        </w:tc>
        <w:tc>
          <w:tcPr>
            <w:tcW w:w="5046" w:type="dxa"/>
            <w:tcBorders>
              <w:bottom w:val="single" w:sz="12" w:space="0" w:color="auto"/>
            </w:tcBorders>
            <w:shd w:val="clear" w:color="auto" w:fill="auto"/>
          </w:tcPr>
          <w:p w:rsidR="003E324E" w:rsidRPr="003E324E" w:rsidRDefault="003E324E" w:rsidP="003E324E">
            <w:pPr>
              <w:suppressAutoHyphens w:val="0"/>
              <w:spacing w:before="40" w:after="120"/>
              <w:ind w:right="113"/>
            </w:pPr>
          </w:p>
        </w:tc>
      </w:tr>
    </w:tbl>
    <w:p w:rsidR="003E324E" w:rsidRPr="00362236" w:rsidRDefault="00362236" w:rsidP="00362236">
      <w:pPr>
        <w:pStyle w:val="SingleTxtG"/>
        <w:spacing w:before="240" w:after="0"/>
        <w:jc w:val="center"/>
        <w:rPr>
          <w:u w:val="single"/>
        </w:rPr>
      </w:pPr>
      <w:r>
        <w:rPr>
          <w:u w:val="single"/>
        </w:rPr>
        <w:tab/>
      </w:r>
      <w:r>
        <w:rPr>
          <w:u w:val="single"/>
        </w:rPr>
        <w:tab/>
      </w:r>
      <w:r>
        <w:rPr>
          <w:u w:val="single"/>
        </w:rPr>
        <w:tab/>
      </w:r>
    </w:p>
    <w:sectPr w:rsidR="003E324E" w:rsidRPr="00362236" w:rsidSect="00255189">
      <w:headerReference w:type="even" r:id="rId14"/>
      <w:headerReference w:type="default" r:id="rId15"/>
      <w:footerReference w:type="even" r:id="rId16"/>
      <w:footerReference w:type="default" r:id="rId17"/>
      <w:headerReference w:type="first" r:id="rId18"/>
      <w:endnotePr>
        <w:numFmt w:val="decimal"/>
      </w:endnotePr>
      <w:pgSz w:w="16838" w:h="11906" w:orient="landscape" w:code="9"/>
      <w:pgMar w:top="1134" w:right="1701" w:bottom="1134"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B22" w:rsidRDefault="00926B22" w:rsidP="00F95C08">
      <w:pPr>
        <w:spacing w:line="240" w:lineRule="auto"/>
      </w:pPr>
    </w:p>
  </w:endnote>
  <w:endnote w:type="continuationSeparator" w:id="0">
    <w:p w:rsidR="00926B22" w:rsidRPr="00AC3823" w:rsidRDefault="00926B22" w:rsidP="00AC3823">
      <w:pPr>
        <w:pStyle w:val="Footer"/>
      </w:pPr>
    </w:p>
  </w:endnote>
  <w:endnote w:type="continuationNotice" w:id="1">
    <w:p w:rsidR="00926B22" w:rsidRDefault="00926B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B22" w:rsidRPr="002A44B7" w:rsidRDefault="00926B22" w:rsidP="002A44B7">
    <w:pPr>
      <w:pStyle w:val="Footer"/>
      <w:tabs>
        <w:tab w:val="right" w:pos="9638"/>
      </w:tabs>
    </w:pPr>
    <w:r w:rsidRPr="002A44B7">
      <w:rPr>
        <w:b/>
        <w:sz w:val="18"/>
      </w:rPr>
      <w:fldChar w:fldCharType="begin"/>
    </w:r>
    <w:r w:rsidRPr="002A44B7">
      <w:rPr>
        <w:b/>
        <w:sz w:val="18"/>
      </w:rPr>
      <w:instrText xml:space="preserve"> PAGE  \* MERGEFORMAT </w:instrText>
    </w:r>
    <w:r w:rsidRPr="002A44B7">
      <w:rPr>
        <w:b/>
        <w:sz w:val="18"/>
      </w:rPr>
      <w:fldChar w:fldCharType="separate"/>
    </w:r>
    <w:r w:rsidR="008D1360">
      <w:rPr>
        <w:b/>
        <w:noProof/>
        <w:sz w:val="18"/>
      </w:rPr>
      <w:t>2</w:t>
    </w:r>
    <w:r w:rsidRPr="002A44B7">
      <w:rPr>
        <w:b/>
        <w:sz w:val="18"/>
      </w:rPr>
      <w:fldChar w:fldCharType="end"/>
    </w:r>
    <w:r>
      <w:rPr>
        <w:b/>
        <w:sz w:val="18"/>
      </w:rPr>
      <w:tab/>
    </w:r>
    <w:r>
      <w:t>GE.16-09304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B22" w:rsidRPr="002A44B7" w:rsidRDefault="00926B22" w:rsidP="002A44B7">
    <w:pPr>
      <w:pStyle w:val="Footer"/>
      <w:tabs>
        <w:tab w:val="right" w:pos="9638"/>
      </w:tabs>
      <w:rPr>
        <w:b/>
        <w:sz w:val="18"/>
      </w:rPr>
    </w:pPr>
    <w:r>
      <w:t>GE.16-09304</w:t>
    </w:r>
    <w:r>
      <w:tab/>
    </w:r>
    <w:r w:rsidRPr="002A44B7">
      <w:rPr>
        <w:b/>
        <w:sz w:val="18"/>
      </w:rPr>
      <w:fldChar w:fldCharType="begin"/>
    </w:r>
    <w:r w:rsidRPr="002A44B7">
      <w:rPr>
        <w:b/>
        <w:sz w:val="18"/>
      </w:rPr>
      <w:instrText xml:space="preserve"> PAGE  \* MERGEFORMAT </w:instrText>
    </w:r>
    <w:r w:rsidRPr="002A44B7">
      <w:rPr>
        <w:b/>
        <w:sz w:val="18"/>
      </w:rPr>
      <w:fldChar w:fldCharType="separate"/>
    </w:r>
    <w:r>
      <w:rPr>
        <w:b/>
        <w:noProof/>
        <w:sz w:val="18"/>
      </w:rPr>
      <w:t>3</w:t>
    </w:r>
    <w:r w:rsidRPr="002A44B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B22" w:rsidRPr="002A44B7" w:rsidRDefault="00926B22" w:rsidP="002A44B7">
    <w:pPr>
      <w:pStyle w:val="Footer"/>
      <w:spacing w:before="120"/>
      <w:rPr>
        <w:sz w:val="20"/>
      </w:rPr>
    </w:pPr>
    <w:r>
      <w:rPr>
        <w:sz w:val="20"/>
      </w:rPr>
      <w:t>GE.</w:t>
    </w:r>
    <w:r>
      <w:rPr>
        <w:noProof/>
        <w:lang w:val="en-US"/>
      </w:rPr>
      <w:drawing>
        <wp:anchor distT="0" distB="0" distL="114300" distR="114300" simplePos="0" relativeHeight="251659264" behindDoc="0" locked="0" layoutInCell="1" allowOverlap="0" wp14:anchorId="139D984B" wp14:editId="1FE82B0C">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16-09304  (F)    160616    220616</w:t>
    </w:r>
    <w:r>
      <w:rPr>
        <w:sz w:val="20"/>
      </w:rPr>
      <w:br/>
    </w:r>
    <w:r w:rsidRPr="002A44B7">
      <w:rPr>
        <w:rFonts w:ascii="C39T30Lfz" w:hAnsi="C39T30Lfz"/>
        <w:sz w:val="56"/>
      </w:rPr>
      <w:t></w:t>
    </w:r>
    <w:r w:rsidRPr="002A44B7">
      <w:rPr>
        <w:rFonts w:ascii="C39T30Lfz" w:hAnsi="C39T30Lfz"/>
        <w:sz w:val="56"/>
      </w:rPr>
      <w:t></w:t>
    </w:r>
    <w:r w:rsidRPr="002A44B7">
      <w:rPr>
        <w:rFonts w:ascii="C39T30Lfz" w:hAnsi="C39T30Lfz"/>
        <w:sz w:val="56"/>
      </w:rPr>
      <w:t></w:t>
    </w:r>
    <w:r w:rsidRPr="002A44B7">
      <w:rPr>
        <w:rFonts w:ascii="C39T30Lfz" w:hAnsi="C39T30Lfz"/>
        <w:sz w:val="56"/>
      </w:rPr>
      <w:t></w:t>
    </w:r>
    <w:r w:rsidRPr="002A44B7">
      <w:rPr>
        <w:rFonts w:ascii="C39T30Lfz" w:hAnsi="C39T30Lfz"/>
        <w:sz w:val="56"/>
      </w:rPr>
      <w:t></w:t>
    </w:r>
    <w:r w:rsidRPr="002A44B7">
      <w:rPr>
        <w:rFonts w:ascii="C39T30Lfz" w:hAnsi="C39T30Lfz"/>
        <w:sz w:val="56"/>
      </w:rPr>
      <w:t></w:t>
    </w:r>
    <w:r w:rsidRPr="002A44B7">
      <w:rPr>
        <w:rFonts w:ascii="C39T30Lfz" w:hAnsi="C39T30Lfz"/>
        <w:sz w:val="56"/>
      </w:rPr>
      <w:t></w:t>
    </w:r>
    <w:r w:rsidRPr="002A44B7">
      <w:rPr>
        <w:rFonts w:ascii="C39T30Lfz" w:hAnsi="C39T30Lfz"/>
        <w:sz w:val="56"/>
      </w:rPr>
      <w:t></w:t>
    </w:r>
    <w:r w:rsidRPr="002A44B7">
      <w:rPr>
        <w:rFonts w:ascii="C39T30Lfz" w:hAnsi="C39T30Lfz"/>
        <w:sz w:val="56"/>
      </w:rPr>
      <w:t></w:t>
    </w:r>
    <w:r>
      <w:rPr>
        <w:noProof/>
        <w:sz w:val="20"/>
        <w:lang w:val="en-US"/>
      </w:rPr>
      <w:drawing>
        <wp:anchor distT="0" distB="0" distL="114300" distR="114300" simplePos="0" relativeHeight="251660288" behindDoc="0" locked="0" layoutInCell="1" allowOverlap="1" wp14:anchorId="28C82EDF" wp14:editId="22BAEDBE">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ECE/TRANS/WP.15/AC.2/2016/49&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15/AC.2/2016/49&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B22" w:rsidRPr="00255189" w:rsidRDefault="00926B22" w:rsidP="00255189">
    <w:pPr>
      <w:pStyle w:val="Footer"/>
    </w:pPr>
    <w:r>
      <w:rPr>
        <w:noProof/>
        <w:lang w:val="en-US"/>
      </w:rPr>
      <mc:AlternateContent>
        <mc:Choice Requires="wps">
          <w:drawing>
            <wp:anchor distT="0" distB="0" distL="114300" distR="114300" simplePos="0" relativeHeight="251664384" behindDoc="0" locked="0" layoutInCell="1" allowOverlap="1">
              <wp:simplePos x="0" y="0"/>
              <wp:positionH relativeFrom="margin">
                <wp:posOffset>-431800</wp:posOffset>
              </wp:positionH>
              <wp:positionV relativeFrom="margin">
                <wp:posOffset>0</wp:posOffset>
              </wp:positionV>
              <wp:extent cx="219075" cy="612457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26B22" w:rsidRPr="002A44B7" w:rsidRDefault="00926B22" w:rsidP="00255189">
                          <w:pPr>
                            <w:pStyle w:val="Footer"/>
                            <w:tabs>
                              <w:tab w:val="right" w:pos="9638"/>
                            </w:tabs>
                          </w:pPr>
                          <w:r w:rsidRPr="002A44B7">
                            <w:rPr>
                              <w:b/>
                              <w:sz w:val="18"/>
                            </w:rPr>
                            <w:fldChar w:fldCharType="begin"/>
                          </w:r>
                          <w:r w:rsidRPr="002A44B7">
                            <w:rPr>
                              <w:b/>
                              <w:sz w:val="18"/>
                            </w:rPr>
                            <w:instrText xml:space="preserve"> PAGE  \* MERGEFORMAT </w:instrText>
                          </w:r>
                          <w:r w:rsidRPr="002A44B7">
                            <w:rPr>
                              <w:b/>
                              <w:sz w:val="18"/>
                            </w:rPr>
                            <w:fldChar w:fldCharType="separate"/>
                          </w:r>
                          <w:r w:rsidR="008D1360">
                            <w:rPr>
                              <w:b/>
                              <w:noProof/>
                              <w:sz w:val="18"/>
                            </w:rPr>
                            <w:t>16</w:t>
                          </w:r>
                          <w:r w:rsidRPr="002A44B7">
                            <w:rPr>
                              <w:b/>
                              <w:sz w:val="18"/>
                            </w:rPr>
                            <w:fldChar w:fldCharType="end"/>
                          </w:r>
                          <w:r>
                            <w:rPr>
                              <w:b/>
                              <w:sz w:val="18"/>
                            </w:rPr>
                            <w:tab/>
                          </w:r>
                          <w:r>
                            <w:t>GE.16-09304</w:t>
                          </w:r>
                        </w:p>
                        <w:p w:rsidR="00926B22" w:rsidRDefault="00926B2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7" o:spid="_x0000_s1028" type="#_x0000_t202" style="position:absolute;margin-left:-34pt;margin-top:0;width:17.25pt;height:482.25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" fillcolor="#4f81bd [3204]" stroked="f">
              <v:fill opacity="0"/>
              <v:stroke joinstyle="round"/>
              <v:path arrowok="t"/>
              <v:textbox style="layout-flow:vertical" inset="0,0,0,0">
                <w:txbxContent>
                  <w:p w:rsidR="00926B22" w:rsidRPr="002A44B7" w:rsidRDefault="00926B22" w:rsidP="00255189">
                    <w:pPr>
                      <w:pStyle w:val="Footer"/>
                      <w:tabs>
                        <w:tab w:val="right" w:pos="9638"/>
                      </w:tabs>
                    </w:pPr>
                    <w:r w:rsidRPr="002A44B7">
                      <w:rPr>
                        <w:b/>
                        <w:sz w:val="18"/>
                      </w:rPr>
                      <w:fldChar w:fldCharType="begin"/>
                    </w:r>
                    <w:r w:rsidRPr="002A44B7">
                      <w:rPr>
                        <w:b/>
                        <w:sz w:val="18"/>
                      </w:rPr>
                      <w:instrText xml:space="preserve"> PAGE  \* MERGEFORMAT </w:instrText>
                    </w:r>
                    <w:r w:rsidRPr="002A44B7">
                      <w:rPr>
                        <w:b/>
                        <w:sz w:val="18"/>
                      </w:rPr>
                      <w:fldChar w:fldCharType="separate"/>
                    </w:r>
                    <w:r w:rsidR="008D1360">
                      <w:rPr>
                        <w:b/>
                        <w:noProof/>
                        <w:sz w:val="18"/>
                      </w:rPr>
                      <w:t>16</w:t>
                    </w:r>
                    <w:r w:rsidRPr="002A44B7">
                      <w:rPr>
                        <w:b/>
                        <w:sz w:val="18"/>
                      </w:rPr>
                      <w:fldChar w:fldCharType="end"/>
                    </w:r>
                    <w:r>
                      <w:rPr>
                        <w:b/>
                        <w:sz w:val="18"/>
                      </w:rPr>
                      <w:tab/>
                    </w:r>
                    <w:r>
                      <w:t>GE.16-09304</w:t>
                    </w:r>
                  </w:p>
                  <w:p w:rsidR="00926B22" w:rsidRDefault="00926B22"/>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B22" w:rsidRPr="00255189" w:rsidRDefault="00926B22" w:rsidP="00255189">
    <w:pPr>
      <w:pStyle w:val="Footer"/>
    </w:pPr>
    <w:r>
      <w:rPr>
        <w:noProof/>
        <w:lang w:val="en-US"/>
      </w:rPr>
      <mc:AlternateContent>
        <mc:Choice Requires="wps">
          <w:drawing>
            <wp:anchor distT="0" distB="0" distL="114300" distR="114300" simplePos="0" relativeHeight="251662336" behindDoc="0" locked="0" layoutInCell="1" allowOverlap="1" wp14:anchorId="7AA64E46" wp14:editId="5915D342">
              <wp:simplePos x="0" y="0"/>
              <wp:positionH relativeFrom="margin">
                <wp:posOffset>-431800</wp:posOffset>
              </wp:positionH>
              <wp:positionV relativeFrom="margin">
                <wp:posOffset>0</wp:posOffset>
              </wp:positionV>
              <wp:extent cx="219075" cy="612457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26B22" w:rsidRPr="002A44B7" w:rsidRDefault="00926B22" w:rsidP="00255189">
                          <w:pPr>
                            <w:pStyle w:val="Footer"/>
                            <w:tabs>
                              <w:tab w:val="right" w:pos="9638"/>
                            </w:tabs>
                            <w:rPr>
                              <w:b/>
                              <w:sz w:val="18"/>
                            </w:rPr>
                          </w:pPr>
                          <w:r>
                            <w:t>GE.16-09304</w:t>
                          </w:r>
                          <w:r>
                            <w:tab/>
                          </w:r>
                          <w:r w:rsidRPr="002A44B7">
                            <w:rPr>
                              <w:b/>
                              <w:sz w:val="18"/>
                            </w:rPr>
                            <w:fldChar w:fldCharType="begin"/>
                          </w:r>
                          <w:r w:rsidRPr="002A44B7">
                            <w:rPr>
                              <w:b/>
                              <w:sz w:val="18"/>
                            </w:rPr>
                            <w:instrText xml:space="preserve"> PAGE  \* MERGEFORMAT </w:instrText>
                          </w:r>
                          <w:r w:rsidRPr="002A44B7">
                            <w:rPr>
                              <w:b/>
                              <w:sz w:val="18"/>
                            </w:rPr>
                            <w:fldChar w:fldCharType="separate"/>
                          </w:r>
                          <w:r w:rsidR="008D1360">
                            <w:rPr>
                              <w:b/>
                              <w:noProof/>
                              <w:sz w:val="18"/>
                            </w:rPr>
                            <w:t>3</w:t>
                          </w:r>
                          <w:r w:rsidRPr="002A44B7">
                            <w:rPr>
                              <w:b/>
                              <w:sz w:val="18"/>
                            </w:rPr>
                            <w:fldChar w:fldCharType="end"/>
                          </w:r>
                        </w:p>
                        <w:p w:rsidR="00926B22" w:rsidRDefault="00926B2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AA64E46" id="_x0000_t202" coordsize="21600,21600" o:spt="202" path="m,l,21600r21600,l21600,xe">
              <v:stroke joinstyle="miter"/>
              <v:path gradientshapeok="t" o:connecttype="rect"/>
            </v:shapetype>
            <v:shape id="Zone de texte 5" o:spid="_x0000_s1029" type="#_x0000_t202" style="position:absolute;margin-left:-34pt;margin-top:0;width:17.25pt;height:482.2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" fillcolor="#4f81bd [3204]" stroked="f">
              <v:fill opacity="0"/>
              <v:stroke joinstyle="round"/>
              <v:path arrowok="t"/>
              <v:textbox style="layout-flow:vertical" inset="0,0,0,0">
                <w:txbxContent>
                  <w:p w:rsidR="00926B22" w:rsidRPr="002A44B7" w:rsidRDefault="00926B22" w:rsidP="00255189">
                    <w:pPr>
                      <w:pStyle w:val="Footer"/>
                      <w:tabs>
                        <w:tab w:val="right" w:pos="9638"/>
                      </w:tabs>
                      <w:rPr>
                        <w:b/>
                        <w:sz w:val="18"/>
                      </w:rPr>
                    </w:pPr>
                    <w:r>
                      <w:t>GE.16-09304</w:t>
                    </w:r>
                    <w:r>
                      <w:tab/>
                    </w:r>
                    <w:r w:rsidRPr="002A44B7">
                      <w:rPr>
                        <w:b/>
                        <w:sz w:val="18"/>
                      </w:rPr>
                      <w:fldChar w:fldCharType="begin"/>
                    </w:r>
                    <w:r w:rsidRPr="002A44B7">
                      <w:rPr>
                        <w:b/>
                        <w:sz w:val="18"/>
                      </w:rPr>
                      <w:instrText xml:space="preserve"> PAGE  \* MERGEFORMAT </w:instrText>
                    </w:r>
                    <w:r w:rsidRPr="002A44B7">
                      <w:rPr>
                        <w:b/>
                        <w:sz w:val="18"/>
                      </w:rPr>
                      <w:fldChar w:fldCharType="separate"/>
                    </w:r>
                    <w:r w:rsidR="008D1360">
                      <w:rPr>
                        <w:b/>
                        <w:noProof/>
                        <w:sz w:val="18"/>
                      </w:rPr>
                      <w:t>3</w:t>
                    </w:r>
                    <w:r w:rsidRPr="002A44B7">
                      <w:rPr>
                        <w:b/>
                        <w:sz w:val="18"/>
                      </w:rPr>
                      <w:fldChar w:fldCharType="end"/>
                    </w:r>
                  </w:p>
                  <w:p w:rsidR="00926B22" w:rsidRDefault="00926B22"/>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B22" w:rsidRPr="00AC3823" w:rsidRDefault="00926B22" w:rsidP="00AC3823">
      <w:pPr>
        <w:pStyle w:val="Footer"/>
        <w:tabs>
          <w:tab w:val="right" w:pos="2155"/>
        </w:tabs>
        <w:spacing w:after="80" w:line="240" w:lineRule="atLeast"/>
        <w:ind w:left="680"/>
        <w:rPr>
          <w:u w:val="single"/>
        </w:rPr>
      </w:pPr>
      <w:r>
        <w:rPr>
          <w:u w:val="single"/>
        </w:rPr>
        <w:tab/>
      </w:r>
    </w:p>
  </w:footnote>
  <w:footnote w:type="continuationSeparator" w:id="0">
    <w:p w:rsidR="00926B22" w:rsidRPr="00AC3823" w:rsidRDefault="00926B22" w:rsidP="00AC3823">
      <w:pPr>
        <w:pStyle w:val="Footer"/>
        <w:tabs>
          <w:tab w:val="right" w:pos="2155"/>
        </w:tabs>
        <w:spacing w:after="80" w:line="240" w:lineRule="atLeast"/>
        <w:ind w:left="680"/>
        <w:rPr>
          <w:u w:val="single"/>
        </w:rPr>
      </w:pPr>
      <w:r>
        <w:rPr>
          <w:u w:val="single"/>
        </w:rPr>
        <w:tab/>
      </w:r>
    </w:p>
  </w:footnote>
  <w:footnote w:type="continuationNotice" w:id="1">
    <w:p w:rsidR="00926B22" w:rsidRPr="00AC3823" w:rsidRDefault="00926B22">
      <w:pPr>
        <w:spacing w:line="240" w:lineRule="auto"/>
        <w:rPr>
          <w:sz w:val="2"/>
          <w:szCs w:val="2"/>
        </w:rPr>
      </w:pPr>
    </w:p>
  </w:footnote>
  <w:footnote w:id="2">
    <w:p w:rsidR="00926B22" w:rsidRPr="00CB76B0" w:rsidRDefault="00926B22" w:rsidP="002A44B7">
      <w:pPr>
        <w:pStyle w:val="FootnoteText"/>
      </w:pPr>
      <w:r>
        <w:tab/>
      </w:r>
      <w:r w:rsidRPr="00AA76D6">
        <w:rPr>
          <w:rStyle w:val="FootnoteReference"/>
        </w:rPr>
        <w:footnoteRef/>
      </w:r>
      <w:r w:rsidRPr="00CB76B0">
        <w:tab/>
        <w:t>Distribué</w:t>
      </w:r>
      <w:r w:rsidR="005E3FCE">
        <w:t>e</w:t>
      </w:r>
      <w:r w:rsidRPr="00CB76B0">
        <w:t xml:space="preserve"> en langue allemande par la Commission centrale pour la navigation du Rhin, sous la cote</w:t>
      </w:r>
      <w:r>
        <w:t xml:space="preserve"> </w:t>
      </w:r>
      <w:r w:rsidRPr="00CB76B0">
        <w:t>CCNR-ZKR/ADN/WP.15/AC.2/2016/49.</w:t>
      </w:r>
    </w:p>
  </w:footnote>
  <w:footnote w:id="3">
    <w:p w:rsidR="00926B22" w:rsidRPr="00CB76B0" w:rsidRDefault="00926B22" w:rsidP="002A44B7">
      <w:pPr>
        <w:pStyle w:val="FootnoteText"/>
      </w:pPr>
      <w:r w:rsidRPr="00CB76B0">
        <w:tab/>
      </w:r>
      <w:r w:rsidRPr="00AA76D6">
        <w:rPr>
          <w:rStyle w:val="FootnoteReference"/>
        </w:rPr>
        <w:footnoteRef/>
      </w:r>
      <w:r w:rsidRPr="00CB76B0">
        <w:tab/>
        <w:t>Conformément au programme de tra</w:t>
      </w:r>
      <w:r>
        <w:t>v</w:t>
      </w:r>
      <w:r w:rsidRPr="00CB76B0">
        <w:t xml:space="preserve">ail du Comité des transports </w:t>
      </w:r>
      <w:r>
        <w:t>intérieurs pour la période 2016</w:t>
      </w:r>
      <w:r>
        <w:noBreakHyphen/>
      </w:r>
      <w:r w:rsidRPr="00CB76B0">
        <w:t xml:space="preserve">2017 </w:t>
      </w:r>
      <w:r>
        <w:t>(ECE/TRANS/2016/28/Add.1 (9.3.))</w:t>
      </w:r>
      <w:r w:rsidRPr="00CB76B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B22" w:rsidRPr="002A44B7" w:rsidRDefault="00926B22">
    <w:pPr>
      <w:pStyle w:val="Header"/>
    </w:pPr>
    <w:r>
      <w:t>ECE/TRANS/WP.15/AC.2/2016/49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B22" w:rsidRPr="002A44B7" w:rsidRDefault="00926B22" w:rsidP="002A44B7">
    <w:pPr>
      <w:pStyle w:val="Header"/>
      <w:jc w:val="right"/>
    </w:pPr>
    <w:r>
      <w:t>ECE/TRANS/WP.15/AC.2/2016/49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B22" w:rsidRPr="00255189" w:rsidRDefault="00926B22" w:rsidP="00255189">
    <w:r>
      <w:rPr>
        <w:noProof/>
        <w:lang w:val="en-US"/>
      </w:rPr>
      <mc:AlternateContent>
        <mc:Choice Requires="wps">
          <w:drawing>
            <wp:anchor distT="0" distB="0" distL="114300" distR="114300" simplePos="0" relativeHeight="251663360" behindDoc="0" locked="0" layoutInCell="1" allowOverlap="1" wp14:anchorId="18A6E9E0" wp14:editId="5666EA60">
              <wp:simplePos x="0" y="0"/>
              <wp:positionH relativeFrom="page">
                <wp:posOffset>9791700</wp:posOffset>
              </wp:positionH>
              <wp:positionV relativeFrom="margin">
                <wp:posOffset>0</wp:posOffset>
              </wp:positionV>
              <wp:extent cx="219075" cy="612457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26B22" w:rsidRPr="002A44B7" w:rsidRDefault="00926B22" w:rsidP="00255189">
                          <w:pPr>
                            <w:pStyle w:val="Header"/>
                          </w:pPr>
                          <w:r>
                            <w:t>ECE/TRANS/WP.15/AC.2/2016/49</w:t>
                          </w:r>
                        </w:p>
                        <w:p w:rsidR="00926B22" w:rsidRDefault="00926B2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8A6E9E0" id="_x0000_t202" coordsize="21600,21600" o:spt="202" path="m,l,21600r21600,l21600,xe">
              <v:stroke joinstyle="miter"/>
              <v:path gradientshapeok="t" o:connecttype="rect"/>
            </v:shapetype>
            <v:shape id="Zone de texte 6" o:spid="_x0000_s1026" type="#_x0000_t202" style="position:absolute;margin-left:771pt;margin-top:0;width:17.25pt;height:482.25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" fillcolor="#4f81bd [3204]" stroked="f">
              <v:fill opacity="0"/>
              <v:stroke joinstyle="round"/>
              <v:path arrowok="t"/>
              <v:textbox style="layout-flow:vertical" inset="0,0,0,0">
                <w:txbxContent>
                  <w:p w:rsidR="00926B22" w:rsidRPr="002A44B7" w:rsidRDefault="00926B22" w:rsidP="00255189">
                    <w:pPr>
                      <w:pStyle w:val="Header"/>
                    </w:pPr>
                    <w:r>
                      <w:t>ECE/TRANS/WP.15/AC.2/2016/49</w:t>
                    </w:r>
                  </w:p>
                  <w:p w:rsidR="00926B22" w:rsidRDefault="00926B22"/>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B22" w:rsidRPr="00255189" w:rsidRDefault="00926B22" w:rsidP="00255189">
    <w:r>
      <w:rPr>
        <w:noProof/>
        <w:lang w:val="en-US"/>
      </w:rPr>
      <mc:AlternateContent>
        <mc:Choice Requires="wps">
          <w:drawing>
            <wp:anchor distT="0" distB="0" distL="114300" distR="114300" simplePos="0" relativeHeight="251661312" behindDoc="0" locked="0" layoutInCell="1" allowOverlap="1" wp14:anchorId="453A40F6" wp14:editId="66DB0045">
              <wp:simplePos x="0" y="0"/>
              <wp:positionH relativeFrom="page">
                <wp:posOffset>9791700</wp:posOffset>
              </wp:positionH>
              <wp:positionV relativeFrom="margin">
                <wp:posOffset>0</wp:posOffset>
              </wp:positionV>
              <wp:extent cx="219075" cy="612457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accent1">
                          <a:alpha val="0"/>
                        </a:schemeClr>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26B22" w:rsidRPr="002A44B7" w:rsidRDefault="00926B22" w:rsidP="00255189">
                          <w:pPr>
                            <w:pStyle w:val="Header"/>
                            <w:jc w:val="right"/>
                          </w:pPr>
                          <w:r>
                            <w:t>ECE/TRANS/WP.15/AC.2/2016/49</w:t>
                          </w:r>
                        </w:p>
                        <w:p w:rsidR="00926B22" w:rsidRDefault="00926B22"/>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53A40F6" id="_x0000_t202" coordsize="21600,21600" o:spt="202" path="m,l,21600r21600,l21600,xe">
              <v:stroke joinstyle="miter"/>
              <v:path gradientshapeok="t" o:connecttype="rect"/>
            </v:shapetype>
            <v:shape id="Zone de texte 4" o:spid="_x0000_s1027" type="#_x0000_t202" style="position:absolute;margin-left:771pt;margin-top:0;width:17.25pt;height:482.25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" fillcolor="#4f81bd [3204]" stroked="f">
              <v:fill opacity="0"/>
              <v:stroke joinstyle="round"/>
              <v:path arrowok="t"/>
              <v:textbox style="layout-flow:vertical" inset="0,0,0,0">
                <w:txbxContent>
                  <w:p w:rsidR="00926B22" w:rsidRPr="002A44B7" w:rsidRDefault="00926B22" w:rsidP="00255189">
                    <w:pPr>
                      <w:pStyle w:val="Header"/>
                      <w:jc w:val="right"/>
                    </w:pPr>
                    <w:r>
                      <w:t>ECE/TRANS/WP.15/AC.2/2016/49</w:t>
                    </w:r>
                  </w:p>
                  <w:p w:rsidR="00926B22" w:rsidRDefault="00926B22"/>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B22" w:rsidRDefault="00926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0"/>
  </w:num>
  <w:num w:numId="16">
    <w:abstractNumId w:val="12"/>
  </w:num>
  <w:num w:numId="17">
    <w:abstractNumId w:val="12"/>
  </w:num>
  <w:num w:numId="18">
    <w:abstractNumId w:val="12"/>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BD"/>
    <w:rsid w:val="00017F94"/>
    <w:rsid w:val="00023842"/>
    <w:rsid w:val="000269D4"/>
    <w:rsid w:val="000334F9"/>
    <w:rsid w:val="00034648"/>
    <w:rsid w:val="0007796D"/>
    <w:rsid w:val="00086CBF"/>
    <w:rsid w:val="000B7790"/>
    <w:rsid w:val="000F21C2"/>
    <w:rsid w:val="00111F2F"/>
    <w:rsid w:val="0014365E"/>
    <w:rsid w:val="00143C66"/>
    <w:rsid w:val="00176178"/>
    <w:rsid w:val="001F525A"/>
    <w:rsid w:val="00223272"/>
    <w:rsid w:val="0023686D"/>
    <w:rsid w:val="0024779E"/>
    <w:rsid w:val="00255189"/>
    <w:rsid w:val="00257168"/>
    <w:rsid w:val="002744B8"/>
    <w:rsid w:val="002832AC"/>
    <w:rsid w:val="002A44B7"/>
    <w:rsid w:val="002D7C93"/>
    <w:rsid w:val="00305801"/>
    <w:rsid w:val="00310024"/>
    <w:rsid w:val="00321934"/>
    <w:rsid w:val="00330C3F"/>
    <w:rsid w:val="00362236"/>
    <w:rsid w:val="003916DE"/>
    <w:rsid w:val="003E324E"/>
    <w:rsid w:val="00441C3B"/>
    <w:rsid w:val="00446FE5"/>
    <w:rsid w:val="00452396"/>
    <w:rsid w:val="00457AC8"/>
    <w:rsid w:val="004837D8"/>
    <w:rsid w:val="004A7690"/>
    <w:rsid w:val="004E468C"/>
    <w:rsid w:val="004F0E8E"/>
    <w:rsid w:val="004F7FA4"/>
    <w:rsid w:val="005505B7"/>
    <w:rsid w:val="00573BE5"/>
    <w:rsid w:val="00585556"/>
    <w:rsid w:val="00586ED3"/>
    <w:rsid w:val="00596AA9"/>
    <w:rsid w:val="005B1CF1"/>
    <w:rsid w:val="005E3FCE"/>
    <w:rsid w:val="00606D65"/>
    <w:rsid w:val="006424BD"/>
    <w:rsid w:val="00697ADC"/>
    <w:rsid w:val="0071601D"/>
    <w:rsid w:val="007A62E6"/>
    <w:rsid w:val="007F20FA"/>
    <w:rsid w:val="00806521"/>
    <w:rsid w:val="0080684C"/>
    <w:rsid w:val="00854712"/>
    <w:rsid w:val="00871C75"/>
    <w:rsid w:val="008776DC"/>
    <w:rsid w:val="008D1360"/>
    <w:rsid w:val="00926B22"/>
    <w:rsid w:val="00955DDE"/>
    <w:rsid w:val="009705C8"/>
    <w:rsid w:val="009B72EA"/>
    <w:rsid w:val="009C1CF4"/>
    <w:rsid w:val="009F6B74"/>
    <w:rsid w:val="00A30121"/>
    <w:rsid w:val="00A30353"/>
    <w:rsid w:val="00A96454"/>
    <w:rsid w:val="00AC3823"/>
    <w:rsid w:val="00AD2020"/>
    <w:rsid w:val="00AE323C"/>
    <w:rsid w:val="00AF0CB5"/>
    <w:rsid w:val="00B00181"/>
    <w:rsid w:val="00B00B0D"/>
    <w:rsid w:val="00B412CD"/>
    <w:rsid w:val="00B62CCE"/>
    <w:rsid w:val="00B765F7"/>
    <w:rsid w:val="00BA0CA9"/>
    <w:rsid w:val="00C02897"/>
    <w:rsid w:val="00C31229"/>
    <w:rsid w:val="00D050B6"/>
    <w:rsid w:val="00D30384"/>
    <w:rsid w:val="00D3439C"/>
    <w:rsid w:val="00DB0405"/>
    <w:rsid w:val="00DB1831"/>
    <w:rsid w:val="00DC3221"/>
    <w:rsid w:val="00DD3BFD"/>
    <w:rsid w:val="00DF6678"/>
    <w:rsid w:val="00E1202C"/>
    <w:rsid w:val="00E85C74"/>
    <w:rsid w:val="00EA654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9606F93-C665-41F0-B440-05FB6AAA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AC"/>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4837D8"/>
    <w:rPr>
      <w:color w:val="0000FF"/>
      <w:u w:val="none"/>
    </w:rPr>
  </w:style>
  <w:style w:type="character" w:styleId="FollowedHyperlink">
    <w:name w:val="FollowedHyperlink"/>
    <w:basedOn w:val="DefaultParagraphFont"/>
    <w:unhideWhenUsed/>
    <w:rsid w:val="004837D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4CAC-7E87-4892-829E-67D8EF42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5342</Words>
  <Characters>30453</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ECE/TRANS/WP.15/AC.2/2016/49</vt:lpstr>
      <vt:lpstr>ECE/TRANS/WP.15/AC.2/2016/49</vt:lpstr>
    </vt:vector>
  </TitlesOfParts>
  <Company>DCM</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ECE/TRANS/WP.15/AC.2/2016/49</dc:title>
  <dc:subject>Final</dc:subject>
  <dc:creator>Julien Okrzesik</dc:creator>
  <cp:keywords/>
  <dc:description/>
  <cp:lastModifiedBy>Lucille Caillot</cp:lastModifiedBy>
  <cp:revision>2</cp:revision>
  <cp:lastPrinted>2014-05-14T10:59:00Z</cp:lastPrinted>
  <dcterms:created xsi:type="dcterms:W3CDTF">2016-06-23T12:02:00Z</dcterms:created>
  <dcterms:modified xsi:type="dcterms:W3CDTF">2016-06-23T12:02:00Z</dcterms:modified>
</cp:coreProperties>
</file>