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944F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944FD" w:rsidP="00B944FD">
            <w:pPr>
              <w:jc w:val="right"/>
            </w:pPr>
            <w:r w:rsidRPr="00B944FD">
              <w:rPr>
                <w:sz w:val="40"/>
              </w:rPr>
              <w:t>ECE</w:t>
            </w:r>
            <w:r>
              <w:t>/TRANS/WP.15/AC.2/2016/45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944FD" w:rsidP="00892A2F">
            <w:pPr>
              <w:spacing w:before="240"/>
            </w:pPr>
            <w:r>
              <w:t>Distr. générale</w:t>
            </w:r>
          </w:p>
          <w:p w:rsidR="00B944FD" w:rsidRDefault="00B944FD" w:rsidP="00B944FD">
            <w:pPr>
              <w:spacing w:line="240" w:lineRule="exact"/>
            </w:pPr>
            <w:r>
              <w:t>8 juin 2016</w:t>
            </w:r>
          </w:p>
          <w:p w:rsidR="00B944FD" w:rsidRDefault="00B944FD" w:rsidP="00B944FD">
            <w:pPr>
              <w:spacing w:line="240" w:lineRule="exact"/>
            </w:pPr>
            <w:r>
              <w:t>Français</w:t>
            </w:r>
          </w:p>
          <w:p w:rsidR="00B944FD" w:rsidRPr="00DB58B5" w:rsidRDefault="00B944FD" w:rsidP="00B944F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B357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524E2" w:rsidRPr="009E01B8" w:rsidRDefault="00C524E2"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C524E2" w:rsidRPr="004812F5" w:rsidRDefault="00C524E2"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B944FD" w:rsidRPr="00B944FD" w:rsidRDefault="00B944FD" w:rsidP="00B944FD">
      <w:pPr>
        <w:spacing w:before="120"/>
        <w:rPr>
          <w:b/>
          <w:bCs/>
          <w:lang w:val="fr-FR"/>
        </w:rPr>
      </w:pPr>
      <w:r w:rsidRPr="00B944FD">
        <w:rPr>
          <w:b/>
          <w:lang w:val="fr-FR"/>
        </w:rPr>
        <w:t>Vingt-neuvième session</w:t>
      </w:r>
    </w:p>
    <w:p w:rsidR="00B944FD" w:rsidRPr="00B944FD" w:rsidRDefault="00B944FD" w:rsidP="00B944FD">
      <w:pPr>
        <w:rPr>
          <w:lang w:val="fr-FR"/>
        </w:rPr>
      </w:pPr>
      <w:r w:rsidRPr="00B944FD">
        <w:rPr>
          <w:lang w:val="fr-FR"/>
        </w:rPr>
        <w:t>Genève, 22-26 août 2016</w:t>
      </w:r>
    </w:p>
    <w:p w:rsidR="00B944FD" w:rsidRPr="00B944FD" w:rsidRDefault="00B944FD" w:rsidP="00B944FD">
      <w:pPr>
        <w:rPr>
          <w:lang w:val="fr-FR"/>
        </w:rPr>
      </w:pPr>
      <w:r w:rsidRPr="00B944FD">
        <w:rPr>
          <w:lang w:val="fr-FR"/>
        </w:rPr>
        <w:t>Point 4 b) de l</w:t>
      </w:r>
      <w:r w:rsidR="00FB3576">
        <w:rPr>
          <w:lang w:val="fr-FR"/>
        </w:rPr>
        <w:t>’</w:t>
      </w:r>
      <w:r w:rsidRPr="00B944FD">
        <w:rPr>
          <w:lang w:val="fr-FR"/>
        </w:rPr>
        <w:t>ordre du jour provisoire</w:t>
      </w:r>
    </w:p>
    <w:p w:rsidR="00B944FD" w:rsidRPr="00B944FD" w:rsidRDefault="00B944FD" w:rsidP="00B944FD">
      <w:pPr>
        <w:rPr>
          <w:b/>
          <w:bCs/>
          <w:lang w:val="fr-FR"/>
        </w:rPr>
      </w:pPr>
      <w:r w:rsidRPr="00B944FD">
        <w:rPr>
          <w:b/>
          <w:lang w:val="fr-FR"/>
        </w:rPr>
        <w:t>Propositions d</w:t>
      </w:r>
      <w:r w:rsidR="00FB3576">
        <w:rPr>
          <w:b/>
          <w:lang w:val="fr-FR"/>
        </w:rPr>
        <w:t>’</w:t>
      </w:r>
      <w:r w:rsidRPr="00B944FD">
        <w:rPr>
          <w:b/>
          <w:lang w:val="fr-FR"/>
        </w:rPr>
        <w:t>amendements au Règlement annexé à l</w:t>
      </w:r>
      <w:r w:rsidR="00FB3576">
        <w:rPr>
          <w:b/>
          <w:lang w:val="fr-FR"/>
        </w:rPr>
        <w:t>’</w:t>
      </w:r>
      <w:r w:rsidRPr="00B944FD">
        <w:rPr>
          <w:b/>
          <w:lang w:val="fr-FR"/>
        </w:rPr>
        <w:t>ADN</w:t>
      </w:r>
      <w:r>
        <w:rPr>
          <w:b/>
          <w:lang w:val="fr-FR"/>
        </w:rPr>
        <w:t> </w:t>
      </w:r>
      <w:r w:rsidRPr="00B944FD">
        <w:rPr>
          <w:b/>
          <w:lang w:val="fr-FR"/>
        </w:rPr>
        <w:t>:</w:t>
      </w:r>
    </w:p>
    <w:p w:rsidR="00F9573C" w:rsidRDefault="00B944FD" w:rsidP="00B944FD">
      <w:pPr>
        <w:rPr>
          <w:b/>
          <w:lang w:val="fr-FR"/>
        </w:rPr>
      </w:pPr>
      <w:r w:rsidRPr="00B944FD">
        <w:rPr>
          <w:b/>
          <w:lang w:val="fr-FR"/>
        </w:rPr>
        <w:t>autres propositions</w:t>
      </w:r>
    </w:p>
    <w:p w:rsidR="00B944FD" w:rsidRPr="00CF47E4" w:rsidRDefault="00B944FD" w:rsidP="00B944FD">
      <w:pPr>
        <w:pStyle w:val="HChG"/>
        <w:rPr>
          <w:lang w:val="fr-FR"/>
        </w:rPr>
      </w:pPr>
      <w:r w:rsidRPr="00CF47E4">
        <w:rPr>
          <w:lang w:val="fr-FR"/>
        </w:rPr>
        <w:tab/>
      </w:r>
      <w:r w:rsidRPr="00CF47E4">
        <w:rPr>
          <w:lang w:val="fr-FR"/>
        </w:rPr>
        <w:tab/>
      </w:r>
      <w:r w:rsidRPr="00EE185C">
        <w:rPr>
          <w:lang w:val="fr-FR"/>
        </w:rPr>
        <w:t>Gattes de réception</w:t>
      </w:r>
    </w:p>
    <w:p w:rsidR="00B944FD" w:rsidRPr="00B944FD" w:rsidRDefault="00B944FD" w:rsidP="00B944FD">
      <w:pPr>
        <w:pStyle w:val="H1G"/>
        <w:rPr>
          <w:lang w:val="fr-FR"/>
        </w:rPr>
      </w:pPr>
      <w:r w:rsidRPr="00CF47E4">
        <w:rPr>
          <w:lang w:val="fr-FR"/>
        </w:rPr>
        <w:tab/>
      </w:r>
      <w:r w:rsidRPr="00CF47E4">
        <w:rPr>
          <w:lang w:val="fr-FR"/>
        </w:rPr>
        <w:tab/>
        <w:t>Communication du Gouvernement néerlandais</w:t>
      </w:r>
      <w:r w:rsidRPr="00B944FD">
        <w:rPr>
          <w:b w:val="0"/>
          <w:sz w:val="18"/>
          <w:szCs w:val="18"/>
          <w:vertAlign w:val="superscript"/>
          <w:lang w:val="fr-FR"/>
        </w:rPr>
        <w:footnoteReference w:id="2"/>
      </w:r>
      <w:r>
        <w:rPr>
          <w:b w:val="0"/>
          <w:sz w:val="18"/>
          <w:szCs w:val="18"/>
          <w:vertAlign w:val="superscript"/>
          <w:lang w:val="fr-FR"/>
        </w:rPr>
        <w:t>,</w:t>
      </w:r>
      <w:r w:rsidRPr="00B944FD">
        <w:rPr>
          <w:b w:val="0"/>
          <w:sz w:val="18"/>
          <w:szCs w:val="18"/>
          <w:vertAlign w:val="superscript"/>
          <w:lang w:val="fr-FR"/>
        </w:rPr>
        <w:t xml:space="preserve"> </w:t>
      </w:r>
      <w:r w:rsidRPr="00B944FD">
        <w:rPr>
          <w:b w:val="0"/>
          <w:sz w:val="18"/>
          <w:szCs w:val="18"/>
          <w:vertAlign w:val="superscript"/>
          <w:lang w:val="fr-FR"/>
        </w:rPr>
        <w:footnoteReference w:id="3"/>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944FD" w:rsidTr="00216E0F">
        <w:trPr>
          <w:jc w:val="center"/>
        </w:trPr>
        <w:tc>
          <w:tcPr>
            <w:tcW w:w="9637" w:type="dxa"/>
            <w:shd w:val="clear" w:color="auto" w:fill="auto"/>
          </w:tcPr>
          <w:p w:rsidR="00B944FD" w:rsidRPr="000001E7" w:rsidRDefault="00B944FD" w:rsidP="00216E0F">
            <w:pPr>
              <w:spacing w:before="240" w:after="120"/>
              <w:ind w:left="255"/>
              <w:rPr>
                <w:i/>
                <w:sz w:val="24"/>
              </w:rPr>
            </w:pPr>
            <w:r w:rsidRPr="000001E7">
              <w:rPr>
                <w:i/>
                <w:sz w:val="24"/>
              </w:rPr>
              <w:t>Résumé</w:t>
            </w:r>
          </w:p>
        </w:tc>
      </w:tr>
      <w:tr w:rsidR="00B944FD" w:rsidTr="00216E0F">
        <w:trPr>
          <w:jc w:val="center"/>
        </w:trPr>
        <w:tc>
          <w:tcPr>
            <w:tcW w:w="9637" w:type="dxa"/>
            <w:shd w:val="clear" w:color="auto" w:fill="auto"/>
          </w:tcPr>
          <w:p w:rsidR="00B944FD" w:rsidRDefault="00B944FD" w:rsidP="00B944FD">
            <w:pPr>
              <w:pStyle w:val="SingleTxtG"/>
              <w:ind w:left="2523" w:hanging="2268"/>
            </w:pPr>
            <w:r w:rsidRPr="00EE185C">
              <w:rPr>
                <w:b/>
                <w:szCs w:val="24"/>
                <w:lang w:val="fr-FR"/>
              </w:rPr>
              <w:t>R</w:t>
            </w:r>
            <w:r w:rsidRPr="00CF47E4">
              <w:rPr>
                <w:b/>
                <w:szCs w:val="24"/>
                <w:lang w:val="fr-FR"/>
              </w:rPr>
              <w:t>ésumé analytique</w:t>
            </w:r>
            <w:r>
              <w:rPr>
                <w:b/>
                <w:szCs w:val="24"/>
                <w:lang w:val="fr-FR"/>
              </w:rPr>
              <w:t> </w:t>
            </w:r>
            <w:r w:rsidRPr="002A566C">
              <w:rPr>
                <w:b/>
              </w:rPr>
              <w:t>:</w:t>
            </w:r>
            <w:r>
              <w:rPr>
                <w:b/>
              </w:rPr>
              <w:tab/>
            </w:r>
            <w:r w:rsidRPr="00EE185C">
              <w:rPr>
                <w:rFonts w:eastAsia="SimSun"/>
                <w:bCs/>
                <w:szCs w:val="24"/>
                <w:lang w:val="fr-FR"/>
              </w:rPr>
              <w:t>S</w:t>
            </w:r>
            <w:r w:rsidR="00FB3576">
              <w:rPr>
                <w:rFonts w:eastAsia="SimSun"/>
                <w:bCs/>
                <w:szCs w:val="24"/>
                <w:lang w:val="fr-FR"/>
              </w:rPr>
              <w:t>’</w:t>
            </w:r>
            <w:r w:rsidRPr="00EE185C">
              <w:rPr>
                <w:rFonts w:eastAsia="SimSun"/>
                <w:bCs/>
                <w:szCs w:val="24"/>
                <w:lang w:val="fr-FR"/>
              </w:rPr>
              <w:t>assurer que les gattes de réception dans les chambres de pompes sous pont et les récipients sous les raccords de tuyauterie sur le pont (collecteurs) sont propres et exempts de produits</w:t>
            </w:r>
            <w:r w:rsidRPr="00CF47E4">
              <w:rPr>
                <w:rFonts w:eastAsia="SimSun"/>
                <w:bCs/>
                <w:szCs w:val="24"/>
                <w:lang w:val="fr-FR"/>
              </w:rPr>
              <w:t>.</w:t>
            </w:r>
          </w:p>
        </w:tc>
      </w:tr>
      <w:tr w:rsidR="00B944FD" w:rsidTr="00216E0F">
        <w:trPr>
          <w:jc w:val="center"/>
        </w:trPr>
        <w:tc>
          <w:tcPr>
            <w:tcW w:w="9637" w:type="dxa"/>
            <w:shd w:val="clear" w:color="auto" w:fill="auto"/>
          </w:tcPr>
          <w:p w:rsidR="00B944FD" w:rsidRPr="002A566C" w:rsidRDefault="00B944FD" w:rsidP="00B944FD">
            <w:pPr>
              <w:pStyle w:val="SingleTxtG"/>
              <w:ind w:left="2523" w:hanging="2268"/>
              <w:rPr>
                <w:b/>
              </w:rPr>
            </w:pPr>
            <w:r>
              <w:rPr>
                <w:b/>
              </w:rPr>
              <w:t>Mesure à prendre :</w:t>
            </w:r>
            <w:r>
              <w:rPr>
                <w:b/>
              </w:rPr>
              <w:tab/>
            </w:r>
            <w:r w:rsidRPr="00EE185C">
              <w:rPr>
                <w:rFonts w:eastAsia="SimSun"/>
                <w:szCs w:val="24"/>
                <w:lang w:val="fr-FR"/>
              </w:rPr>
              <w:t xml:space="preserve">Modifier le </w:t>
            </w:r>
            <w:r w:rsidRPr="00CF47E4">
              <w:rPr>
                <w:rFonts w:eastAsia="SimSun"/>
                <w:szCs w:val="24"/>
                <w:lang w:val="fr-FR"/>
              </w:rPr>
              <w:t xml:space="preserve">7.2.4.16.5 </w:t>
            </w:r>
            <w:r w:rsidRPr="00EE185C">
              <w:rPr>
                <w:rFonts w:eastAsia="SimSun"/>
                <w:szCs w:val="24"/>
                <w:lang w:val="fr-FR"/>
              </w:rPr>
              <w:t xml:space="preserve">et le </w:t>
            </w:r>
            <w:r w:rsidRPr="00CF47E4">
              <w:rPr>
                <w:rFonts w:eastAsia="SimSun"/>
                <w:szCs w:val="24"/>
                <w:lang w:val="fr-FR"/>
              </w:rPr>
              <w:t>8.6.3 (question 8)</w:t>
            </w:r>
            <w:r w:rsidRPr="00EE185C">
              <w:rPr>
                <w:rFonts w:eastAsia="SimSun"/>
                <w:szCs w:val="24"/>
                <w:lang w:val="fr-FR"/>
              </w:rPr>
              <w:t>.</w:t>
            </w:r>
          </w:p>
        </w:tc>
      </w:tr>
      <w:tr w:rsidR="00B944FD" w:rsidTr="00216E0F">
        <w:trPr>
          <w:jc w:val="center"/>
        </w:trPr>
        <w:tc>
          <w:tcPr>
            <w:tcW w:w="9637" w:type="dxa"/>
            <w:shd w:val="clear" w:color="auto" w:fill="auto"/>
          </w:tcPr>
          <w:p w:rsidR="00B944FD" w:rsidRPr="002A566C" w:rsidRDefault="00B944FD" w:rsidP="00B944FD">
            <w:pPr>
              <w:pStyle w:val="SingleTxtG"/>
              <w:ind w:left="2523" w:hanging="2268"/>
              <w:rPr>
                <w:b/>
              </w:rPr>
            </w:pPr>
            <w:r w:rsidRPr="002A566C">
              <w:rPr>
                <w:b/>
              </w:rPr>
              <w:t>Documents de référence</w:t>
            </w:r>
            <w:r>
              <w:rPr>
                <w:b/>
              </w:rPr>
              <w:t> </w:t>
            </w:r>
            <w:r w:rsidRPr="002A566C">
              <w:rPr>
                <w:b/>
              </w:rPr>
              <w:t>:</w:t>
            </w:r>
            <w:r>
              <w:rPr>
                <w:b/>
              </w:rPr>
              <w:tab/>
            </w:r>
            <w:r w:rsidRPr="00EE185C">
              <w:rPr>
                <w:szCs w:val="24"/>
                <w:lang w:val="fr-FR"/>
              </w:rPr>
              <w:t>Aucun</w:t>
            </w:r>
          </w:p>
        </w:tc>
      </w:tr>
      <w:tr w:rsidR="00B944FD" w:rsidTr="00216E0F">
        <w:trPr>
          <w:jc w:val="center"/>
        </w:trPr>
        <w:tc>
          <w:tcPr>
            <w:tcW w:w="9637" w:type="dxa"/>
            <w:shd w:val="clear" w:color="auto" w:fill="auto"/>
          </w:tcPr>
          <w:p w:rsidR="00B944FD" w:rsidRDefault="00B944FD" w:rsidP="00216E0F"/>
        </w:tc>
      </w:tr>
    </w:tbl>
    <w:p w:rsidR="00B944FD" w:rsidRPr="00B944FD" w:rsidRDefault="00B944FD" w:rsidP="00B944FD">
      <w:pPr>
        <w:pStyle w:val="HChG"/>
        <w:rPr>
          <w:lang w:val="fr-FR"/>
        </w:rPr>
      </w:pPr>
      <w:r>
        <w:br w:type="page"/>
      </w:r>
      <w:r w:rsidRPr="00B944FD">
        <w:rPr>
          <w:lang w:val="fr-FR"/>
        </w:rPr>
        <w:lastRenderedPageBreak/>
        <w:tab/>
        <w:t>I.</w:t>
      </w:r>
      <w:r w:rsidRPr="00B944FD">
        <w:rPr>
          <w:lang w:val="fr-FR"/>
        </w:rPr>
        <w:tab/>
        <w:t>Introduction</w:t>
      </w:r>
    </w:p>
    <w:p w:rsidR="00B944FD" w:rsidRPr="00B944FD" w:rsidRDefault="00B944FD" w:rsidP="00B944FD">
      <w:pPr>
        <w:pStyle w:val="SingleTxtG"/>
        <w:numPr>
          <w:ilvl w:val="0"/>
          <w:numId w:val="15"/>
        </w:numPr>
        <w:ind w:left="1134" w:firstLine="0"/>
        <w:rPr>
          <w:lang w:val="fr-FR"/>
        </w:rPr>
      </w:pPr>
      <w:r w:rsidRPr="00B944FD">
        <w:rPr>
          <w:lang w:val="fr-FR"/>
        </w:rPr>
        <w:t>Au 7.2.3.2.1 de l</w:t>
      </w:r>
      <w:r w:rsidR="00FB3576">
        <w:rPr>
          <w:lang w:val="fr-FR"/>
        </w:rPr>
        <w:t>’</w:t>
      </w:r>
      <w:r w:rsidRPr="00B944FD">
        <w:rPr>
          <w:lang w:val="fr-FR"/>
        </w:rPr>
        <w:t>ADN, il est dit que les gattes de réception, qui se trouvent dans les chambres de pompes sous pont, doivent être tenues propres et exemptes de produits. Cette prescription a pour but de s</w:t>
      </w:r>
      <w:r w:rsidR="00FB3576">
        <w:rPr>
          <w:lang w:val="fr-FR"/>
        </w:rPr>
        <w:t>’</w:t>
      </w:r>
      <w:r w:rsidRPr="00B944FD">
        <w:rPr>
          <w:lang w:val="fr-FR"/>
        </w:rPr>
        <w:t>assurer que le personnel à bord du bateau n</w:t>
      </w:r>
      <w:r w:rsidR="00FB3576">
        <w:rPr>
          <w:lang w:val="fr-FR"/>
        </w:rPr>
        <w:t>’</w:t>
      </w:r>
      <w:r w:rsidRPr="00B944FD">
        <w:rPr>
          <w:lang w:val="fr-FR"/>
        </w:rPr>
        <w:t>est pas exposé aux vapeurs dégagées par les matières se trouvant dans les gattes.</w:t>
      </w:r>
    </w:p>
    <w:p w:rsidR="00B944FD" w:rsidRPr="00B944FD" w:rsidRDefault="00B944FD" w:rsidP="00B944FD">
      <w:pPr>
        <w:pStyle w:val="SingleTxtG"/>
        <w:numPr>
          <w:ilvl w:val="0"/>
          <w:numId w:val="15"/>
        </w:numPr>
        <w:ind w:left="1134" w:firstLine="0"/>
        <w:rPr>
          <w:lang w:val="fr-FR"/>
        </w:rPr>
      </w:pPr>
      <w:r w:rsidRPr="00B944FD">
        <w:rPr>
          <w:lang w:val="fr-FR"/>
        </w:rPr>
        <w:t>Au 7.2.4.16.5 de l</w:t>
      </w:r>
      <w:r w:rsidR="00FB3576">
        <w:rPr>
          <w:lang w:val="fr-FR"/>
        </w:rPr>
        <w:t>’</w:t>
      </w:r>
      <w:r w:rsidRPr="00B944FD">
        <w:rPr>
          <w:lang w:val="fr-FR"/>
        </w:rPr>
        <w:t>ADN, il est dit que des récipients destinés à recueillir d</w:t>
      </w:r>
      <w:r w:rsidR="00FB3576">
        <w:rPr>
          <w:lang w:val="fr-FR"/>
        </w:rPr>
        <w:t>’</w:t>
      </w:r>
      <w:r w:rsidRPr="00B944FD">
        <w:rPr>
          <w:lang w:val="fr-FR"/>
        </w:rPr>
        <w:t>éventuelles fuites de liquides doivent être placés sous les raccordements utilisés pour le chargement ou le déchargement (collecteurs sur le pont). Il n</w:t>
      </w:r>
      <w:r w:rsidR="00FB3576">
        <w:rPr>
          <w:lang w:val="fr-FR"/>
        </w:rPr>
        <w:t>’</w:t>
      </w:r>
      <w:r w:rsidRPr="00B944FD">
        <w:rPr>
          <w:lang w:val="fr-FR"/>
        </w:rPr>
        <w:t>est cependant pas dit que les récipients en question doivent être tenus propres et exempts de produits, contrairement à ce qui est prescrit au 7.2.3.2.1 de l</w:t>
      </w:r>
      <w:r w:rsidR="00FB3576">
        <w:rPr>
          <w:lang w:val="fr-FR"/>
        </w:rPr>
        <w:t>’</w:t>
      </w:r>
      <w:r w:rsidRPr="00B944FD">
        <w:rPr>
          <w:lang w:val="fr-FR"/>
        </w:rPr>
        <w:t>ADN. Par conséquent, l</w:t>
      </w:r>
      <w:r w:rsidR="00FB3576">
        <w:rPr>
          <w:lang w:val="fr-FR"/>
        </w:rPr>
        <w:t>’</w:t>
      </w:r>
      <w:r w:rsidRPr="00B944FD">
        <w:rPr>
          <w:lang w:val="fr-FR"/>
        </w:rPr>
        <w:t>environnement et le personnel à bord et à terre pourraient être exposés à de grandes quantités de vapeurs émises par les matières dangereuses se trouvant dans ces récipients, et à des concentrations élevées desdites matières. Bien que les marchandises dangereuses visées doivent être transportées dans un bateau fermé, il n</w:t>
      </w:r>
      <w:r w:rsidR="00FB3576">
        <w:rPr>
          <w:lang w:val="fr-FR"/>
        </w:rPr>
        <w:t>’</w:t>
      </w:r>
      <w:r w:rsidRPr="00B944FD">
        <w:rPr>
          <w:lang w:val="fr-FR"/>
        </w:rPr>
        <w:t>est pas impératif de tenir le récipient placé sous le collecteur propre et exempt de produit.</w:t>
      </w:r>
    </w:p>
    <w:p w:rsidR="00B944FD" w:rsidRPr="00B944FD" w:rsidRDefault="00B944FD" w:rsidP="00EC39A3">
      <w:pPr>
        <w:pStyle w:val="HChG"/>
        <w:rPr>
          <w:lang w:val="fr-FR"/>
        </w:rPr>
      </w:pPr>
      <w:r w:rsidRPr="00B944FD">
        <w:rPr>
          <w:lang w:val="fr-FR"/>
        </w:rPr>
        <w:tab/>
        <w:t>II.</w:t>
      </w:r>
      <w:r w:rsidRPr="00B944FD">
        <w:rPr>
          <w:lang w:val="fr-FR"/>
        </w:rPr>
        <w:tab/>
        <w:t>Proposition d</w:t>
      </w:r>
      <w:r w:rsidR="00FB3576">
        <w:rPr>
          <w:lang w:val="fr-FR"/>
        </w:rPr>
        <w:t>’</w:t>
      </w:r>
      <w:r w:rsidRPr="00B944FD">
        <w:rPr>
          <w:lang w:val="fr-FR"/>
        </w:rPr>
        <w:t>amendement</w:t>
      </w:r>
    </w:p>
    <w:p w:rsidR="00B944FD" w:rsidRPr="00B944FD" w:rsidRDefault="00B944FD" w:rsidP="00B944FD">
      <w:pPr>
        <w:pStyle w:val="SingleTxtG"/>
        <w:numPr>
          <w:ilvl w:val="0"/>
          <w:numId w:val="15"/>
        </w:numPr>
        <w:ind w:left="1134" w:firstLine="0"/>
        <w:rPr>
          <w:lang w:val="fr-FR"/>
        </w:rPr>
      </w:pPr>
      <w:r w:rsidRPr="00B944FD">
        <w:rPr>
          <w:lang w:val="fr-FR"/>
        </w:rPr>
        <w:t>Compte tenu de cette situation, la délégation néerlandaise souhaite proposer un amendement au 7.2.4.16.5 de l</w:t>
      </w:r>
      <w:r w:rsidR="00FB3576">
        <w:rPr>
          <w:lang w:val="fr-FR"/>
        </w:rPr>
        <w:t>’</w:t>
      </w:r>
      <w:r w:rsidRPr="00B944FD">
        <w:rPr>
          <w:lang w:val="fr-FR"/>
        </w:rPr>
        <w:t>ADN, visant à s</w:t>
      </w:r>
      <w:r w:rsidR="00FB3576">
        <w:rPr>
          <w:lang w:val="fr-FR"/>
        </w:rPr>
        <w:t>’</w:t>
      </w:r>
      <w:r w:rsidRPr="00B944FD">
        <w:rPr>
          <w:lang w:val="fr-FR"/>
        </w:rPr>
        <w:t>assurer que les récipients dont il est question seront eux aussi tenus propres et exempts de produits. Elle propose en outre un amendement corrélatif à la question 8 de la liste de contrôle ADN (8.6.3 de l</w:t>
      </w:r>
      <w:r w:rsidR="00FB3576">
        <w:rPr>
          <w:lang w:val="fr-FR"/>
        </w:rPr>
        <w:t>’</w:t>
      </w:r>
      <w:r w:rsidRPr="00B944FD">
        <w:rPr>
          <w:lang w:val="fr-FR"/>
        </w:rPr>
        <w:t>ADN). Le texte qu</w:t>
      </w:r>
      <w:r w:rsidR="00FB3576">
        <w:rPr>
          <w:lang w:val="fr-FR"/>
        </w:rPr>
        <w:t>’</w:t>
      </w:r>
      <w:r w:rsidRPr="00B944FD">
        <w:rPr>
          <w:lang w:val="fr-FR"/>
        </w:rPr>
        <w:t>il est proposé de supprimer est biffé, tandis que le texte à ajouter apparaît en caractères gras soulignés</w:t>
      </w:r>
      <w:r w:rsidR="00EC39A3">
        <w:rPr>
          <w:lang w:val="fr-FR"/>
        </w:rPr>
        <w:t> </w:t>
      </w:r>
      <w:r w:rsidRPr="00B944FD">
        <w:rPr>
          <w:lang w:val="fr-FR"/>
        </w:rPr>
        <w:t>:</w:t>
      </w:r>
    </w:p>
    <w:p w:rsidR="00B944FD" w:rsidRPr="00B944FD" w:rsidRDefault="00B944FD" w:rsidP="00EC39A3">
      <w:pPr>
        <w:pStyle w:val="SingleTxtG"/>
        <w:ind w:left="1701"/>
        <w:rPr>
          <w:lang w:val="fr-FR"/>
        </w:rPr>
      </w:pPr>
      <w:r w:rsidRPr="00B944FD">
        <w:rPr>
          <w:lang w:val="fr-FR"/>
        </w:rPr>
        <w:t>«</w:t>
      </w:r>
      <w:r>
        <w:rPr>
          <w:lang w:val="fr-FR"/>
        </w:rPr>
        <w:t> </w:t>
      </w:r>
      <w:r w:rsidRPr="00B944FD">
        <w:rPr>
          <w:lang w:val="fr-FR"/>
        </w:rPr>
        <w:t>7.2.4.16.5</w:t>
      </w:r>
      <w:r>
        <w:rPr>
          <w:lang w:val="fr-FR"/>
        </w:rPr>
        <w:t> </w:t>
      </w:r>
      <w:r w:rsidRPr="00B944FD">
        <w:rPr>
          <w:lang w:val="fr-FR"/>
        </w:rPr>
        <w:t>: Sous les raccordements aux installations à terre utilisés pour le chargement ou le déchargement doivent être placés des récipients destinés à recueillir d</w:t>
      </w:r>
      <w:r w:rsidR="00FB3576">
        <w:rPr>
          <w:lang w:val="fr-FR"/>
        </w:rPr>
        <w:t>’</w:t>
      </w:r>
      <w:r w:rsidRPr="00B944FD">
        <w:rPr>
          <w:lang w:val="fr-FR"/>
        </w:rPr>
        <w:t xml:space="preserve">éventuelles fuites de liquides. </w:t>
      </w:r>
      <w:r w:rsidRPr="00B944FD">
        <w:rPr>
          <w:b/>
          <w:u w:val="single"/>
          <w:lang w:val="fr-FR"/>
        </w:rPr>
        <w:t>Ces récipients doivent être tenus propres et exempts de produits. Ces prescriptions</w:t>
      </w:r>
      <w:r w:rsidRPr="00B944FD">
        <w:rPr>
          <w:lang w:val="fr-FR"/>
        </w:rPr>
        <w:t xml:space="preserve"> </w:t>
      </w:r>
      <w:r w:rsidRPr="00EC39A3">
        <w:rPr>
          <w:strike/>
          <w:lang w:val="fr-FR"/>
        </w:rPr>
        <w:t>Cette prescription</w:t>
      </w:r>
      <w:r w:rsidR="00EC39A3">
        <w:rPr>
          <w:strike/>
          <w:lang w:val="fr-FR"/>
        </w:rPr>
        <w:t xml:space="preserve"> </w:t>
      </w:r>
      <w:r w:rsidRPr="00B944FD">
        <w:rPr>
          <w:lang w:val="fr-FR"/>
        </w:rPr>
        <w:t>ne s</w:t>
      </w:r>
      <w:r w:rsidR="00FB3576">
        <w:rPr>
          <w:lang w:val="fr-FR"/>
        </w:rPr>
        <w:t>’</w:t>
      </w:r>
      <w:r w:rsidRPr="00B944FD">
        <w:rPr>
          <w:lang w:val="fr-FR"/>
        </w:rPr>
        <w:t>applique</w:t>
      </w:r>
      <w:r w:rsidRPr="00B944FD">
        <w:rPr>
          <w:b/>
          <w:lang w:val="fr-FR"/>
        </w:rPr>
        <w:t>nt</w:t>
      </w:r>
      <w:r w:rsidRPr="00B944FD">
        <w:rPr>
          <w:lang w:val="fr-FR"/>
        </w:rPr>
        <w:t xml:space="preserve"> pas au transport des matières de la classe 2.</w:t>
      </w:r>
      <w:r>
        <w:rPr>
          <w:lang w:val="fr-FR"/>
        </w:rPr>
        <w:t> </w:t>
      </w:r>
      <w:r w:rsidRPr="00B944FD">
        <w:rPr>
          <w:lang w:val="fr-FR"/>
        </w:rPr>
        <w:t>»</w:t>
      </w:r>
    </w:p>
    <w:p w:rsidR="00B944FD" w:rsidRPr="00B944FD" w:rsidRDefault="00B944FD" w:rsidP="00EC39A3">
      <w:pPr>
        <w:pStyle w:val="SingleTxtG"/>
        <w:ind w:left="1701"/>
        <w:rPr>
          <w:lang w:val="fr-FR"/>
        </w:rPr>
      </w:pPr>
      <w:r w:rsidRPr="00B944FD">
        <w:rPr>
          <w:lang w:val="fr-FR"/>
        </w:rPr>
        <w:t>et</w:t>
      </w:r>
    </w:p>
    <w:p w:rsidR="00B944FD" w:rsidRPr="00B944FD" w:rsidRDefault="00B944FD" w:rsidP="00EC39A3">
      <w:pPr>
        <w:pStyle w:val="SingleTxtG"/>
        <w:ind w:left="1701"/>
        <w:rPr>
          <w:lang w:val="fr-FR"/>
        </w:rPr>
      </w:pPr>
      <w:r w:rsidRPr="00B944FD">
        <w:rPr>
          <w:lang w:val="fr-FR"/>
        </w:rPr>
        <w:t>«</w:t>
      </w:r>
      <w:r>
        <w:rPr>
          <w:lang w:val="fr-FR"/>
        </w:rPr>
        <w:t> </w:t>
      </w:r>
      <w:r w:rsidRPr="00B944FD">
        <w:rPr>
          <w:lang w:val="fr-FR"/>
        </w:rPr>
        <w:t>8.6.3, question 8</w:t>
      </w:r>
      <w:r>
        <w:rPr>
          <w:lang w:val="fr-FR"/>
        </w:rPr>
        <w:t> </w:t>
      </w:r>
      <w:r w:rsidRPr="00B944FD">
        <w:rPr>
          <w:lang w:val="fr-FR"/>
        </w:rPr>
        <w:t xml:space="preserve">: Des moyens appropriés sont-ils disponibles pour recueillir des fuites sous les raccords utilisés </w:t>
      </w:r>
      <w:r w:rsidRPr="00F9616D">
        <w:rPr>
          <w:b/>
          <w:u w:val="single"/>
          <w:lang w:val="fr-FR"/>
        </w:rPr>
        <w:t>et sont-ils propres et exempts de produits</w:t>
      </w:r>
      <w:r w:rsidR="00EF3BDB">
        <w:rPr>
          <w:lang w:val="fr-FR"/>
        </w:rPr>
        <w:t> </w:t>
      </w:r>
      <w:r w:rsidRPr="00B944FD">
        <w:rPr>
          <w:lang w:val="fr-FR"/>
        </w:rPr>
        <w:t>?</w:t>
      </w:r>
      <w:r>
        <w:rPr>
          <w:lang w:val="fr-FR"/>
        </w:rPr>
        <w:t> </w:t>
      </w:r>
      <w:r w:rsidRPr="00B944FD">
        <w:rPr>
          <w:lang w:val="fr-FR"/>
        </w:rPr>
        <w:t>».</w:t>
      </w:r>
    </w:p>
    <w:p w:rsidR="00B944FD" w:rsidRPr="00B944FD" w:rsidRDefault="00B944FD" w:rsidP="00B944FD">
      <w:pPr>
        <w:pStyle w:val="HChG"/>
        <w:rPr>
          <w:lang w:val="fr-FR"/>
        </w:rPr>
      </w:pPr>
      <w:r w:rsidRPr="00B944FD">
        <w:rPr>
          <w:lang w:val="fr-FR"/>
        </w:rPr>
        <w:tab/>
        <w:t>III.</w:t>
      </w:r>
      <w:r w:rsidRPr="00B944FD">
        <w:rPr>
          <w:lang w:val="fr-FR"/>
        </w:rPr>
        <w:tab/>
        <w:t>Conclusion</w:t>
      </w:r>
    </w:p>
    <w:p w:rsidR="00B944FD" w:rsidRPr="00B944FD" w:rsidRDefault="00B944FD" w:rsidP="00B944FD">
      <w:pPr>
        <w:pStyle w:val="SingleTxtG"/>
        <w:numPr>
          <w:ilvl w:val="0"/>
          <w:numId w:val="15"/>
        </w:numPr>
        <w:ind w:left="1134" w:firstLine="0"/>
      </w:pPr>
      <w:r w:rsidRPr="00B944FD">
        <w:rPr>
          <w:lang w:val="fr-FR"/>
        </w:rPr>
        <w:t>Le Comité de sécurité est invité à examiner la proposition énoncée au paragraphe</w:t>
      </w:r>
      <w:r>
        <w:rPr>
          <w:lang w:val="fr-FR"/>
        </w:rPr>
        <w:t> </w:t>
      </w:r>
      <w:r w:rsidRPr="00B944FD">
        <w:rPr>
          <w:lang w:val="fr-FR"/>
        </w:rPr>
        <w:t>3 ci-dessus et à prendre les mesures qu</w:t>
      </w:r>
      <w:r w:rsidR="00FB3576">
        <w:rPr>
          <w:lang w:val="fr-FR"/>
        </w:rPr>
        <w:t>’</w:t>
      </w:r>
      <w:r w:rsidRPr="00B944FD">
        <w:rPr>
          <w:lang w:val="fr-FR"/>
        </w:rPr>
        <w:t>il jugera appropriées. Cette proposition ne se traduira pas par des coûts d</w:t>
      </w:r>
      <w:r w:rsidR="00FB3576">
        <w:rPr>
          <w:lang w:val="fr-FR"/>
        </w:rPr>
        <w:t>’</w:t>
      </w:r>
      <w:r w:rsidRPr="00B944FD">
        <w:rPr>
          <w:lang w:val="fr-FR"/>
        </w:rPr>
        <w:t>investissement supplémentaires pour les armateurs ou les propriétaires des installations à terre. L</w:t>
      </w:r>
      <w:r w:rsidR="00FB3576">
        <w:rPr>
          <w:lang w:val="fr-FR"/>
        </w:rPr>
        <w:t>’</w:t>
      </w:r>
      <w:r w:rsidRPr="00B944FD">
        <w:rPr>
          <w:lang w:val="fr-FR"/>
        </w:rPr>
        <w:t>environnement et le personnel à bord et à terre pourront être assurés qu</w:t>
      </w:r>
      <w:r w:rsidR="00FB3576">
        <w:rPr>
          <w:lang w:val="fr-FR"/>
        </w:rPr>
        <w:t>’</w:t>
      </w:r>
      <w:r w:rsidRPr="00B944FD">
        <w:rPr>
          <w:lang w:val="fr-FR"/>
        </w:rPr>
        <w:t>ils ne seront pas exposés à des concentrations importantes de vapeurs dangereuses provenant de matières se trouvant dans les récipients placés sous les raccords de tuyauterie sur le pont.</w:t>
      </w:r>
    </w:p>
    <w:p w:rsidR="00B944FD" w:rsidRPr="00B944FD" w:rsidRDefault="00B944FD" w:rsidP="00B944FD">
      <w:pPr>
        <w:pStyle w:val="SingleTxtG"/>
        <w:spacing w:before="240" w:after="0"/>
        <w:jc w:val="center"/>
        <w:rPr>
          <w:u w:val="single"/>
        </w:rPr>
      </w:pPr>
      <w:r>
        <w:rPr>
          <w:u w:val="single"/>
        </w:rPr>
        <w:tab/>
      </w:r>
      <w:r>
        <w:rPr>
          <w:u w:val="single"/>
        </w:rPr>
        <w:tab/>
      </w:r>
      <w:r>
        <w:rPr>
          <w:u w:val="single"/>
        </w:rPr>
        <w:tab/>
      </w:r>
    </w:p>
    <w:sectPr w:rsidR="00B944FD" w:rsidRPr="00B944FD" w:rsidSect="00B944F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56" w:rsidRDefault="00763156" w:rsidP="00F95C08">
      <w:pPr>
        <w:spacing w:line="240" w:lineRule="auto"/>
      </w:pPr>
    </w:p>
  </w:endnote>
  <w:endnote w:type="continuationSeparator" w:id="0">
    <w:p w:rsidR="00763156" w:rsidRPr="00AC3823" w:rsidRDefault="00763156" w:rsidP="00AC3823">
      <w:pPr>
        <w:pStyle w:val="Footer"/>
      </w:pPr>
    </w:p>
  </w:endnote>
  <w:endnote w:type="continuationNotice" w:id="1">
    <w:p w:rsidR="00763156" w:rsidRDefault="007631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FD" w:rsidRPr="00B944FD" w:rsidRDefault="00B944FD" w:rsidP="00B944FD">
    <w:pPr>
      <w:pStyle w:val="Footer"/>
      <w:tabs>
        <w:tab w:val="right" w:pos="9638"/>
      </w:tabs>
    </w:pPr>
    <w:r w:rsidRPr="00B944FD">
      <w:rPr>
        <w:b/>
        <w:sz w:val="18"/>
      </w:rPr>
      <w:fldChar w:fldCharType="begin"/>
    </w:r>
    <w:r w:rsidRPr="00B944FD">
      <w:rPr>
        <w:b/>
        <w:sz w:val="18"/>
      </w:rPr>
      <w:instrText xml:space="preserve"> PAGE  \* MERGEFORMAT </w:instrText>
    </w:r>
    <w:r w:rsidRPr="00B944FD">
      <w:rPr>
        <w:b/>
        <w:sz w:val="18"/>
      </w:rPr>
      <w:fldChar w:fldCharType="separate"/>
    </w:r>
    <w:r w:rsidR="00656891">
      <w:rPr>
        <w:b/>
        <w:noProof/>
        <w:sz w:val="18"/>
      </w:rPr>
      <w:t>2</w:t>
    </w:r>
    <w:r w:rsidRPr="00B944FD">
      <w:rPr>
        <w:b/>
        <w:sz w:val="18"/>
      </w:rPr>
      <w:fldChar w:fldCharType="end"/>
    </w:r>
    <w:r>
      <w:rPr>
        <w:b/>
        <w:sz w:val="18"/>
      </w:rPr>
      <w:tab/>
    </w:r>
    <w:r>
      <w:t>GE.16-09295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FD" w:rsidRPr="00B944FD" w:rsidRDefault="00B944FD" w:rsidP="00B944FD">
    <w:pPr>
      <w:pStyle w:val="Footer"/>
      <w:tabs>
        <w:tab w:val="right" w:pos="9638"/>
      </w:tabs>
      <w:rPr>
        <w:b/>
        <w:sz w:val="18"/>
      </w:rPr>
    </w:pPr>
    <w:r>
      <w:t>GE.16-09295</w:t>
    </w:r>
    <w:r>
      <w:tab/>
    </w:r>
    <w:r w:rsidRPr="00B944FD">
      <w:rPr>
        <w:b/>
        <w:sz w:val="18"/>
      </w:rPr>
      <w:fldChar w:fldCharType="begin"/>
    </w:r>
    <w:r w:rsidRPr="00B944FD">
      <w:rPr>
        <w:b/>
        <w:sz w:val="18"/>
      </w:rPr>
      <w:instrText xml:space="preserve"> PAGE  \* MERGEFORMAT </w:instrText>
    </w:r>
    <w:r w:rsidRPr="00B944FD">
      <w:rPr>
        <w:b/>
        <w:sz w:val="18"/>
      </w:rPr>
      <w:fldChar w:fldCharType="separate"/>
    </w:r>
    <w:r w:rsidR="00C524E2">
      <w:rPr>
        <w:b/>
        <w:noProof/>
        <w:sz w:val="18"/>
      </w:rPr>
      <w:t>3</w:t>
    </w:r>
    <w:r w:rsidRPr="00B944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944FD" w:rsidRDefault="00B944FD" w:rsidP="00B944FD">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4B8DC3BE" wp14:editId="189B370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16-09295  (F)    220616    230616</w:t>
    </w:r>
    <w:r>
      <w:rPr>
        <w:sz w:val="20"/>
      </w:rPr>
      <w:br/>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sidRPr="00B944F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56" w:rsidRPr="00AC3823" w:rsidRDefault="00763156" w:rsidP="00AC3823">
      <w:pPr>
        <w:pStyle w:val="Footer"/>
        <w:tabs>
          <w:tab w:val="right" w:pos="2155"/>
        </w:tabs>
        <w:spacing w:after="80" w:line="240" w:lineRule="atLeast"/>
        <w:ind w:left="680"/>
        <w:rPr>
          <w:u w:val="single"/>
        </w:rPr>
      </w:pPr>
      <w:r>
        <w:rPr>
          <w:u w:val="single"/>
        </w:rPr>
        <w:tab/>
      </w:r>
    </w:p>
  </w:footnote>
  <w:footnote w:type="continuationSeparator" w:id="0">
    <w:p w:rsidR="00763156" w:rsidRPr="00AC3823" w:rsidRDefault="00763156" w:rsidP="00AC3823">
      <w:pPr>
        <w:pStyle w:val="Footer"/>
        <w:tabs>
          <w:tab w:val="right" w:pos="2155"/>
        </w:tabs>
        <w:spacing w:after="80" w:line="240" w:lineRule="atLeast"/>
        <w:ind w:left="680"/>
        <w:rPr>
          <w:u w:val="single"/>
        </w:rPr>
      </w:pPr>
      <w:r>
        <w:rPr>
          <w:u w:val="single"/>
        </w:rPr>
        <w:tab/>
      </w:r>
    </w:p>
  </w:footnote>
  <w:footnote w:type="continuationNotice" w:id="1">
    <w:p w:rsidR="00763156" w:rsidRPr="00AC3823" w:rsidRDefault="00763156">
      <w:pPr>
        <w:spacing w:line="240" w:lineRule="auto"/>
        <w:rPr>
          <w:sz w:val="2"/>
          <w:szCs w:val="2"/>
        </w:rPr>
      </w:pPr>
    </w:p>
  </w:footnote>
  <w:footnote w:id="2">
    <w:p w:rsidR="00B944FD" w:rsidRPr="00291666" w:rsidRDefault="00B944FD" w:rsidP="00B944FD">
      <w:pPr>
        <w:pStyle w:val="FootnoteText"/>
      </w:pPr>
      <w:r>
        <w:rPr>
          <w:lang w:val="fr-FR"/>
        </w:rPr>
        <w:tab/>
      </w:r>
      <w:r w:rsidRPr="00B944FD">
        <w:rPr>
          <w:rStyle w:val="FootnoteReference"/>
        </w:rPr>
        <w:footnoteRef/>
      </w:r>
      <w:r>
        <w:rPr>
          <w:lang w:val="fr-FR"/>
        </w:rPr>
        <w:tab/>
        <w:t>Diffusée en langue allemande par la Commission centrale pour la navigation du Rhin sous la cote CCNR-ZKR/ADN/WP.15/AC.2/2016/45.</w:t>
      </w:r>
    </w:p>
  </w:footnote>
  <w:footnote w:id="3">
    <w:p w:rsidR="00B944FD" w:rsidRPr="003D077D" w:rsidRDefault="00B944FD" w:rsidP="00B944FD">
      <w:pPr>
        <w:pStyle w:val="FootnoteText"/>
      </w:pPr>
      <w:r>
        <w:rPr>
          <w:lang w:val="fr-FR"/>
        </w:rPr>
        <w:tab/>
      </w:r>
      <w:r w:rsidRPr="00B944FD">
        <w:rPr>
          <w:rStyle w:val="FootnoteReference"/>
        </w:rPr>
        <w:footnoteRef/>
      </w:r>
      <w:r>
        <w:rPr>
          <w:lang w:val="fr-FR"/>
        </w:rPr>
        <w:tab/>
        <w:t>Conformément au programme de travail du Comité des transports intérieurs pour la période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FD" w:rsidRPr="00B944FD" w:rsidRDefault="00B944FD">
    <w:pPr>
      <w:pStyle w:val="Header"/>
    </w:pPr>
    <w:r>
      <w:t>ECE/TRANS/WP.15/AC.2/2016/45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FD" w:rsidRPr="00B944FD" w:rsidRDefault="00B944FD" w:rsidP="00B944FD">
    <w:pPr>
      <w:pStyle w:val="Header"/>
      <w:jc w:val="right"/>
    </w:pPr>
    <w:r>
      <w:t>ECE/TRANS/WP.15/AC.2/2016/45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9A11D14"/>
    <w:multiLevelType w:val="hybridMultilevel"/>
    <w:tmpl w:val="A1B8B09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F65CA3"/>
    <w:multiLevelType w:val="hybridMultilevel"/>
    <w:tmpl w:val="5156AA10"/>
    <w:lvl w:ilvl="0" w:tplc="FEC447B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6"/>
    <w:rsid w:val="00017F94"/>
    <w:rsid w:val="00023842"/>
    <w:rsid w:val="000334F9"/>
    <w:rsid w:val="0007796D"/>
    <w:rsid w:val="000B7790"/>
    <w:rsid w:val="000E62CE"/>
    <w:rsid w:val="001012FE"/>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56891"/>
    <w:rsid w:val="0071601D"/>
    <w:rsid w:val="00763156"/>
    <w:rsid w:val="007A62E6"/>
    <w:rsid w:val="007F20FA"/>
    <w:rsid w:val="0080684C"/>
    <w:rsid w:val="00871C75"/>
    <w:rsid w:val="008776DC"/>
    <w:rsid w:val="009705C8"/>
    <w:rsid w:val="00997808"/>
    <w:rsid w:val="009C1CF4"/>
    <w:rsid w:val="009F6B74"/>
    <w:rsid w:val="00A30353"/>
    <w:rsid w:val="00AC3823"/>
    <w:rsid w:val="00AE323C"/>
    <w:rsid w:val="00AF0CB5"/>
    <w:rsid w:val="00B00181"/>
    <w:rsid w:val="00B00B0D"/>
    <w:rsid w:val="00B765F7"/>
    <w:rsid w:val="00B944FD"/>
    <w:rsid w:val="00BA0CA9"/>
    <w:rsid w:val="00C02897"/>
    <w:rsid w:val="00C524E2"/>
    <w:rsid w:val="00D3439C"/>
    <w:rsid w:val="00DB1831"/>
    <w:rsid w:val="00DD3BFD"/>
    <w:rsid w:val="00DF6678"/>
    <w:rsid w:val="00E85C74"/>
    <w:rsid w:val="00EA6547"/>
    <w:rsid w:val="00EC39A3"/>
    <w:rsid w:val="00EF2E22"/>
    <w:rsid w:val="00EF3BDB"/>
    <w:rsid w:val="00F35BAF"/>
    <w:rsid w:val="00F660DF"/>
    <w:rsid w:val="00F94664"/>
    <w:rsid w:val="00F9573C"/>
    <w:rsid w:val="00F95C08"/>
    <w:rsid w:val="00F9616D"/>
    <w:rsid w:val="00FB3576"/>
    <w:rsid w:val="00FB65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C12C43-657B-4E39-AF98-1E778D9D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944F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ECE/TRANS/WP.15/AC.2/2016/45</vt:lpstr>
      <vt:lpstr>ECE/TRANS/WP.15/AC.2/2016/45</vt:lpstr>
    </vt:vector>
  </TitlesOfParts>
  <Company>DCM</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ECE/TRANS/WP.15/AC.2/2016/45</dc:title>
  <dc:creator>Robert Corinne</dc:creator>
  <cp:lastModifiedBy>ECE/ADN/36</cp:lastModifiedBy>
  <cp:revision>2</cp:revision>
  <cp:lastPrinted>2016-06-23T14:34:00Z</cp:lastPrinted>
  <dcterms:created xsi:type="dcterms:W3CDTF">2016-07-21T15:13:00Z</dcterms:created>
  <dcterms:modified xsi:type="dcterms:W3CDTF">2016-07-21T15:13:00Z</dcterms:modified>
</cp:coreProperties>
</file>