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BA" w:rsidRPr="00451473" w:rsidRDefault="00F643BA" w:rsidP="00F643BA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en-US" w:eastAsia="fr-FR" w:bidi="fr-FR"/>
        </w:rPr>
      </w:pPr>
      <w:bookmarkStart w:id="0" w:name="_GoBack"/>
      <w:bookmarkEnd w:id="0"/>
      <w:r w:rsidRPr="0045147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FC75E9" wp14:editId="7F4452A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473">
        <w:rPr>
          <w:rFonts w:ascii="Arial" w:eastAsia="Arial" w:hAnsi="Arial" w:cs="Arial"/>
          <w:bCs/>
          <w:szCs w:val="24"/>
          <w:lang w:val="en-US" w:eastAsia="de-DE"/>
        </w:rPr>
        <w:t>CCNR-ZKR/ADN/WP.15/AC.2/2016/</w:t>
      </w:r>
      <w:r w:rsidR="00502D9E" w:rsidRPr="00451473">
        <w:rPr>
          <w:rFonts w:ascii="Arial" w:eastAsia="Arial" w:hAnsi="Arial" w:cs="Arial"/>
          <w:bCs/>
          <w:szCs w:val="24"/>
          <w:lang w:val="en-US" w:eastAsia="de-DE"/>
        </w:rPr>
        <w:t>4</w:t>
      </w:r>
      <w:r w:rsidR="008E35AE" w:rsidRPr="00451473">
        <w:rPr>
          <w:rFonts w:ascii="Arial" w:eastAsia="Arial" w:hAnsi="Arial" w:cs="Arial"/>
          <w:bCs/>
          <w:szCs w:val="24"/>
          <w:lang w:val="en-US" w:eastAsia="de-DE"/>
        </w:rPr>
        <w:t>4</w:t>
      </w:r>
    </w:p>
    <w:p w:rsidR="00F643BA" w:rsidRPr="00451473" w:rsidRDefault="00F643BA" w:rsidP="00F643BA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451473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F643BA" w:rsidRPr="00451473" w:rsidRDefault="00502D9E" w:rsidP="00F643BA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451473">
        <w:rPr>
          <w:rFonts w:ascii="Arial" w:eastAsia="Arial" w:hAnsi="Arial" w:cs="Arial"/>
          <w:szCs w:val="24"/>
          <w:lang w:val="de-DE" w:eastAsia="de-DE"/>
        </w:rPr>
        <w:t>8</w:t>
      </w:r>
      <w:r w:rsidR="00F643BA" w:rsidRPr="00451473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Pr="00451473">
        <w:rPr>
          <w:rFonts w:ascii="Arial" w:eastAsia="Arial" w:hAnsi="Arial" w:cs="Arial"/>
          <w:szCs w:val="24"/>
          <w:lang w:val="de-DE" w:eastAsia="de-DE"/>
        </w:rPr>
        <w:t>Juni 2016</w:t>
      </w:r>
    </w:p>
    <w:p w:rsidR="00F643BA" w:rsidRPr="00451473" w:rsidRDefault="00F643BA" w:rsidP="00F643BA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r w:rsidRPr="00451473"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:rsidR="00F643BA" w:rsidRPr="00451473" w:rsidRDefault="00F643BA" w:rsidP="00F643BA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 w:eastAsia="fr-FR"/>
        </w:rPr>
      </w:pP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451473">
        <w:rPr>
          <w:rFonts w:ascii="Arial" w:hAnsi="Arial"/>
          <w:noProof/>
          <w:snapToGrid w:val="0"/>
          <w:position w:val="2"/>
          <w:sz w:val="16"/>
          <w:szCs w:val="24"/>
          <w:lang w:val="de-DE" w:eastAsia="fr-FR"/>
        </w:rPr>
        <w:t>(SICHERHEITSAUSSCHUSS)</w:t>
      </w: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451473">
        <w:rPr>
          <w:rFonts w:ascii="Arial" w:hAnsi="Arial"/>
          <w:snapToGrid w:val="0"/>
          <w:sz w:val="16"/>
          <w:szCs w:val="24"/>
          <w:lang w:val="de-DE" w:eastAsia="fr-FR"/>
        </w:rPr>
        <w:t>(2</w:t>
      </w:r>
      <w:r w:rsidR="00502D9E" w:rsidRPr="00451473">
        <w:rPr>
          <w:rFonts w:ascii="Arial" w:hAnsi="Arial"/>
          <w:snapToGrid w:val="0"/>
          <w:sz w:val="16"/>
          <w:szCs w:val="24"/>
          <w:lang w:val="de-DE" w:eastAsia="fr-FR"/>
        </w:rPr>
        <w:t>9</w:t>
      </w:r>
      <w:r w:rsidRPr="00451473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</w:t>
      </w:r>
      <w:r w:rsidR="00502D9E"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. bis 2</w:t>
      </w:r>
      <w:r w:rsidR="00502D9E"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6</w:t>
      </w: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502D9E"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45147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2016)</w:t>
      </w:r>
    </w:p>
    <w:p w:rsidR="00F643BA" w:rsidRPr="00451473" w:rsidRDefault="00F643BA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451473">
        <w:rPr>
          <w:rFonts w:ascii="Arial" w:hAnsi="Arial" w:cs="Arial"/>
          <w:sz w:val="16"/>
          <w:szCs w:val="16"/>
          <w:lang w:val="de-DE"/>
        </w:rPr>
        <w:t xml:space="preserve">Punkt </w:t>
      </w:r>
      <w:r w:rsidR="008E35AE" w:rsidRPr="00451473">
        <w:rPr>
          <w:rFonts w:ascii="Arial" w:hAnsi="Arial" w:cs="Arial"/>
          <w:sz w:val="16"/>
          <w:szCs w:val="16"/>
          <w:lang w:val="de-DE"/>
        </w:rPr>
        <w:t>4 b</w:t>
      </w:r>
      <w:r w:rsidRPr="00451473">
        <w:rPr>
          <w:rFonts w:ascii="Arial" w:hAnsi="Arial" w:cs="Arial"/>
          <w:sz w:val="16"/>
          <w:szCs w:val="16"/>
          <w:lang w:val="de-DE"/>
        </w:rPr>
        <w:t>) zur vorläufigen Tagesordnung</w:t>
      </w:r>
    </w:p>
    <w:p w:rsidR="008E35AE" w:rsidRPr="00451473" w:rsidRDefault="008E35AE" w:rsidP="008E35AE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451473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</w:t>
      </w:r>
    </w:p>
    <w:p w:rsidR="008E35AE" w:rsidRPr="00451473" w:rsidRDefault="008E35AE" w:rsidP="008E35AE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451473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Weitere Änderungsvorschläge</w:t>
      </w:r>
    </w:p>
    <w:p w:rsidR="008E35AE" w:rsidRPr="00451473" w:rsidRDefault="008E35AE" w:rsidP="008E35AE">
      <w:pPr>
        <w:suppressAutoHyphens w:val="0"/>
        <w:spacing w:line="240" w:lineRule="auto"/>
        <w:rPr>
          <w:rFonts w:ascii="Arial" w:hAnsi="Arial" w:cs="Arial"/>
          <w:b/>
          <w:lang w:val="de-DE"/>
        </w:rPr>
      </w:pPr>
    </w:p>
    <w:p w:rsidR="00F30ED0" w:rsidRPr="00451473" w:rsidRDefault="00F30ED0" w:rsidP="008E35AE">
      <w:pPr>
        <w:suppressAutoHyphens w:val="0"/>
        <w:spacing w:line="240" w:lineRule="auto"/>
        <w:rPr>
          <w:rFonts w:ascii="Arial" w:hAnsi="Arial" w:cs="Arial"/>
          <w:b/>
          <w:lang w:val="de-DE"/>
        </w:rPr>
      </w:pPr>
    </w:p>
    <w:p w:rsidR="00D43985" w:rsidRPr="00451473" w:rsidRDefault="00EB292F" w:rsidP="00080ABB">
      <w:pPr>
        <w:pStyle w:val="HChG"/>
        <w:spacing w:line="240" w:lineRule="atLeast"/>
        <w:rPr>
          <w:lang w:val="de-DE"/>
        </w:rPr>
      </w:pPr>
      <w:r w:rsidRPr="00451473">
        <w:rPr>
          <w:lang w:val="de-DE"/>
        </w:rPr>
        <w:tab/>
      </w:r>
      <w:r w:rsidRPr="00451473">
        <w:rPr>
          <w:lang w:val="de-DE"/>
        </w:rPr>
        <w:tab/>
      </w:r>
      <w:r w:rsidR="00D43985" w:rsidRPr="00451473">
        <w:rPr>
          <w:lang w:val="de-DE"/>
        </w:rPr>
        <w:t>Vorschlag zur Änderung des Abschnitts 7.2.4.25.5</w:t>
      </w:r>
    </w:p>
    <w:p w:rsidR="000277F5" w:rsidRPr="00451473" w:rsidRDefault="00EB292F" w:rsidP="000277F5">
      <w:pPr>
        <w:ind w:right="567"/>
        <w:rPr>
          <w:b/>
          <w:sz w:val="24"/>
          <w:szCs w:val="24"/>
          <w:vertAlign w:val="superscript"/>
          <w:lang w:val="de-DE" w:eastAsia="fr-FR"/>
        </w:rPr>
      </w:pPr>
      <w:r w:rsidRPr="00451473">
        <w:rPr>
          <w:lang w:val="de-DE"/>
        </w:rPr>
        <w:tab/>
      </w:r>
      <w:r w:rsidRPr="00451473">
        <w:rPr>
          <w:lang w:val="de-DE"/>
        </w:rPr>
        <w:tab/>
      </w:r>
      <w:r w:rsidR="00080ABB" w:rsidRPr="00451473">
        <w:rPr>
          <w:b/>
          <w:sz w:val="28"/>
          <w:lang w:val="de-DE"/>
        </w:rPr>
        <w:t>Vorgelegt von den Niederlanden</w:t>
      </w:r>
      <w:r w:rsidR="008E35AE" w:rsidRPr="00451473">
        <w:rPr>
          <w:b/>
          <w:sz w:val="28"/>
          <w:lang w:val="de-DE"/>
        </w:rPr>
        <w:t xml:space="preserve"> und Frankreich</w:t>
      </w:r>
      <w:r w:rsidR="00F643BA" w:rsidRPr="00451473">
        <w:rPr>
          <w:b/>
          <w:sz w:val="16"/>
          <w:szCs w:val="16"/>
          <w:vertAlign w:val="superscript"/>
          <w:lang w:val="de-DE"/>
        </w:rPr>
        <w:footnoteReference w:id="1"/>
      </w:r>
      <w:r w:rsidR="000277F5" w:rsidRPr="00451473">
        <w:rPr>
          <w:b/>
          <w:sz w:val="16"/>
          <w:szCs w:val="16"/>
          <w:vertAlign w:val="superscript"/>
          <w:lang w:val="de-DE"/>
        </w:rPr>
        <w:t>,</w:t>
      </w:r>
      <w:r w:rsidR="000277F5" w:rsidRPr="00451473">
        <w:rPr>
          <w:b/>
          <w:sz w:val="16"/>
          <w:szCs w:val="16"/>
          <w:vertAlign w:val="superscript"/>
          <w:lang w:val="de-DE"/>
        </w:rPr>
        <w:footnoteReference w:id="2"/>
      </w:r>
    </w:p>
    <w:p w:rsidR="008E35AE" w:rsidRPr="00451473" w:rsidRDefault="008E35AE" w:rsidP="00C60012">
      <w:pPr>
        <w:spacing w:after="120"/>
        <w:ind w:left="1134" w:right="1134"/>
        <w:jc w:val="center"/>
        <w:rPr>
          <w:lang w:val="de-DE"/>
        </w:rPr>
      </w:pPr>
    </w:p>
    <w:tbl>
      <w:tblPr>
        <w:tblStyle w:val="TableGrid1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89"/>
        <w:gridCol w:w="6940"/>
      </w:tblGrid>
      <w:tr w:rsidR="008E35AE" w:rsidRPr="00451473" w:rsidTr="00255FB8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8E35AE" w:rsidRPr="00451473" w:rsidRDefault="008E35AE" w:rsidP="00EA62D9">
            <w:pPr>
              <w:spacing w:before="200" w:after="120"/>
              <w:ind w:left="255"/>
              <w:rPr>
                <w:i/>
                <w:sz w:val="24"/>
                <w:szCs w:val="24"/>
              </w:rPr>
            </w:pPr>
            <w:r w:rsidRPr="00451473">
              <w:rPr>
                <w:i/>
                <w:color w:val="000000"/>
                <w:sz w:val="24"/>
                <w:szCs w:val="24"/>
              </w:rPr>
              <w:t>Zusammenfassung</w:t>
            </w:r>
          </w:p>
        </w:tc>
      </w:tr>
      <w:tr w:rsidR="008E35AE" w:rsidRPr="00451473" w:rsidTr="00255FB8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8E35AE" w:rsidRPr="00451473" w:rsidRDefault="008E35AE" w:rsidP="00EA62D9">
            <w:pPr>
              <w:spacing w:after="120"/>
              <w:ind w:left="274" w:right="113"/>
              <w:jc w:val="both"/>
              <w:rPr>
                <w:rFonts w:eastAsia="SimSun"/>
                <w:lang w:eastAsia="zh-CN"/>
              </w:rPr>
            </w:pPr>
            <w:r w:rsidRPr="00451473">
              <w:rPr>
                <w:rFonts w:eastAsia="SimSun"/>
                <w:b/>
                <w:lang w:eastAsia="zh-CN"/>
              </w:rPr>
              <w:t>Analytische Zusammenfassung: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AE" w:rsidRPr="00451473" w:rsidRDefault="00255FB8" w:rsidP="00DB2823">
            <w:pPr>
              <w:spacing w:after="120"/>
              <w:ind w:left="113" w:right="113"/>
              <w:rPr>
                <w:rFonts w:eastAsia="SimSun"/>
                <w:lang w:val="de-DE" w:eastAsia="zh-CN"/>
              </w:rPr>
            </w:pPr>
            <w:r w:rsidRPr="00451473">
              <w:rPr>
                <w:rFonts w:eastAsia="SimSun"/>
                <w:bCs/>
                <w:lang w:val="de-DE" w:eastAsia="zh-CN"/>
              </w:rPr>
              <w:t>Weiteres Vorgehen hinsichtlich der in der Sitzung des ADN-Sicherheitsausschusses im August 2015 vorgelegten Vorschläge unter Berücksichtigung der Diskussion des ADN-Sicherheit</w:t>
            </w:r>
            <w:r w:rsidR="00FA60D4" w:rsidRPr="00451473">
              <w:rPr>
                <w:rFonts w:eastAsia="SimSun"/>
                <w:bCs/>
                <w:lang w:val="de-DE" w:eastAsia="zh-CN"/>
              </w:rPr>
              <w:t>s</w:t>
            </w:r>
            <w:r w:rsidRPr="00451473">
              <w:rPr>
                <w:rFonts w:eastAsia="SimSun"/>
                <w:bCs/>
                <w:lang w:val="de-DE" w:eastAsia="zh-CN"/>
              </w:rPr>
              <w:t>ausschusses im Januar 2016</w:t>
            </w:r>
          </w:p>
        </w:tc>
      </w:tr>
      <w:tr w:rsidR="008E35AE" w:rsidRPr="00451473" w:rsidTr="00255FB8">
        <w:trPr>
          <w:jc w:val="center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auto"/>
          </w:tcPr>
          <w:p w:rsidR="008E35AE" w:rsidRPr="00451473" w:rsidRDefault="008E35AE" w:rsidP="00EA62D9">
            <w:pPr>
              <w:spacing w:after="120"/>
              <w:ind w:left="274" w:right="113"/>
              <w:rPr>
                <w:rFonts w:eastAsia="SimSun"/>
                <w:lang w:eastAsia="zh-CN"/>
              </w:rPr>
            </w:pPr>
            <w:r w:rsidRPr="00451473">
              <w:rPr>
                <w:rFonts w:eastAsia="SimSun"/>
                <w:b/>
                <w:lang w:eastAsia="zh-CN"/>
              </w:rPr>
              <w:t>Zu ergreifende Maßnahme: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AE" w:rsidRPr="00451473" w:rsidRDefault="008B5CC7" w:rsidP="008B5CC7">
            <w:pPr>
              <w:spacing w:after="120"/>
              <w:ind w:left="113" w:right="113"/>
              <w:rPr>
                <w:rFonts w:eastAsia="SimSun"/>
                <w:lang w:val="de-DE" w:eastAsia="zh-CN"/>
              </w:rPr>
            </w:pPr>
            <w:r w:rsidRPr="00451473">
              <w:rPr>
                <w:rFonts w:eastAsia="SimSun"/>
                <w:lang w:val="de-DE" w:eastAsia="zh-CN"/>
              </w:rPr>
              <w:t>Siehe</w:t>
            </w:r>
            <w:r w:rsidR="008E35AE" w:rsidRPr="00451473">
              <w:rPr>
                <w:rFonts w:eastAsia="SimSun"/>
                <w:lang w:val="de-DE" w:eastAsia="zh-CN"/>
              </w:rPr>
              <w:t xml:space="preserve"> </w:t>
            </w:r>
            <w:r w:rsidRPr="00451473">
              <w:rPr>
                <w:rFonts w:eastAsia="SimSun"/>
                <w:lang w:val="de-DE" w:eastAsia="zh-CN"/>
              </w:rPr>
              <w:t>Nr.</w:t>
            </w:r>
            <w:r w:rsidR="008E35AE" w:rsidRPr="00451473">
              <w:rPr>
                <w:rFonts w:eastAsia="SimSun"/>
                <w:lang w:val="de-DE" w:eastAsia="zh-CN"/>
              </w:rPr>
              <w:t xml:space="preserve"> 8.</w:t>
            </w:r>
          </w:p>
        </w:tc>
      </w:tr>
      <w:tr w:rsidR="008E35AE" w:rsidRPr="00451473" w:rsidTr="00255FB8">
        <w:trPr>
          <w:jc w:val="center"/>
        </w:trPr>
        <w:tc>
          <w:tcPr>
            <w:tcW w:w="26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35AE" w:rsidRPr="00451473" w:rsidRDefault="008E35AE" w:rsidP="00EA62D9">
            <w:pPr>
              <w:spacing w:after="120"/>
              <w:ind w:left="274" w:right="113"/>
              <w:rPr>
                <w:rFonts w:eastAsia="SimSun"/>
                <w:lang w:val="de-DE" w:eastAsia="zh-CN"/>
              </w:rPr>
            </w:pPr>
            <w:r w:rsidRPr="00451473">
              <w:rPr>
                <w:rFonts w:eastAsia="SimSun"/>
                <w:b/>
                <w:lang w:val="de-DE" w:eastAsia="zh-CN"/>
              </w:rPr>
              <w:t>Verbundene Dokumente: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AE" w:rsidRPr="00451473" w:rsidRDefault="008E35AE" w:rsidP="00EA62D9">
            <w:pPr>
              <w:spacing w:after="120"/>
              <w:ind w:left="113" w:right="113"/>
              <w:rPr>
                <w:rFonts w:eastAsia="SimSun"/>
                <w:color w:val="000000"/>
                <w:lang w:val="en-US" w:eastAsia="zh-CN"/>
              </w:rPr>
            </w:pPr>
            <w:r w:rsidRPr="00451473">
              <w:rPr>
                <w:rFonts w:eastAsia="SimSun"/>
                <w:color w:val="000000"/>
                <w:lang w:val="en-US" w:eastAsia="zh-CN"/>
              </w:rPr>
              <w:t>ECE/TRANS/WP.15/AC.2/2015/18</w:t>
            </w:r>
          </w:p>
          <w:p w:rsidR="008E35AE" w:rsidRPr="00451473" w:rsidRDefault="008E35AE" w:rsidP="00EA62D9">
            <w:pPr>
              <w:spacing w:after="120"/>
              <w:ind w:left="113" w:right="113"/>
              <w:rPr>
                <w:rFonts w:eastAsia="SimSun"/>
                <w:color w:val="000000"/>
                <w:lang w:val="en-US" w:eastAsia="zh-CN"/>
              </w:rPr>
            </w:pPr>
            <w:r w:rsidRPr="00451473">
              <w:rPr>
                <w:rFonts w:eastAsia="SimSun"/>
                <w:color w:val="000000"/>
                <w:lang w:val="en-US" w:eastAsia="zh-CN"/>
              </w:rPr>
              <w:t>ECE/TRANS/WP.15/AC.2/56 (</w:t>
            </w:r>
            <w:r w:rsidR="008B5CC7" w:rsidRPr="00451473">
              <w:rPr>
                <w:rFonts w:eastAsia="SimSun"/>
                <w:color w:val="000000"/>
                <w:lang w:val="en-US" w:eastAsia="zh-CN"/>
              </w:rPr>
              <w:t>Nr.</w:t>
            </w:r>
            <w:r w:rsidRPr="00451473">
              <w:rPr>
                <w:rFonts w:eastAsia="SimSun"/>
                <w:color w:val="000000"/>
                <w:lang w:val="en-US" w:eastAsia="zh-CN"/>
              </w:rPr>
              <w:t xml:space="preserve"> 16 </w:t>
            </w:r>
            <w:r w:rsidR="008B5CC7" w:rsidRPr="00451473">
              <w:rPr>
                <w:rFonts w:eastAsia="SimSun"/>
                <w:color w:val="000000"/>
                <w:lang w:val="en-US" w:eastAsia="zh-CN"/>
              </w:rPr>
              <w:t>u</w:t>
            </w:r>
            <w:r w:rsidRPr="00451473">
              <w:rPr>
                <w:rFonts w:eastAsia="SimSun"/>
                <w:color w:val="000000"/>
                <w:lang w:val="en-US" w:eastAsia="zh-CN"/>
              </w:rPr>
              <w:t>nd 17)</w:t>
            </w:r>
          </w:p>
          <w:p w:rsidR="008E35AE" w:rsidRPr="00451473" w:rsidRDefault="008E35AE" w:rsidP="008B5CC7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451473">
              <w:rPr>
                <w:rFonts w:eastAsia="SimSun"/>
                <w:color w:val="000000"/>
                <w:lang w:val="en-US" w:eastAsia="zh-CN"/>
              </w:rPr>
              <w:t>ECE/TRANS/WP.15/AC.2/58 (</w:t>
            </w:r>
            <w:r w:rsidR="008B5CC7" w:rsidRPr="00451473">
              <w:rPr>
                <w:rFonts w:eastAsia="SimSun"/>
                <w:color w:val="000000"/>
                <w:lang w:val="en-US" w:eastAsia="zh-CN"/>
              </w:rPr>
              <w:t>Nr.</w:t>
            </w:r>
            <w:r w:rsidRPr="00451473">
              <w:rPr>
                <w:rFonts w:eastAsia="SimSun"/>
                <w:color w:val="000000"/>
                <w:lang w:val="en-US" w:eastAsia="zh-CN"/>
              </w:rPr>
              <w:t xml:space="preserve"> 55 - </w:t>
            </w:r>
            <w:r w:rsidRPr="00451473">
              <w:rPr>
                <w:rFonts w:eastAsia="SimSun"/>
                <w:color w:val="000000"/>
                <w:lang w:eastAsia="zh-CN"/>
              </w:rPr>
              <w:t>57)</w:t>
            </w:r>
          </w:p>
        </w:tc>
      </w:tr>
      <w:tr w:rsidR="008E35AE" w:rsidRPr="00451473" w:rsidTr="00255FB8">
        <w:trPr>
          <w:jc w:val="center"/>
        </w:trPr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AE" w:rsidRPr="00451473" w:rsidRDefault="008E35AE" w:rsidP="00EA62D9"/>
        </w:tc>
      </w:tr>
    </w:tbl>
    <w:p w:rsidR="00F30ED0" w:rsidRPr="00451473" w:rsidRDefault="00F30ED0" w:rsidP="008E35AE">
      <w:pPr>
        <w:pStyle w:val="HChG"/>
        <w:spacing w:after="200"/>
      </w:pPr>
    </w:p>
    <w:p w:rsidR="008E35AE" w:rsidRPr="00451473" w:rsidRDefault="00F30ED0" w:rsidP="00B05AE7">
      <w:pPr>
        <w:pStyle w:val="HChG"/>
        <w:spacing w:before="120" w:after="200"/>
        <w:rPr>
          <w:lang w:val="de-DE"/>
        </w:rPr>
      </w:pPr>
      <w:r w:rsidRPr="00451473">
        <w:rPr>
          <w:lang w:val="de-DE"/>
        </w:rPr>
        <w:br w:type="page"/>
      </w:r>
      <w:r w:rsidR="008E35AE" w:rsidRPr="00451473">
        <w:rPr>
          <w:lang w:val="de-DE"/>
        </w:rPr>
        <w:lastRenderedPageBreak/>
        <w:tab/>
        <w:t>I.</w:t>
      </w:r>
      <w:r w:rsidR="008E35AE" w:rsidRPr="00451473">
        <w:rPr>
          <w:lang w:val="de-DE"/>
        </w:rPr>
        <w:tab/>
        <w:t>Einleitung</w:t>
      </w:r>
    </w:p>
    <w:p w:rsidR="008E35AE" w:rsidRPr="00451473" w:rsidRDefault="008E35AE" w:rsidP="0088070B">
      <w:pPr>
        <w:pStyle w:val="SingleTxtG"/>
        <w:rPr>
          <w:lang w:val="de-DE"/>
        </w:rPr>
      </w:pPr>
      <w:r w:rsidRPr="00451473">
        <w:rPr>
          <w:lang w:val="de-DE"/>
        </w:rPr>
        <w:t>1.</w:t>
      </w:r>
      <w:r w:rsidRPr="00451473">
        <w:rPr>
          <w:lang w:val="de-DE"/>
        </w:rPr>
        <w:tab/>
      </w:r>
      <w:r w:rsidR="00FA60D4" w:rsidRPr="00451473">
        <w:rPr>
          <w:lang w:val="de-DE"/>
        </w:rPr>
        <w:t>In der siebenundzwanzigsten Sitzung des ADN-Sicherheitsausschusses (August</w:t>
      </w:r>
      <w:r w:rsidR="00451473">
        <w:rPr>
          <w:lang w:val="de-DE"/>
        </w:rPr>
        <w:t> </w:t>
      </w:r>
      <w:r w:rsidR="00FA60D4" w:rsidRPr="00451473">
        <w:rPr>
          <w:lang w:val="de-DE"/>
        </w:rPr>
        <w:t>2015) hatten die Niederlande das Dokument ECE/TRANS/WP.15/AC.2/2015/18, das eine nationale (niederländische) Auslegung des Absatzes 7.2.4.25.5 enthält, zur Prüfung vorgelegt.</w:t>
      </w:r>
    </w:p>
    <w:p w:rsidR="008E35AE" w:rsidRPr="00451473" w:rsidRDefault="008E35AE" w:rsidP="0088070B">
      <w:pPr>
        <w:pStyle w:val="SingleTxtG"/>
        <w:rPr>
          <w:lang w:val="de-DE"/>
        </w:rPr>
      </w:pPr>
      <w:r w:rsidRPr="00451473">
        <w:rPr>
          <w:lang w:val="de-DE"/>
        </w:rPr>
        <w:t>2.</w:t>
      </w:r>
      <w:r w:rsidRPr="00451473">
        <w:rPr>
          <w:lang w:val="de-DE"/>
        </w:rPr>
        <w:tab/>
      </w:r>
      <w:r w:rsidR="00FA60D4" w:rsidRPr="00451473">
        <w:rPr>
          <w:lang w:val="de-DE"/>
        </w:rPr>
        <w:t xml:space="preserve">Der niederländische Vorschlag sah vor, auch die Bestimmungen des derzeitigen Absatzes 7.2.4.25.5 anzuwenden, wenn für die vorherige Ladung gemäß Kapitel 3.2 Tabelle C Spalte </w:t>
      </w:r>
      <w:r w:rsidR="00B707AA">
        <w:rPr>
          <w:lang w:val="de-DE"/>
        </w:rPr>
        <w:t>(</w:t>
      </w:r>
      <w:r w:rsidR="00FA60D4" w:rsidRPr="00451473">
        <w:rPr>
          <w:lang w:val="de-DE"/>
        </w:rPr>
        <w:t>7</w:t>
      </w:r>
      <w:r w:rsidR="00B707AA">
        <w:rPr>
          <w:lang w:val="de-DE"/>
        </w:rPr>
        <w:t>)</w:t>
      </w:r>
      <w:r w:rsidR="00FA60D4" w:rsidRPr="00451473">
        <w:rPr>
          <w:lang w:val="de-DE"/>
        </w:rPr>
        <w:t xml:space="preserve"> auch ein geschlossenes Tankschiff erforderlich ist.</w:t>
      </w:r>
    </w:p>
    <w:p w:rsidR="008E35AE" w:rsidRPr="00451473" w:rsidRDefault="008E35AE" w:rsidP="00370D4E">
      <w:pPr>
        <w:pStyle w:val="SingleTxtG"/>
        <w:rPr>
          <w:lang w:val="de-DE"/>
        </w:rPr>
      </w:pPr>
      <w:r w:rsidRPr="00451473">
        <w:rPr>
          <w:lang w:val="de-DE"/>
        </w:rPr>
        <w:t>3.</w:t>
      </w:r>
      <w:r w:rsidRPr="00451473">
        <w:rPr>
          <w:lang w:val="de-DE"/>
        </w:rPr>
        <w:tab/>
      </w:r>
      <w:r w:rsidR="00FA60D4" w:rsidRPr="00451473">
        <w:rPr>
          <w:lang w:val="de-DE"/>
        </w:rPr>
        <w:t>Der Ausschuss forderte die Niederlande und Frankreich auf, einen Vorschlag für eine Änderung des Unterabschnitts 7.2.4.25.5 der dem ADN beigefügten Verordnung vorzulegen</w:t>
      </w:r>
      <w:r w:rsidR="00907D9E" w:rsidRPr="00451473">
        <w:rPr>
          <w:lang w:val="de-DE"/>
        </w:rPr>
        <w:t xml:space="preserve"> (siehe ECE/TRANS/WP.15/AC.2/56, Nr. 16 und 17).</w:t>
      </w:r>
    </w:p>
    <w:p w:rsidR="008E35AE" w:rsidRPr="00451473" w:rsidRDefault="008E35AE" w:rsidP="00370D4E">
      <w:pPr>
        <w:pStyle w:val="SingleTxtG"/>
        <w:rPr>
          <w:lang w:val="de-DE"/>
        </w:rPr>
      </w:pPr>
      <w:r w:rsidRPr="00451473">
        <w:rPr>
          <w:lang w:val="de-DE"/>
        </w:rPr>
        <w:t>4.</w:t>
      </w:r>
      <w:r w:rsidRPr="00451473">
        <w:rPr>
          <w:lang w:val="de-DE"/>
        </w:rPr>
        <w:tab/>
      </w:r>
      <w:r w:rsidR="009C17FB" w:rsidRPr="00451473">
        <w:rPr>
          <w:lang w:val="de-DE"/>
        </w:rPr>
        <w:t>Da der Ausschuss i</w:t>
      </w:r>
      <w:r w:rsidR="005F0B9C" w:rsidRPr="00451473">
        <w:rPr>
          <w:lang w:val="de-DE"/>
        </w:rPr>
        <w:t xml:space="preserve">n seiner 28. Sitzung über den Vorschlag </w:t>
      </w:r>
      <w:r w:rsidR="009C17FB" w:rsidRPr="00451473">
        <w:rPr>
          <w:lang w:val="de-DE"/>
        </w:rPr>
        <w:t>keine Entscheidung treffen konnte</w:t>
      </w:r>
      <w:r w:rsidR="005F0B9C" w:rsidRPr="00451473">
        <w:rPr>
          <w:lang w:val="de-DE"/>
        </w:rPr>
        <w:t xml:space="preserve">, </w:t>
      </w:r>
      <w:r w:rsidR="009C17FB" w:rsidRPr="00451473">
        <w:rPr>
          <w:lang w:val="de-DE"/>
        </w:rPr>
        <w:t>bot</w:t>
      </w:r>
      <w:r w:rsidR="005F0B9C" w:rsidRPr="00451473">
        <w:rPr>
          <w:lang w:val="de-DE"/>
        </w:rPr>
        <w:t xml:space="preserve"> der Vertreter der Niederlande an, einen neuen Vorschlag vorzulegen, der den in der Praxis festgestellten Problemen Rechnung trägt </w:t>
      </w:r>
      <w:r w:rsidR="009C17FB" w:rsidRPr="00451473">
        <w:rPr>
          <w:lang w:val="de-DE"/>
        </w:rPr>
        <w:t>(siehe ECE/TRANS/WP.15/AC.2/58, Nr. 55 – 57).</w:t>
      </w:r>
    </w:p>
    <w:p w:rsidR="008E35AE" w:rsidRPr="00451473" w:rsidRDefault="008E35AE" w:rsidP="00370D4E">
      <w:pPr>
        <w:pStyle w:val="SingleTxtG"/>
        <w:rPr>
          <w:lang w:val="de-DE"/>
        </w:rPr>
      </w:pPr>
      <w:r w:rsidRPr="00451473">
        <w:rPr>
          <w:lang w:val="de-DE"/>
        </w:rPr>
        <w:t xml:space="preserve">5. </w:t>
      </w:r>
      <w:r w:rsidRPr="00451473">
        <w:rPr>
          <w:lang w:val="de-DE"/>
        </w:rPr>
        <w:tab/>
      </w:r>
      <w:r w:rsidR="009C17FB" w:rsidRPr="00451473">
        <w:rPr>
          <w:lang w:val="de-DE"/>
        </w:rPr>
        <w:t xml:space="preserve">Die Regierungen Frankreichs und der </w:t>
      </w:r>
      <w:r w:rsidR="00370D4E" w:rsidRPr="00451473">
        <w:rPr>
          <w:lang w:val="de-DE"/>
        </w:rPr>
        <w:t>Niederlande kamen zu</w:t>
      </w:r>
      <w:r w:rsidR="009C17FB" w:rsidRPr="00451473">
        <w:rPr>
          <w:lang w:val="de-DE"/>
        </w:rPr>
        <w:t xml:space="preserve"> der Auffassung, dass die </w:t>
      </w:r>
      <w:r w:rsidR="00E30F19" w:rsidRPr="00451473">
        <w:rPr>
          <w:lang w:val="de-DE"/>
        </w:rPr>
        <w:t>Bemerkung des CEFIC-Vertreters d</w:t>
      </w:r>
      <w:r w:rsidR="0026091E" w:rsidRPr="00451473">
        <w:rPr>
          <w:lang w:val="de-DE"/>
        </w:rPr>
        <w:t>em Kern des</w:t>
      </w:r>
      <w:r w:rsidR="00E30F19" w:rsidRPr="00451473">
        <w:rPr>
          <w:lang w:val="de-DE"/>
        </w:rPr>
        <w:t xml:space="preserve"> Vorschlag</w:t>
      </w:r>
      <w:r w:rsidR="0026091E" w:rsidRPr="00451473">
        <w:rPr>
          <w:lang w:val="de-DE"/>
        </w:rPr>
        <w:t>s</w:t>
      </w:r>
      <w:r w:rsidR="00E30F19" w:rsidRPr="00451473">
        <w:rPr>
          <w:lang w:val="de-DE"/>
        </w:rPr>
        <w:t xml:space="preserve"> widerspricht.</w:t>
      </w:r>
      <w:r w:rsidRPr="00451473">
        <w:rPr>
          <w:lang w:val="de-DE"/>
        </w:rPr>
        <w:t xml:space="preserve"> </w:t>
      </w:r>
      <w:r w:rsidR="0026091E" w:rsidRPr="00451473">
        <w:rPr>
          <w:lang w:val="de-DE"/>
        </w:rPr>
        <w:t xml:space="preserve">Daher </w:t>
      </w:r>
      <w:r w:rsidR="001F3F11" w:rsidRPr="00451473">
        <w:rPr>
          <w:lang w:val="de-DE"/>
        </w:rPr>
        <w:t>besteht</w:t>
      </w:r>
      <w:r w:rsidR="0026091E" w:rsidRPr="00451473">
        <w:rPr>
          <w:lang w:val="de-DE"/>
        </w:rPr>
        <w:t xml:space="preserve"> die einzige </w:t>
      </w:r>
      <w:r w:rsidR="001F3F11" w:rsidRPr="00451473">
        <w:rPr>
          <w:lang w:val="de-DE"/>
        </w:rPr>
        <w:t>denkbare</w:t>
      </w:r>
      <w:r w:rsidR="0026091E" w:rsidRPr="00451473">
        <w:rPr>
          <w:lang w:val="de-DE"/>
        </w:rPr>
        <w:t xml:space="preserve"> Änderung des Vorschlags, </w:t>
      </w:r>
      <w:r w:rsidR="001F3F11" w:rsidRPr="00451473">
        <w:rPr>
          <w:lang w:val="de-DE"/>
        </w:rPr>
        <w:t>die eine Zusammenführung der Standpunkte Frankreichs und der Niederlande einerseits und des CEFIC</w:t>
      </w:r>
      <w:r w:rsidR="0026091E" w:rsidRPr="00451473">
        <w:rPr>
          <w:lang w:val="de-DE"/>
        </w:rPr>
        <w:t xml:space="preserve"> </w:t>
      </w:r>
      <w:r w:rsidR="001F3F11" w:rsidRPr="00451473">
        <w:rPr>
          <w:lang w:val="de-DE"/>
        </w:rPr>
        <w:t>andererseits erlauben würde, darin, „gasfrei“ durch „</w:t>
      </w:r>
      <w:r w:rsidR="0089759C" w:rsidRPr="00451473">
        <w:rPr>
          <w:lang w:val="de-DE"/>
        </w:rPr>
        <w:t xml:space="preserve">auf </w:t>
      </w:r>
      <w:r w:rsidR="003B286D" w:rsidRPr="00451473">
        <w:rPr>
          <w:lang w:val="de-DE"/>
        </w:rPr>
        <w:t>unter 10 % der UEG entgast und keine bedeutsame Konzentration an gefährlichen Stoffen</w:t>
      </w:r>
      <w:r w:rsidR="001F3F11" w:rsidRPr="00451473">
        <w:rPr>
          <w:lang w:val="de-DE"/>
        </w:rPr>
        <w:t>“ zu ersetzen.</w:t>
      </w:r>
      <w:r w:rsidRPr="00451473">
        <w:rPr>
          <w:lang w:val="de-DE"/>
        </w:rPr>
        <w:t xml:space="preserve"> </w:t>
      </w:r>
      <w:r w:rsidR="00B54C83" w:rsidRPr="00451473">
        <w:rPr>
          <w:lang w:val="de-DE"/>
        </w:rPr>
        <w:t>Dies bedeutet, dass, wenn eine Landanlage nicht für die Beseitigung von Gasrückständen aus zu beladenden Tanks ausgerüstet ist, die Tanks nicht vollständig entgast werden müssen.</w:t>
      </w:r>
    </w:p>
    <w:p w:rsidR="008E35AE" w:rsidRPr="00451473" w:rsidRDefault="008E35AE" w:rsidP="00370D4E">
      <w:pPr>
        <w:pStyle w:val="SingleTxtG"/>
        <w:rPr>
          <w:lang w:val="de-DE"/>
        </w:rPr>
      </w:pPr>
      <w:r w:rsidRPr="00451473">
        <w:rPr>
          <w:lang w:val="de-DE"/>
        </w:rPr>
        <w:t>6.</w:t>
      </w:r>
      <w:r w:rsidRPr="00451473">
        <w:rPr>
          <w:lang w:val="de-DE"/>
        </w:rPr>
        <w:tab/>
      </w:r>
      <w:r w:rsidR="00603686" w:rsidRPr="00451473">
        <w:rPr>
          <w:lang w:val="de-DE"/>
        </w:rPr>
        <w:t>Im Hinblick auf den</w:t>
      </w:r>
      <w:r w:rsidR="00ED62D6" w:rsidRPr="00451473">
        <w:rPr>
          <w:lang w:val="de-DE"/>
        </w:rPr>
        <w:t xml:space="preserve"> endgültigen Vorschlag sei ergänzend angemerkt, dass es in Kapitel 3.2 Tabelle C Spalte </w:t>
      </w:r>
      <w:r w:rsidR="00B707AA">
        <w:rPr>
          <w:lang w:val="de-DE"/>
        </w:rPr>
        <w:t>(</w:t>
      </w:r>
      <w:r w:rsidR="00ED62D6" w:rsidRPr="00451473">
        <w:rPr>
          <w:lang w:val="de-DE"/>
        </w:rPr>
        <w:t>7</w:t>
      </w:r>
      <w:r w:rsidR="00B707AA">
        <w:rPr>
          <w:lang w:val="de-DE"/>
        </w:rPr>
        <w:t>)</w:t>
      </w:r>
      <w:r w:rsidR="00ED62D6" w:rsidRPr="00451473">
        <w:rPr>
          <w:lang w:val="de-DE"/>
        </w:rPr>
        <w:t xml:space="preserve"> </w:t>
      </w:r>
      <w:r w:rsidR="00603686" w:rsidRPr="00451473">
        <w:rPr>
          <w:lang w:val="de-DE"/>
        </w:rPr>
        <w:t xml:space="preserve">nicht um Schiffe, sondern </w:t>
      </w:r>
      <w:r w:rsidR="00ED62D6" w:rsidRPr="00451473">
        <w:rPr>
          <w:lang w:val="de-DE"/>
        </w:rPr>
        <w:t xml:space="preserve">um den Ladetankzustand geht und die Verwendung des Ausdrucks „geschlossenes Tankschiff“ </w:t>
      </w:r>
      <w:r w:rsidR="00603686" w:rsidRPr="00451473">
        <w:rPr>
          <w:lang w:val="de-DE"/>
        </w:rPr>
        <w:t>unangemessen und sprachlich missbräuchlich</w:t>
      </w:r>
      <w:r w:rsidR="00ED62D6" w:rsidRPr="00451473">
        <w:rPr>
          <w:lang w:val="de-DE"/>
        </w:rPr>
        <w:t xml:space="preserve"> ist.</w:t>
      </w:r>
    </w:p>
    <w:p w:rsidR="008E35AE" w:rsidRPr="00451473" w:rsidRDefault="008E35AE" w:rsidP="00B05AE7">
      <w:pPr>
        <w:pStyle w:val="HChG"/>
        <w:spacing w:before="240" w:after="200"/>
        <w:rPr>
          <w:lang w:val="en-US"/>
        </w:rPr>
      </w:pPr>
      <w:r w:rsidRPr="00451473">
        <w:rPr>
          <w:lang w:val="de-DE"/>
        </w:rPr>
        <w:tab/>
      </w:r>
      <w:r w:rsidRPr="00451473">
        <w:rPr>
          <w:lang w:val="en-US"/>
        </w:rPr>
        <w:t>II.</w:t>
      </w:r>
      <w:r w:rsidRPr="00451473">
        <w:rPr>
          <w:lang w:val="en-US"/>
        </w:rPr>
        <w:tab/>
      </w:r>
      <w:r w:rsidR="008B5CC7" w:rsidRPr="00451473">
        <w:t>Änderungsvorschläge</w:t>
      </w:r>
    </w:p>
    <w:p w:rsidR="008E35AE" w:rsidRPr="00451473" w:rsidRDefault="008E35AE" w:rsidP="00DF68C5">
      <w:pPr>
        <w:pStyle w:val="SingleTxtG"/>
        <w:rPr>
          <w:spacing w:val="-2"/>
          <w:lang w:val="de-DE"/>
        </w:rPr>
      </w:pPr>
      <w:r w:rsidRPr="00451473">
        <w:rPr>
          <w:spacing w:val="-2"/>
          <w:lang w:val="de-DE"/>
        </w:rPr>
        <w:t>7.</w:t>
      </w:r>
      <w:r w:rsidRPr="00451473">
        <w:rPr>
          <w:spacing w:val="-2"/>
          <w:lang w:val="de-DE"/>
        </w:rPr>
        <w:tab/>
      </w:r>
      <w:r w:rsidR="00561B02" w:rsidRPr="00451473">
        <w:rPr>
          <w:spacing w:val="-2"/>
          <w:lang w:val="de-DE"/>
        </w:rPr>
        <w:t>Die vorgeschlagenen Änderungen tragen der Bemerkung in Absatz 4 und dem niederländischen Vorschlag in Dokument ECE/TRANS/WP.15/AC.2/2015/18 Rechnung (gestrichener Text ist durchgestrichen, neuer Text fettgedruckt und unterstrichen):</w:t>
      </w:r>
    </w:p>
    <w:p w:rsidR="008B5CC7" w:rsidRPr="00451473" w:rsidRDefault="008B5CC7" w:rsidP="008B5CC7">
      <w:pPr>
        <w:pStyle w:val="SingleTxtG"/>
        <w:rPr>
          <w:lang w:val="de-DE"/>
        </w:rPr>
      </w:pPr>
      <w:r w:rsidRPr="00451473">
        <w:rPr>
          <w:bCs/>
          <w:lang w:val="de-DE"/>
        </w:rPr>
        <w:t xml:space="preserve">„7.2.4.25.5 </w:t>
      </w:r>
      <w:r w:rsidRPr="00451473">
        <w:rPr>
          <w:lang w:val="de-DE"/>
        </w:rPr>
        <w:t>Die beim Beladen austretenden Gas/Luftgemische sind über eine Gasabfuhrleitung an Land abzuführen,</w:t>
      </w:r>
    </w:p>
    <w:p w:rsidR="008B5CC7" w:rsidRPr="00451473" w:rsidRDefault="008B5CC7" w:rsidP="008B5CC7">
      <w:pPr>
        <w:pStyle w:val="SingleTxtG"/>
        <w:numPr>
          <w:ilvl w:val="0"/>
          <w:numId w:val="13"/>
        </w:numPr>
        <w:rPr>
          <w:lang w:val="de-DE"/>
        </w:rPr>
      </w:pPr>
      <w:r w:rsidRPr="00451473">
        <w:rPr>
          <w:lang w:val="de-DE"/>
        </w:rPr>
        <w:t>soweit in Kapitel 3.2 Tabelle C Spalte (7) ein geschlossene</w:t>
      </w:r>
      <w:r w:rsidRPr="00451473">
        <w:rPr>
          <w:b/>
          <w:u w:val="single"/>
          <w:lang w:val="de-DE"/>
        </w:rPr>
        <w:t>r</w:t>
      </w:r>
      <w:r w:rsidRPr="00451473">
        <w:rPr>
          <w:strike/>
          <w:lang w:val="de-DE"/>
        </w:rPr>
        <w:t>s</w:t>
      </w:r>
      <w:r w:rsidRPr="00451473">
        <w:rPr>
          <w:lang w:val="de-DE"/>
        </w:rPr>
        <w:t xml:space="preserve"> </w:t>
      </w:r>
      <w:r w:rsidRPr="00451473">
        <w:rPr>
          <w:b/>
          <w:u w:val="single"/>
          <w:lang w:val="de-DE"/>
        </w:rPr>
        <w:t>Ladetank</w:t>
      </w:r>
      <w:r w:rsidRPr="00451473">
        <w:rPr>
          <w:lang w:val="de-DE"/>
        </w:rPr>
        <w:t xml:space="preserve"> </w:t>
      </w:r>
      <w:r w:rsidRPr="00451473">
        <w:rPr>
          <w:strike/>
          <w:lang w:val="de-DE"/>
        </w:rPr>
        <w:t>Schiff</w:t>
      </w:r>
      <w:r w:rsidRPr="00451473">
        <w:rPr>
          <w:lang w:val="de-DE"/>
        </w:rPr>
        <w:t xml:space="preserve"> gefordert wird.</w:t>
      </w:r>
    </w:p>
    <w:p w:rsidR="008B5CC7" w:rsidRPr="00451473" w:rsidRDefault="008B5CC7" w:rsidP="008B5CC7">
      <w:pPr>
        <w:pStyle w:val="SingleTxtG"/>
        <w:rPr>
          <w:b/>
          <w:bCs/>
          <w:u w:val="single"/>
          <w:lang w:val="de-DE"/>
        </w:rPr>
      </w:pPr>
      <w:r w:rsidRPr="00451473">
        <w:rPr>
          <w:b/>
          <w:u w:val="single"/>
          <w:lang w:val="de-DE"/>
        </w:rPr>
        <w:t>oder</w:t>
      </w:r>
    </w:p>
    <w:p w:rsidR="008B5CC7" w:rsidRPr="00B05AE7" w:rsidRDefault="00DF68C5" w:rsidP="00B05AE7">
      <w:pPr>
        <w:pStyle w:val="SingleTxtG"/>
        <w:numPr>
          <w:ilvl w:val="0"/>
          <w:numId w:val="13"/>
        </w:numPr>
        <w:rPr>
          <w:b/>
          <w:u w:val="single"/>
          <w:lang w:val="de-DE"/>
        </w:rPr>
      </w:pPr>
      <w:r w:rsidRPr="00B05AE7">
        <w:rPr>
          <w:b/>
          <w:u w:val="single"/>
          <w:lang w:val="de-DE"/>
        </w:rPr>
        <w:t>für die vorherige Ladung ein geschlossener Ladetank gemäß Kapitel 3.2 Tabelle</w:t>
      </w:r>
      <w:r w:rsidR="00B05AE7">
        <w:rPr>
          <w:b/>
          <w:u w:val="single"/>
          <w:lang w:val="de-DE"/>
        </w:rPr>
        <w:t> </w:t>
      </w:r>
      <w:r w:rsidRPr="00B05AE7">
        <w:rPr>
          <w:b/>
          <w:u w:val="single"/>
          <w:lang w:val="de-DE"/>
        </w:rPr>
        <w:t>C Spalte (7) erforderlich war</w:t>
      </w:r>
      <w:r w:rsidR="009571CB" w:rsidRPr="00B05AE7">
        <w:rPr>
          <w:b/>
          <w:u w:val="single"/>
          <w:lang w:val="de-DE"/>
        </w:rPr>
        <w:t xml:space="preserve"> und </w:t>
      </w:r>
      <w:r w:rsidR="00580E8B" w:rsidRPr="00B05AE7">
        <w:rPr>
          <w:b/>
          <w:u w:val="single"/>
          <w:lang w:val="de-DE"/>
        </w:rPr>
        <w:t xml:space="preserve">die Konzentration an </w:t>
      </w:r>
      <w:r w:rsidR="00BA0C34" w:rsidRPr="00B05AE7">
        <w:rPr>
          <w:b/>
          <w:u w:val="single"/>
          <w:lang w:val="de-DE"/>
        </w:rPr>
        <w:t>brennbaren</w:t>
      </w:r>
      <w:r w:rsidR="00580E8B" w:rsidRPr="00B05AE7">
        <w:rPr>
          <w:b/>
          <w:u w:val="single"/>
          <w:lang w:val="de-DE"/>
        </w:rPr>
        <w:t xml:space="preserve"> Gasen </w:t>
      </w:r>
      <w:r w:rsidR="000143B4" w:rsidRPr="00B05AE7">
        <w:rPr>
          <w:b/>
          <w:u w:val="single"/>
          <w:lang w:val="de-DE"/>
        </w:rPr>
        <w:t xml:space="preserve">im Ladetank </w:t>
      </w:r>
      <w:r w:rsidR="009571CB" w:rsidRPr="00B05AE7">
        <w:rPr>
          <w:b/>
          <w:u w:val="single"/>
          <w:lang w:val="de-DE"/>
        </w:rPr>
        <w:t xml:space="preserve">nach dem Löschen der vorherigen Ladung </w:t>
      </w:r>
      <w:r w:rsidR="00341F10" w:rsidRPr="00B05AE7">
        <w:rPr>
          <w:b/>
          <w:u w:val="single"/>
          <w:lang w:val="de-DE"/>
        </w:rPr>
        <w:t>über 10 %</w:t>
      </w:r>
      <w:r w:rsidR="00AE6318" w:rsidRPr="00B05AE7">
        <w:rPr>
          <w:b/>
          <w:u w:val="single"/>
          <w:lang w:val="de-DE"/>
        </w:rPr>
        <w:t xml:space="preserve"> der U</w:t>
      </w:r>
      <w:r w:rsidR="00341F10" w:rsidRPr="00B05AE7">
        <w:rPr>
          <w:b/>
          <w:u w:val="single"/>
          <w:lang w:val="de-DE"/>
        </w:rPr>
        <w:t xml:space="preserve">EG </w:t>
      </w:r>
      <w:r w:rsidR="00AE6318" w:rsidRPr="00B05AE7">
        <w:rPr>
          <w:b/>
          <w:u w:val="single"/>
          <w:lang w:val="de-DE"/>
        </w:rPr>
        <w:t xml:space="preserve">beträgt oder </w:t>
      </w:r>
      <w:r w:rsidR="00BF06B0" w:rsidRPr="00B05AE7">
        <w:rPr>
          <w:b/>
          <w:u w:val="single"/>
          <w:lang w:val="de-DE"/>
        </w:rPr>
        <w:t>der Ladetank eine bedeutsame Konzentration an anderen gefährlichen Gasen enthält.</w:t>
      </w:r>
      <w:r w:rsidR="00451473" w:rsidRPr="00B05AE7">
        <w:rPr>
          <w:b/>
          <w:u w:val="single"/>
          <w:lang w:val="de-DE"/>
        </w:rPr>
        <w:t>“</w:t>
      </w:r>
    </w:p>
    <w:p w:rsidR="008E35AE" w:rsidRPr="00451473" w:rsidRDefault="008E35AE" w:rsidP="00B05AE7">
      <w:pPr>
        <w:pStyle w:val="HChG"/>
        <w:spacing w:before="240"/>
        <w:rPr>
          <w:lang w:val="de-DE"/>
        </w:rPr>
      </w:pPr>
      <w:r w:rsidRPr="00451473">
        <w:rPr>
          <w:lang w:val="de-DE"/>
        </w:rPr>
        <w:tab/>
      </w:r>
      <w:r w:rsidR="000143B4" w:rsidRPr="00451473">
        <w:rPr>
          <w:lang w:val="de-DE"/>
        </w:rPr>
        <w:t>III.</w:t>
      </w:r>
      <w:r w:rsidRPr="00451473">
        <w:rPr>
          <w:lang w:val="de-DE"/>
        </w:rPr>
        <w:tab/>
      </w:r>
      <w:r w:rsidR="008B5CC7" w:rsidRPr="00451473">
        <w:rPr>
          <w:lang w:val="de-DE"/>
        </w:rPr>
        <w:t>Weiteres Vorgehen</w:t>
      </w:r>
    </w:p>
    <w:p w:rsidR="00B05AE7" w:rsidRDefault="008E35AE" w:rsidP="00B05AE7">
      <w:pPr>
        <w:pStyle w:val="SingleTxtG"/>
        <w:rPr>
          <w:lang w:val="de-DE"/>
        </w:rPr>
      </w:pPr>
      <w:r w:rsidRPr="00451473">
        <w:rPr>
          <w:lang w:val="de-DE"/>
        </w:rPr>
        <w:t xml:space="preserve">8. </w:t>
      </w:r>
      <w:r w:rsidRPr="00451473">
        <w:rPr>
          <w:lang w:val="de-DE"/>
        </w:rPr>
        <w:tab/>
      </w:r>
      <w:r w:rsidR="004F2ECA" w:rsidRPr="00451473">
        <w:rPr>
          <w:lang w:val="de-DE"/>
        </w:rPr>
        <w:t>Der Sicherheitsausschuss wird gebeten, die Vorschläge in Absatz 7 zu prüfen und die aus seiner Sicht notwendigen Maßnahmen zu ergreifen.</w:t>
      </w:r>
    </w:p>
    <w:p w:rsidR="00C60012" w:rsidRPr="00C60012" w:rsidRDefault="00C60012" w:rsidP="00B05AE7">
      <w:pPr>
        <w:pStyle w:val="SingleTxtG"/>
        <w:spacing w:after="0"/>
        <w:jc w:val="center"/>
        <w:rPr>
          <w:lang w:val="de-DE"/>
        </w:rPr>
      </w:pPr>
      <w:r w:rsidRPr="00451473">
        <w:rPr>
          <w:lang w:val="de-DE"/>
        </w:rPr>
        <w:t>***</w:t>
      </w:r>
    </w:p>
    <w:sectPr w:rsidR="00C60012" w:rsidRPr="00C60012" w:rsidSect="00C1120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D2" w:rsidRPr="00FB1744" w:rsidRDefault="00E82BD2" w:rsidP="00FB1744">
      <w:pPr>
        <w:pStyle w:val="Footer"/>
      </w:pPr>
    </w:p>
  </w:endnote>
  <w:endnote w:type="continuationSeparator" w:id="0">
    <w:p w:rsidR="00E82BD2" w:rsidRPr="00FB1744" w:rsidRDefault="00E82BD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C70675" w:rsidRDefault="00A05088" w:rsidP="00F643BA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Pr="00F66431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Pr="00F66431">
      <w:rPr>
        <w:rFonts w:ascii="Arial" w:hAnsi="Arial"/>
        <w:noProof/>
        <w:sz w:val="12"/>
        <w:szCs w:val="24"/>
        <w:lang w:val="fr-FR"/>
      </w:rPr>
      <w:t>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 w:rsidR="00502D9E">
      <w:rPr>
        <w:rFonts w:ascii="Arial" w:hAnsi="Arial"/>
        <w:noProof/>
        <w:sz w:val="12"/>
        <w:szCs w:val="24"/>
        <w:lang w:val="fr-FR"/>
      </w:rPr>
      <w:t>4</w:t>
    </w:r>
    <w:r w:rsidR="00D43985">
      <w:rPr>
        <w:rFonts w:ascii="Arial" w:hAnsi="Arial"/>
        <w:noProof/>
        <w:sz w:val="12"/>
        <w:szCs w:val="24"/>
        <w:lang w:val="fr-FR"/>
      </w:rPr>
      <w:t>4</w:t>
    </w:r>
    <w:r>
      <w:rPr>
        <w:rFonts w:ascii="Arial" w:hAnsi="Arial"/>
        <w:noProof/>
        <w:sz w:val="12"/>
        <w:szCs w:val="24"/>
        <w:lang w:val="fr-FR"/>
      </w:rPr>
      <w:t>d</w:t>
    </w:r>
    <w:r w:rsidRPr="00F66431">
      <w:rPr>
        <w:rFonts w:ascii="Arial" w:hAnsi="Arial"/>
        <w:noProof/>
        <w:sz w:val="12"/>
        <w:szCs w:val="24"/>
        <w:lang w:val="fr-FR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C70675" w:rsidRDefault="00A05088" w:rsidP="00F643BA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Pr="00F66431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Pr="00F66431">
      <w:rPr>
        <w:rFonts w:ascii="Arial" w:hAnsi="Arial"/>
        <w:noProof/>
        <w:sz w:val="12"/>
        <w:szCs w:val="24"/>
        <w:lang w:val="fr-FR"/>
      </w:rPr>
      <w:t>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 w:rsidR="00502D9E">
      <w:rPr>
        <w:rFonts w:ascii="Arial" w:hAnsi="Arial"/>
        <w:noProof/>
        <w:sz w:val="12"/>
        <w:szCs w:val="24"/>
        <w:lang w:val="fr-FR"/>
      </w:rPr>
      <w:t>49</w:t>
    </w:r>
    <w:r>
      <w:rPr>
        <w:rFonts w:ascii="Arial" w:hAnsi="Arial"/>
        <w:noProof/>
        <w:sz w:val="12"/>
        <w:szCs w:val="24"/>
        <w:lang w:val="fr-FR"/>
      </w:rPr>
      <w:t>d</w:t>
    </w:r>
    <w:r w:rsidRPr="00F66431">
      <w:rPr>
        <w:rFonts w:ascii="Arial" w:hAnsi="Arial"/>
        <w:noProof/>
        <w:sz w:val="12"/>
        <w:szCs w:val="24"/>
        <w:lang w:val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D2" w:rsidRPr="00FB1744" w:rsidRDefault="00E82BD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82BD2" w:rsidRPr="00FB1744" w:rsidRDefault="00E82BD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05088" w:rsidRDefault="00A05088" w:rsidP="00F643BA">
      <w:pPr>
        <w:pStyle w:val="FootnoteText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 w:rsidRPr="00F643BA">
        <w:rPr>
          <w:rStyle w:val="FootnoteReference"/>
          <w:sz w:val="16"/>
          <w:szCs w:val="24"/>
          <w:lang w:val="de-DE"/>
        </w:rPr>
        <w:footnoteRef/>
      </w:r>
      <w:r w:rsidRPr="00F643BA">
        <w:rPr>
          <w:sz w:val="16"/>
          <w:szCs w:val="24"/>
          <w:lang w:val="de-DE"/>
        </w:rPr>
        <w:tab/>
      </w:r>
      <w:r w:rsidRPr="00F643BA">
        <w:rPr>
          <w:sz w:val="16"/>
          <w:szCs w:val="24"/>
          <w:lang w:val="de-DE"/>
        </w:rPr>
        <w:tab/>
      </w:r>
      <w:r w:rsidRPr="00F643BA">
        <w:rPr>
          <w:noProof/>
          <w:sz w:val="16"/>
          <w:szCs w:val="24"/>
          <w:lang w:val="de-DE"/>
        </w:rPr>
        <w:t>Von der UN-ECE in Englisch, Französisch und Russisch unter dem Aktenzeichen ECE/</w:t>
      </w:r>
      <w:r w:rsidRPr="00F643BA">
        <w:rPr>
          <w:noProof/>
          <w:color w:val="000000"/>
          <w:sz w:val="16"/>
          <w:szCs w:val="24"/>
          <w:lang w:val="de-DE"/>
        </w:rPr>
        <w:t>TRANS/WP.15/AC.2/2016/</w:t>
      </w:r>
      <w:r w:rsidR="00502D9E">
        <w:rPr>
          <w:noProof/>
          <w:color w:val="000000"/>
          <w:sz w:val="16"/>
          <w:szCs w:val="24"/>
          <w:lang w:val="de-DE"/>
        </w:rPr>
        <w:t>4</w:t>
      </w:r>
      <w:r w:rsidR="008E35AE">
        <w:rPr>
          <w:noProof/>
          <w:color w:val="000000"/>
          <w:sz w:val="16"/>
          <w:szCs w:val="24"/>
          <w:lang w:val="de-DE"/>
        </w:rPr>
        <w:t>4</w:t>
      </w:r>
      <w:r w:rsidRPr="00F643BA">
        <w:rPr>
          <w:noProof/>
          <w:sz w:val="16"/>
          <w:szCs w:val="24"/>
          <w:lang w:val="de-DE"/>
        </w:rPr>
        <w:t xml:space="preserve"> verteilt.</w:t>
      </w:r>
    </w:p>
  </w:footnote>
  <w:footnote w:id="2">
    <w:p w:rsidR="000277F5" w:rsidRPr="00447333" w:rsidRDefault="000277F5" w:rsidP="000277F5">
      <w:pPr>
        <w:pStyle w:val="FootnoteText"/>
        <w:tabs>
          <w:tab w:val="clear" w:pos="1021"/>
          <w:tab w:val="left" w:pos="567"/>
        </w:tabs>
        <w:ind w:left="284" w:right="0" w:firstLine="0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C70675" w:rsidRDefault="00A05088" w:rsidP="00D92C95">
    <w:pPr>
      <w:spacing w:line="240" w:lineRule="auto"/>
    </w:pPr>
    <w:r w:rsidRPr="00AA28C1">
      <w:rPr>
        <w:rFonts w:ascii="Arial" w:hAnsi="Arial"/>
        <w:sz w:val="16"/>
        <w:szCs w:val="16"/>
        <w:lang w:eastAsia="fr-FR"/>
      </w:rPr>
      <w:t>CCNR-ZKR/ADN/WP.15/AC.2/2016/</w:t>
    </w:r>
    <w:r w:rsidR="00D43985">
      <w:rPr>
        <w:rFonts w:ascii="Arial" w:hAnsi="Arial"/>
        <w:sz w:val="16"/>
        <w:szCs w:val="16"/>
        <w:lang w:eastAsia="fr-FR"/>
      </w:rPr>
      <w:t>44</w:t>
    </w:r>
    <w:r>
      <w:rPr>
        <w:rFonts w:ascii="Arial" w:hAnsi="Arial"/>
        <w:sz w:val="16"/>
        <w:szCs w:val="16"/>
        <w:lang w:eastAsia="fr-FR"/>
      </w:rPr>
      <w:br/>
    </w:r>
    <w:r w:rsidRPr="00AA28C1">
      <w:rPr>
        <w:rFonts w:ascii="Arial" w:hAnsi="Arial"/>
        <w:sz w:val="16"/>
        <w:szCs w:val="16"/>
        <w:lang w:val="fr-CH" w:eastAsia="fr-FR"/>
      </w:rPr>
      <w:t xml:space="preserve">Seite </w:t>
    </w:r>
    <w:r w:rsidRPr="00AA28C1">
      <w:rPr>
        <w:rFonts w:ascii="Arial" w:hAnsi="Arial"/>
        <w:sz w:val="16"/>
        <w:szCs w:val="16"/>
        <w:lang w:val="fr-CH" w:eastAsia="fr-FR"/>
      </w:rPr>
      <w:fldChar w:fldCharType="begin"/>
    </w:r>
    <w:r w:rsidRPr="00AA28C1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AA28C1">
      <w:rPr>
        <w:rFonts w:ascii="Arial" w:hAnsi="Arial"/>
        <w:sz w:val="16"/>
        <w:szCs w:val="16"/>
        <w:lang w:val="fr-CH" w:eastAsia="fr-FR"/>
      </w:rPr>
      <w:fldChar w:fldCharType="separate"/>
    </w:r>
    <w:r w:rsidR="00F950EB" w:rsidRPr="00F950EB">
      <w:rPr>
        <w:rFonts w:ascii="Arial" w:hAnsi="Arial"/>
        <w:b/>
        <w:noProof/>
        <w:sz w:val="16"/>
        <w:szCs w:val="16"/>
        <w:lang w:val="fr-CH" w:eastAsia="fr-FR"/>
      </w:rPr>
      <w:t>2</w:t>
    </w:r>
    <w:r w:rsidRPr="00AA28C1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88" w:rsidRPr="00F643BA" w:rsidRDefault="00A05088" w:rsidP="00F643BA">
    <w:pPr>
      <w:spacing w:line="240" w:lineRule="auto"/>
      <w:jc w:val="right"/>
    </w:pPr>
    <w:r w:rsidRPr="00AA28C1">
      <w:rPr>
        <w:rFonts w:ascii="Arial" w:hAnsi="Arial"/>
        <w:sz w:val="16"/>
        <w:szCs w:val="16"/>
        <w:lang w:eastAsia="fr-FR"/>
      </w:rPr>
      <w:t>CCNR-ZKR/ADN/WP.15/AC.2/2016/</w:t>
    </w:r>
    <w:r w:rsidR="00502D9E">
      <w:rPr>
        <w:rFonts w:ascii="Arial" w:hAnsi="Arial"/>
        <w:sz w:val="16"/>
        <w:szCs w:val="16"/>
        <w:lang w:eastAsia="fr-FR"/>
      </w:rPr>
      <w:t>49</w:t>
    </w:r>
    <w:r>
      <w:rPr>
        <w:rFonts w:ascii="Arial" w:hAnsi="Arial"/>
        <w:sz w:val="16"/>
        <w:szCs w:val="16"/>
        <w:lang w:eastAsia="fr-FR"/>
      </w:rPr>
      <w:br/>
    </w:r>
    <w:r w:rsidRPr="00AA28C1">
      <w:rPr>
        <w:rFonts w:ascii="Arial" w:hAnsi="Arial"/>
        <w:sz w:val="16"/>
        <w:szCs w:val="16"/>
        <w:lang w:val="fr-CH" w:eastAsia="fr-FR"/>
      </w:rPr>
      <w:t xml:space="preserve">Seite </w:t>
    </w:r>
    <w:r w:rsidRPr="00AA28C1">
      <w:rPr>
        <w:rFonts w:ascii="Arial" w:hAnsi="Arial"/>
        <w:sz w:val="16"/>
        <w:szCs w:val="16"/>
        <w:lang w:val="fr-CH" w:eastAsia="fr-FR"/>
      </w:rPr>
      <w:fldChar w:fldCharType="begin"/>
    </w:r>
    <w:r w:rsidRPr="00AA28C1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AA28C1">
      <w:rPr>
        <w:rFonts w:ascii="Arial" w:hAnsi="Arial"/>
        <w:sz w:val="16"/>
        <w:szCs w:val="16"/>
        <w:lang w:val="fr-CH" w:eastAsia="fr-FR"/>
      </w:rPr>
      <w:fldChar w:fldCharType="separate"/>
    </w:r>
    <w:r w:rsidR="00B05AE7" w:rsidRPr="00B05AE7">
      <w:rPr>
        <w:rFonts w:ascii="Arial" w:hAnsi="Arial"/>
        <w:b/>
        <w:noProof/>
        <w:sz w:val="16"/>
        <w:szCs w:val="16"/>
        <w:lang w:val="fr-CH" w:eastAsia="fr-FR"/>
      </w:rPr>
      <w:t>3</w:t>
    </w:r>
    <w:r w:rsidRPr="00AA28C1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72937"/>
    <w:multiLevelType w:val="hybridMultilevel"/>
    <w:tmpl w:val="C914B1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46B"/>
    <w:multiLevelType w:val="hybridMultilevel"/>
    <w:tmpl w:val="13F88958"/>
    <w:lvl w:ilvl="0" w:tplc="593837C6">
      <w:start w:val="2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B510640"/>
    <w:multiLevelType w:val="multilevel"/>
    <w:tmpl w:val="0E5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2162112"/>
    <w:multiLevelType w:val="hybridMultilevel"/>
    <w:tmpl w:val="A69C51E2"/>
    <w:lvl w:ilvl="0" w:tplc="4BCC34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3" w15:restartNumberingAfterBreak="0">
    <w:nsid w:val="7D9F17DD"/>
    <w:multiLevelType w:val="hybridMultilevel"/>
    <w:tmpl w:val="E3246764"/>
    <w:lvl w:ilvl="0" w:tplc="C8200E3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01A06"/>
    <w:rsid w:val="000143B4"/>
    <w:rsid w:val="000227D8"/>
    <w:rsid w:val="000277F5"/>
    <w:rsid w:val="000304E2"/>
    <w:rsid w:val="0003499F"/>
    <w:rsid w:val="0003793D"/>
    <w:rsid w:val="00046E92"/>
    <w:rsid w:val="0007681F"/>
    <w:rsid w:val="00080ABB"/>
    <w:rsid w:val="000B6FBA"/>
    <w:rsid w:val="000D23CF"/>
    <w:rsid w:val="001033AA"/>
    <w:rsid w:val="00110BC4"/>
    <w:rsid w:val="001170DC"/>
    <w:rsid w:val="00161FFC"/>
    <w:rsid w:val="001A5D77"/>
    <w:rsid w:val="001E0828"/>
    <w:rsid w:val="001F3F11"/>
    <w:rsid w:val="00214C49"/>
    <w:rsid w:val="00224C7D"/>
    <w:rsid w:val="002410B5"/>
    <w:rsid w:val="00247E2C"/>
    <w:rsid w:val="00250D23"/>
    <w:rsid w:val="00255FB8"/>
    <w:rsid w:val="0026091E"/>
    <w:rsid w:val="00273D53"/>
    <w:rsid w:val="00287D89"/>
    <w:rsid w:val="002A0380"/>
    <w:rsid w:val="002A0790"/>
    <w:rsid w:val="002A190C"/>
    <w:rsid w:val="002A7911"/>
    <w:rsid w:val="002B0AF4"/>
    <w:rsid w:val="002D340F"/>
    <w:rsid w:val="002D6C53"/>
    <w:rsid w:val="002E2743"/>
    <w:rsid w:val="002F5595"/>
    <w:rsid w:val="00307838"/>
    <w:rsid w:val="00315769"/>
    <w:rsid w:val="00317487"/>
    <w:rsid w:val="003233C1"/>
    <w:rsid w:val="0033031D"/>
    <w:rsid w:val="00334F6A"/>
    <w:rsid w:val="00336ADA"/>
    <w:rsid w:val="00341F10"/>
    <w:rsid w:val="00342AC8"/>
    <w:rsid w:val="00352686"/>
    <w:rsid w:val="00356D12"/>
    <w:rsid w:val="00370D4E"/>
    <w:rsid w:val="003877D3"/>
    <w:rsid w:val="003B1001"/>
    <w:rsid w:val="003B286D"/>
    <w:rsid w:val="003B4550"/>
    <w:rsid w:val="003C7DA2"/>
    <w:rsid w:val="003F4682"/>
    <w:rsid w:val="00421191"/>
    <w:rsid w:val="004261D0"/>
    <w:rsid w:val="00433DF4"/>
    <w:rsid w:val="004450BA"/>
    <w:rsid w:val="00451473"/>
    <w:rsid w:val="00456795"/>
    <w:rsid w:val="00457A50"/>
    <w:rsid w:val="00461253"/>
    <w:rsid w:val="00464F44"/>
    <w:rsid w:val="00470FE6"/>
    <w:rsid w:val="00476FCA"/>
    <w:rsid w:val="0048220C"/>
    <w:rsid w:val="00492409"/>
    <w:rsid w:val="004A5144"/>
    <w:rsid w:val="004B4B35"/>
    <w:rsid w:val="004C36FD"/>
    <w:rsid w:val="004E0108"/>
    <w:rsid w:val="004E1613"/>
    <w:rsid w:val="004F2ECA"/>
    <w:rsid w:val="004F5CFA"/>
    <w:rsid w:val="00502D9E"/>
    <w:rsid w:val="005042C2"/>
    <w:rsid w:val="00507F76"/>
    <w:rsid w:val="00561B02"/>
    <w:rsid w:val="00580E8B"/>
    <w:rsid w:val="00581FCE"/>
    <w:rsid w:val="00586545"/>
    <w:rsid w:val="005C1519"/>
    <w:rsid w:val="005D3910"/>
    <w:rsid w:val="005E769A"/>
    <w:rsid w:val="005F0B9C"/>
    <w:rsid w:val="00603686"/>
    <w:rsid w:val="00617A0B"/>
    <w:rsid w:val="00623B26"/>
    <w:rsid w:val="00670112"/>
    <w:rsid w:val="00671529"/>
    <w:rsid w:val="00677010"/>
    <w:rsid w:val="00694649"/>
    <w:rsid w:val="006A3BE4"/>
    <w:rsid w:val="006A4F82"/>
    <w:rsid w:val="006A76D4"/>
    <w:rsid w:val="006A7DCE"/>
    <w:rsid w:val="006B4D36"/>
    <w:rsid w:val="006D4D61"/>
    <w:rsid w:val="00717266"/>
    <w:rsid w:val="00723AB7"/>
    <w:rsid w:val="007268F9"/>
    <w:rsid w:val="00726EA5"/>
    <w:rsid w:val="00731A6D"/>
    <w:rsid w:val="00737819"/>
    <w:rsid w:val="007529EE"/>
    <w:rsid w:val="007734C2"/>
    <w:rsid w:val="00777E7A"/>
    <w:rsid w:val="00791AD2"/>
    <w:rsid w:val="007A3B8A"/>
    <w:rsid w:val="007C2769"/>
    <w:rsid w:val="007C52B0"/>
    <w:rsid w:val="007E1DFE"/>
    <w:rsid w:val="007E77FC"/>
    <w:rsid w:val="008041D0"/>
    <w:rsid w:val="008075C5"/>
    <w:rsid w:val="00823A76"/>
    <w:rsid w:val="00826C3C"/>
    <w:rsid w:val="008435D2"/>
    <w:rsid w:val="00846AEF"/>
    <w:rsid w:val="0088070B"/>
    <w:rsid w:val="0089759C"/>
    <w:rsid w:val="008A39E9"/>
    <w:rsid w:val="008A4DB8"/>
    <w:rsid w:val="008B5CC7"/>
    <w:rsid w:val="008C0AF4"/>
    <w:rsid w:val="008C5E17"/>
    <w:rsid w:val="008E35AE"/>
    <w:rsid w:val="00900E27"/>
    <w:rsid w:val="00907D9E"/>
    <w:rsid w:val="009411B4"/>
    <w:rsid w:val="0095492B"/>
    <w:rsid w:val="009571CB"/>
    <w:rsid w:val="0096004E"/>
    <w:rsid w:val="00972777"/>
    <w:rsid w:val="00983878"/>
    <w:rsid w:val="00997D91"/>
    <w:rsid w:val="009B2B1C"/>
    <w:rsid w:val="009C17FB"/>
    <w:rsid w:val="009C54C9"/>
    <w:rsid w:val="009D0139"/>
    <w:rsid w:val="009E0F84"/>
    <w:rsid w:val="009F5CDC"/>
    <w:rsid w:val="00A00BD1"/>
    <w:rsid w:val="00A01D60"/>
    <w:rsid w:val="00A05088"/>
    <w:rsid w:val="00A1741D"/>
    <w:rsid w:val="00A25466"/>
    <w:rsid w:val="00A55843"/>
    <w:rsid w:val="00A66BCA"/>
    <w:rsid w:val="00A775CF"/>
    <w:rsid w:val="00A8798D"/>
    <w:rsid w:val="00A9435F"/>
    <w:rsid w:val="00AB3C7E"/>
    <w:rsid w:val="00AB6DD9"/>
    <w:rsid w:val="00AE6318"/>
    <w:rsid w:val="00AF69CF"/>
    <w:rsid w:val="00B05AE7"/>
    <w:rsid w:val="00B06045"/>
    <w:rsid w:val="00B14EDD"/>
    <w:rsid w:val="00B25078"/>
    <w:rsid w:val="00B26D8B"/>
    <w:rsid w:val="00B460D4"/>
    <w:rsid w:val="00B54C83"/>
    <w:rsid w:val="00B55CFC"/>
    <w:rsid w:val="00B628EB"/>
    <w:rsid w:val="00B707AA"/>
    <w:rsid w:val="00B72FE0"/>
    <w:rsid w:val="00B77AC8"/>
    <w:rsid w:val="00BA0C34"/>
    <w:rsid w:val="00BA53C5"/>
    <w:rsid w:val="00BB5003"/>
    <w:rsid w:val="00BE0363"/>
    <w:rsid w:val="00BE3549"/>
    <w:rsid w:val="00BE63DA"/>
    <w:rsid w:val="00BF06B0"/>
    <w:rsid w:val="00BF15BB"/>
    <w:rsid w:val="00C11203"/>
    <w:rsid w:val="00C121C8"/>
    <w:rsid w:val="00C17476"/>
    <w:rsid w:val="00C340C9"/>
    <w:rsid w:val="00C35A27"/>
    <w:rsid w:val="00C50375"/>
    <w:rsid w:val="00C60012"/>
    <w:rsid w:val="00C65593"/>
    <w:rsid w:val="00C66075"/>
    <w:rsid w:val="00C7008B"/>
    <w:rsid w:val="00C71210"/>
    <w:rsid w:val="00C75515"/>
    <w:rsid w:val="00C9406B"/>
    <w:rsid w:val="00C95737"/>
    <w:rsid w:val="00CB2B8B"/>
    <w:rsid w:val="00CB6572"/>
    <w:rsid w:val="00CB67DF"/>
    <w:rsid w:val="00CC2482"/>
    <w:rsid w:val="00CF2F3C"/>
    <w:rsid w:val="00CF35AE"/>
    <w:rsid w:val="00D43985"/>
    <w:rsid w:val="00D45B68"/>
    <w:rsid w:val="00D74315"/>
    <w:rsid w:val="00D7625C"/>
    <w:rsid w:val="00D92C95"/>
    <w:rsid w:val="00DB2823"/>
    <w:rsid w:val="00DB71D0"/>
    <w:rsid w:val="00DD7284"/>
    <w:rsid w:val="00DE0916"/>
    <w:rsid w:val="00DE3392"/>
    <w:rsid w:val="00DE7E06"/>
    <w:rsid w:val="00DF4559"/>
    <w:rsid w:val="00DF68C5"/>
    <w:rsid w:val="00E02C2B"/>
    <w:rsid w:val="00E30475"/>
    <w:rsid w:val="00E30F19"/>
    <w:rsid w:val="00E60370"/>
    <w:rsid w:val="00E624CB"/>
    <w:rsid w:val="00E800CA"/>
    <w:rsid w:val="00E82BD2"/>
    <w:rsid w:val="00E82C7D"/>
    <w:rsid w:val="00EA42BD"/>
    <w:rsid w:val="00EB292F"/>
    <w:rsid w:val="00EC18CD"/>
    <w:rsid w:val="00EC3670"/>
    <w:rsid w:val="00ED62D6"/>
    <w:rsid w:val="00ED6C48"/>
    <w:rsid w:val="00EE137F"/>
    <w:rsid w:val="00F30ED0"/>
    <w:rsid w:val="00F50546"/>
    <w:rsid w:val="00F61D0F"/>
    <w:rsid w:val="00F643BA"/>
    <w:rsid w:val="00F65F5D"/>
    <w:rsid w:val="00F741B6"/>
    <w:rsid w:val="00F86A3A"/>
    <w:rsid w:val="00F950EB"/>
    <w:rsid w:val="00FA0C11"/>
    <w:rsid w:val="00FA60D4"/>
    <w:rsid w:val="00FB1744"/>
    <w:rsid w:val="00FB33E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2986828-22E1-49F5-905B-A30C2B1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1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uisstijl-Ondertekeningvervolg">
    <w:name w:val="Huisstijl - Ondertekening vervolg"/>
    <w:basedOn w:val="Normal"/>
    <w:rsid w:val="00677010"/>
    <w:pPr>
      <w:widowControl w:val="0"/>
      <w:autoSpaceDN w:val="0"/>
      <w:spacing w:line="240" w:lineRule="exact"/>
      <w:textAlignment w:val="baseline"/>
    </w:pPr>
    <w:rPr>
      <w:rFonts w:ascii="Verdana" w:eastAsia="Calibri" w:hAnsi="Verdana" w:cs="Lohit Hindi"/>
      <w:i/>
      <w:kern w:val="3"/>
      <w:sz w:val="18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E35A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2DA0-79E8-48DE-B4DF-E83C4B1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Caillot</cp:lastModifiedBy>
  <cp:revision>2</cp:revision>
  <cp:lastPrinted>2016-07-04T05:55:00Z</cp:lastPrinted>
  <dcterms:created xsi:type="dcterms:W3CDTF">2016-07-04T09:21:00Z</dcterms:created>
  <dcterms:modified xsi:type="dcterms:W3CDTF">2016-07-04T09:21:00Z</dcterms:modified>
</cp:coreProperties>
</file>