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8683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F23F65">
            <w:pPr>
              <w:jc w:val="right"/>
              <w:rPr>
                <w:lang w:val="en-GB"/>
              </w:rPr>
            </w:pPr>
            <w:r w:rsidRPr="00171EA3">
              <w:rPr>
                <w:sz w:val="40"/>
                <w:lang w:val="en-GB"/>
              </w:rPr>
              <w:t>ECE</w:t>
            </w:r>
            <w:r w:rsidR="00A86837">
              <w:rPr>
                <w:lang w:val="en-GB"/>
              </w:rPr>
              <w:t>/TRANS/WP.15/AC.2</w:t>
            </w:r>
            <w:r w:rsidRPr="00171EA3">
              <w:rPr>
                <w:lang w:val="en-GB"/>
              </w:rPr>
              <w:t>/201</w:t>
            </w:r>
            <w:r w:rsidR="00A86837">
              <w:rPr>
                <w:lang w:val="en-GB"/>
              </w:rPr>
              <w:t>6</w:t>
            </w:r>
            <w:r w:rsidRPr="00171EA3">
              <w:rPr>
                <w:lang w:val="en-GB"/>
              </w:rPr>
              <w:t>/</w:t>
            </w:r>
            <w:r w:rsidR="00B3696B">
              <w:rPr>
                <w:lang w:val="en-GB"/>
              </w:rPr>
              <w:t>4</w:t>
            </w:r>
            <w:r w:rsidR="00F23F65">
              <w:rPr>
                <w:lang w:val="en-GB"/>
              </w:rPr>
              <w:t>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US"/>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w:t>
            </w:r>
            <w:r w:rsidR="0038672B">
              <w:rPr>
                <w:lang w:val="fr-FR"/>
              </w:rPr>
              <w:t>:</w:t>
            </w:r>
            <w:bookmarkStart w:id="0" w:name="_GoBack"/>
            <w:bookmarkEnd w:id="0"/>
            <w:r>
              <w:rPr>
                <w:lang w:val="fr-FR"/>
              </w:rPr>
              <w:t xml:space="preserve"> générale</w:t>
            </w:r>
          </w:p>
          <w:p w:rsidR="00C4302B" w:rsidRDefault="005B78AE" w:rsidP="00C4302B">
            <w:pPr>
              <w:spacing w:line="240" w:lineRule="exact"/>
              <w:rPr>
                <w:lang w:val="fr-FR"/>
              </w:rPr>
            </w:pPr>
            <w:r>
              <w:rPr>
                <w:lang w:val="fr-FR"/>
              </w:rPr>
              <w:t>8</w:t>
            </w:r>
            <w:r w:rsidR="00143574">
              <w:rPr>
                <w:lang w:val="fr-FR"/>
              </w:rPr>
              <w:t xml:space="preserve"> juin</w:t>
            </w:r>
            <w:r w:rsidR="00B30CFB">
              <w:rPr>
                <w:lang w:val="fr-FR"/>
              </w:rPr>
              <w:t xml:space="preserve"> 2016</w:t>
            </w:r>
          </w:p>
          <w:p w:rsidR="00C4302B" w:rsidRDefault="00C4302B" w:rsidP="00C4302B">
            <w:pPr>
              <w:spacing w:line="240" w:lineRule="exact"/>
              <w:rPr>
                <w:lang w:val="fr-FR"/>
              </w:rPr>
            </w:pPr>
          </w:p>
          <w:p w:rsidR="00C4302B" w:rsidRPr="00367E6A" w:rsidRDefault="00C4302B" w:rsidP="00B30CFB">
            <w:pPr>
              <w:spacing w:line="240" w:lineRule="exact"/>
              <w:rPr>
                <w:lang w:val="fr-FR"/>
              </w:rPr>
            </w:pPr>
            <w:r>
              <w:rPr>
                <w:lang w:val="fr-FR"/>
              </w:rPr>
              <w:t xml:space="preserve">Original: français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49374F" w:rsidP="0049374F">
      <w:pPr>
        <w:spacing w:before="120"/>
        <w:rPr>
          <w:b/>
        </w:rPr>
      </w:pPr>
      <w:r>
        <w:rPr>
          <w:b/>
        </w:rPr>
        <w:t>Vingt-</w:t>
      </w:r>
      <w:r w:rsidR="00B30CFB">
        <w:rPr>
          <w:b/>
        </w:rPr>
        <w:t>neuvième</w:t>
      </w:r>
      <w:r>
        <w:rPr>
          <w:b/>
        </w:rPr>
        <w:t xml:space="preserve"> </w:t>
      </w:r>
      <w:r w:rsidRPr="00234E40">
        <w:rPr>
          <w:b/>
        </w:rPr>
        <w:t>session</w:t>
      </w:r>
    </w:p>
    <w:p w:rsidR="0049374F" w:rsidRDefault="0049374F" w:rsidP="0049374F">
      <w:r>
        <w:t>Genève, 2</w:t>
      </w:r>
      <w:r w:rsidR="00B30CFB">
        <w:t>2</w:t>
      </w:r>
      <w:r>
        <w:t>-2</w:t>
      </w:r>
      <w:r w:rsidR="00B30CFB">
        <w:t>5</w:t>
      </w:r>
      <w:r>
        <w:t xml:space="preserve"> </w:t>
      </w:r>
      <w:r w:rsidR="00B30CFB">
        <w:t>août</w:t>
      </w:r>
      <w:r>
        <w:t xml:space="preserve"> 2016</w:t>
      </w:r>
    </w:p>
    <w:p w:rsidR="0049374F" w:rsidRDefault="0049374F" w:rsidP="0049374F">
      <w:r w:rsidRPr="00B93E72">
        <w:t xml:space="preserve">Point </w:t>
      </w:r>
      <w:r w:rsidR="0013653F" w:rsidRPr="0013653F">
        <w:t>4</w:t>
      </w:r>
      <w:r w:rsidRPr="0013653F">
        <w:t xml:space="preserve"> </w:t>
      </w:r>
      <w:r w:rsidR="0013653F" w:rsidRPr="0013653F">
        <w:t>b</w:t>
      </w:r>
      <w:r w:rsidRPr="0013653F">
        <w:t>)</w:t>
      </w:r>
      <w:r w:rsidRPr="00B93E72">
        <w:t xml:space="preserve"> de l</w:t>
      </w:r>
      <w:r>
        <w:t>’</w:t>
      </w:r>
      <w:r w:rsidRPr="00B93E72">
        <w:t>ordre du jour provisoire</w:t>
      </w:r>
    </w:p>
    <w:p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Pr="00B30CFB">
        <w:rPr>
          <w:b/>
          <w:lang w:val="fr-FR"/>
        </w:rPr>
        <w:t>èglement annexé à l'ADN :</w:t>
      </w:r>
    </w:p>
    <w:p w:rsidR="0049374F" w:rsidRPr="00C63AC1" w:rsidRDefault="0013653F" w:rsidP="00B30CFB">
      <w:r>
        <w:rPr>
          <w:b/>
          <w:lang w:val="fr-FR"/>
        </w:rPr>
        <w:t>autres propositions</w:t>
      </w:r>
    </w:p>
    <w:p w:rsidR="00A86837" w:rsidRPr="00EA0C87" w:rsidRDefault="0049374F" w:rsidP="00F23F65">
      <w:pPr>
        <w:pStyle w:val="HChG"/>
      </w:pPr>
      <w:r w:rsidRPr="00C63AC1">
        <w:tab/>
      </w:r>
      <w:r w:rsidR="00A86837" w:rsidRPr="00C63AC1">
        <w:tab/>
      </w:r>
      <w:r w:rsidR="00F23F65" w:rsidRPr="00F23F65">
        <w:rPr>
          <w:lang w:val="fr-FR"/>
        </w:rPr>
        <w:t>Matériaux de construction</w:t>
      </w:r>
    </w:p>
    <w:p w:rsidR="00A86837" w:rsidRDefault="00A86837" w:rsidP="00D96366">
      <w:pPr>
        <w:pStyle w:val="H1G"/>
        <w:rPr>
          <w:lang w:val="fr-FR"/>
        </w:rPr>
      </w:pPr>
      <w:r w:rsidRPr="00EA0C87">
        <w:tab/>
      </w:r>
      <w:r w:rsidRPr="00EA0C87">
        <w:tab/>
      </w:r>
      <w:r w:rsidR="00AA5B1E" w:rsidRPr="00AA5B1E">
        <w:rPr>
          <w:lang w:val="fr-FR"/>
        </w:rPr>
        <w:t>Transmis conjointement par l'Union européenne de la navigation fluviale (UENF), par la European River Sea Transport Union (ERSTU) et par l'Organisation européenne des bateliers (OEB)</w:t>
      </w:r>
      <w:r w:rsidR="00E53D77" w:rsidRPr="00497E7A">
        <w:rPr>
          <w:noProof/>
          <w:snapToGrid w:val="0"/>
          <w:szCs w:val="24"/>
          <w:vertAlign w:val="superscript"/>
          <w:lang w:val="fr-FR" w:eastAsia="fr-FR"/>
        </w:rPr>
        <w:footnoteReference w:id="2"/>
      </w:r>
      <w:r w:rsidR="0013653F" w:rsidRPr="00E97EE2">
        <w:rPr>
          <w:vertAlign w:val="superscript"/>
          <w:lang w:val="fr-FR"/>
        </w:rPr>
        <w:t>,</w:t>
      </w:r>
      <w:r w:rsidR="0013653F">
        <w:rPr>
          <w:lang w:val="fr-FR"/>
        </w:rPr>
        <w:t xml:space="preserve"> </w:t>
      </w:r>
      <w:r w:rsidR="0013653F" w:rsidRPr="0013653F">
        <w:rPr>
          <w:rStyle w:val="FootnoteReference"/>
          <w:sz w:val="24"/>
          <w:szCs w:val="24"/>
        </w:rPr>
        <w:footnoteReference w:id="3"/>
      </w:r>
    </w:p>
    <w:p w:rsidR="00F23F65" w:rsidRPr="00F23F65" w:rsidRDefault="00F23F65" w:rsidP="00F23F65">
      <w:pPr>
        <w:pStyle w:val="HChG"/>
        <w:rPr>
          <w:lang w:val="fr-FR"/>
        </w:rPr>
      </w:pPr>
      <w:r>
        <w:rPr>
          <w:lang w:val="fr-FR"/>
        </w:rPr>
        <w:tab/>
      </w:r>
      <w:r>
        <w:rPr>
          <w:lang w:val="fr-FR"/>
        </w:rPr>
        <w:tab/>
      </w:r>
      <w:r w:rsidRPr="00F23F65">
        <w:rPr>
          <w:lang w:val="fr-FR"/>
        </w:rPr>
        <w:t>Introduction</w:t>
      </w:r>
    </w:p>
    <w:p w:rsidR="00F23F65" w:rsidRPr="00F23F65" w:rsidRDefault="00F23F65" w:rsidP="00F23F65">
      <w:pPr>
        <w:pStyle w:val="SingleTxtG"/>
        <w:rPr>
          <w:lang w:val="fr-FR"/>
        </w:rPr>
      </w:pPr>
      <w:r w:rsidRPr="00F23F65">
        <w:rPr>
          <w:lang w:val="fr-FR"/>
        </w:rPr>
        <w:t>1.</w:t>
      </w:r>
      <w:r w:rsidRPr="00F23F65">
        <w:rPr>
          <w:lang w:val="fr-FR"/>
        </w:rPr>
        <w:tab/>
        <w:t>Au cours de sa 28ème session, le Comité de sécurité de l'ADN s'est accordé sur le principe de présenter sous forme de tableau la teneur du 9.3.1.0.1. Le modèle pour un tel tableau qui a été présenté par la profession de la navigation lors de la 28ème session comportait aussi des équipements mobiles. Or, les prescriptions relatives aux équipements mobiles doivent figurer dans la Partie 7 du règlement.</w:t>
      </w:r>
    </w:p>
    <w:p w:rsidR="00AA5B1E" w:rsidRDefault="00F23F65" w:rsidP="00F23F65">
      <w:pPr>
        <w:pStyle w:val="SingleTxtG"/>
        <w:rPr>
          <w:lang w:val="fr-FR"/>
        </w:rPr>
      </w:pPr>
      <w:r w:rsidRPr="00F23F65">
        <w:rPr>
          <w:lang w:val="fr-FR"/>
        </w:rPr>
        <w:t>La profession de la navigation intérieure a par conséquent été invitée à soumettre une nouvelle proposition tenant compte de ce point.</w:t>
      </w:r>
    </w:p>
    <w:p w:rsidR="00F23F65" w:rsidRDefault="00F23F65" w:rsidP="00F23F65">
      <w:pPr>
        <w:pStyle w:val="HChG"/>
        <w:rPr>
          <w:lang w:val="fr-FR"/>
        </w:rPr>
      </w:pPr>
      <w:r>
        <w:rPr>
          <w:lang w:val="fr-FR"/>
        </w:rPr>
        <w:lastRenderedPageBreak/>
        <w:tab/>
      </w:r>
      <w:r>
        <w:rPr>
          <w:lang w:val="fr-FR"/>
        </w:rPr>
        <w:tab/>
      </w:r>
      <w:r w:rsidRPr="00F23F65">
        <w:rPr>
          <w:lang w:val="fr-FR"/>
        </w:rPr>
        <w:t>Proposition 1</w:t>
      </w:r>
    </w:p>
    <w:p w:rsidR="00F23F65" w:rsidRDefault="00F23F65" w:rsidP="00F23F65">
      <w:pPr>
        <w:pStyle w:val="SingleTxtG"/>
        <w:rPr>
          <w:lang w:val="fr-FR"/>
        </w:rPr>
      </w:pPr>
      <w:r w:rsidRPr="00F23F65">
        <w:rPr>
          <w:lang w:val="fr-FR"/>
        </w:rPr>
        <w:t>2.</w:t>
      </w:r>
      <w:r w:rsidRPr="00F23F65">
        <w:rPr>
          <w:lang w:val="fr-FR"/>
        </w:rPr>
        <w:tab/>
        <w:t xml:space="preserve">Les associations de la navigation intérieure maintiennent leur proposition de présenter sous forme de tableau la teneur actuelle des 9.3.x.0.3 a) à c). Une proposition dans ce sens est annexée à la présente. </w:t>
      </w:r>
      <w:r w:rsidRPr="00F23F65">
        <w:rPr>
          <w:b/>
          <w:lang w:val="fr-FR"/>
        </w:rPr>
        <w:t xml:space="preserve">Les équipements mobiles ne figurent plus dans le tableau. </w:t>
      </w:r>
      <w:r w:rsidRPr="00F23F65">
        <w:rPr>
          <w:lang w:val="fr-FR"/>
        </w:rPr>
        <w:t>Le sous-point d) de 9.3.x.0.3 demeure inchangé.</w:t>
      </w:r>
    </w:p>
    <w:p w:rsidR="00F23F65" w:rsidRDefault="00F23F65" w:rsidP="00F23F65">
      <w:pPr>
        <w:pStyle w:val="HChG"/>
        <w:rPr>
          <w:lang w:val="fr-FR"/>
        </w:rPr>
      </w:pPr>
      <w:r>
        <w:rPr>
          <w:lang w:val="fr-FR"/>
        </w:rPr>
        <w:tab/>
      </w:r>
      <w:r>
        <w:rPr>
          <w:lang w:val="fr-FR"/>
        </w:rPr>
        <w:tab/>
      </w:r>
      <w:r w:rsidRPr="00F23F65">
        <w:rPr>
          <w:lang w:val="fr-FR"/>
        </w:rPr>
        <w:t>Proposition 2</w:t>
      </w:r>
    </w:p>
    <w:p w:rsidR="00F23F65" w:rsidRPr="00F23F65" w:rsidRDefault="00F23F65" w:rsidP="00F23F65">
      <w:pPr>
        <w:pStyle w:val="SingleTxtG"/>
        <w:rPr>
          <w:lang w:val="fr-FR"/>
        </w:rPr>
      </w:pPr>
      <w:r w:rsidRPr="00F23F65">
        <w:rPr>
          <w:lang w:val="fr-FR"/>
        </w:rPr>
        <w:t>3.</w:t>
      </w:r>
      <w:r w:rsidRPr="00F23F65">
        <w:rPr>
          <w:lang w:val="fr-FR"/>
        </w:rPr>
        <w:tab/>
        <w:t>Les associations de la navigation intérieure proposent d'insérer à un emplacement approprié dans la partie 7 du règlement la sous-section suivante :</w:t>
      </w:r>
    </w:p>
    <w:p w:rsidR="00F23F65" w:rsidRPr="00F23F65" w:rsidRDefault="00F23F65" w:rsidP="00F23F65">
      <w:pPr>
        <w:pStyle w:val="SingleTxtG"/>
        <w:rPr>
          <w:lang w:val="fr-FR"/>
        </w:rPr>
      </w:pPr>
      <w:r>
        <w:rPr>
          <w:lang w:val="fr-FR"/>
        </w:rPr>
        <w:t>«</w:t>
      </w:r>
      <w:r w:rsidRPr="00F23F65">
        <w:rPr>
          <w:lang w:val="fr-FR"/>
        </w:rPr>
        <w:t>Dans la zone de cargaison ne peuvent être utilisés que les équipements mobiles réalisés avec des matériaux non susceptibles d'être attaqués par la cargaison ni de provoquer de décomposition de celle-ci, ni de former avec celle-ci de combinaisons nocives ou dangereuses Ne sont autorisés que les tapis en caoutchouc réalisés d</w:t>
      </w:r>
      <w:r>
        <w:rPr>
          <w:lang w:val="fr-FR"/>
        </w:rPr>
        <w:t>ans un matériau non conducteur.</w:t>
      </w:r>
      <w:r w:rsidRPr="00F23F65">
        <w:rPr>
          <w:lang w:val="fr-FR"/>
        </w:rPr>
        <w:t>»</w:t>
      </w:r>
    </w:p>
    <w:p w:rsidR="00F23F65" w:rsidRDefault="00F23F65" w:rsidP="00F23F65">
      <w:pPr>
        <w:pStyle w:val="SingleTxtG"/>
        <w:rPr>
          <w:lang w:val="fr-FR"/>
        </w:rPr>
      </w:pPr>
      <w:r w:rsidRPr="00F23F65">
        <w:rPr>
          <w:lang w:val="fr-FR"/>
        </w:rPr>
        <w:tab/>
        <w:t>Remarque: cette rédaction est basée sur la sous-section 9.3.1.0.1.</w:t>
      </w:r>
    </w:p>
    <w:p w:rsidR="00F23F65" w:rsidRDefault="00F23F65" w:rsidP="00F23F65">
      <w:pPr>
        <w:pStyle w:val="HChG"/>
        <w:rPr>
          <w:lang w:val="fr-FR"/>
        </w:rPr>
      </w:pPr>
      <w:r>
        <w:rPr>
          <w:lang w:val="fr-FR"/>
        </w:rPr>
        <w:tab/>
      </w:r>
      <w:r>
        <w:rPr>
          <w:lang w:val="fr-FR"/>
        </w:rPr>
        <w:tab/>
      </w:r>
      <w:r w:rsidRPr="00F23F65">
        <w:rPr>
          <w:lang w:val="fr-FR"/>
        </w:rPr>
        <w:t>Proposition 3</w:t>
      </w:r>
    </w:p>
    <w:p w:rsidR="00F23F65" w:rsidRDefault="00F23F65" w:rsidP="00F23F65">
      <w:pPr>
        <w:pStyle w:val="SingleTxtG"/>
        <w:rPr>
          <w:lang w:val="fr-FR"/>
        </w:rPr>
      </w:pPr>
      <w:r w:rsidRPr="00F23F65">
        <w:rPr>
          <w:lang w:val="fr-FR"/>
        </w:rPr>
        <w:t>4.</w:t>
      </w:r>
      <w:r w:rsidRPr="00F23F65">
        <w:rPr>
          <w:lang w:val="fr-FR"/>
        </w:rPr>
        <w:tab/>
        <w:t>9.3.x.0.5 s’énonce comme suit :</w:t>
      </w:r>
    </w:p>
    <w:p w:rsidR="00F23F65" w:rsidRPr="00F23F65" w:rsidRDefault="00F23F65" w:rsidP="00F23F65">
      <w:pPr>
        <w:pStyle w:val="SingleTxtG"/>
        <w:rPr>
          <w:lang w:val="fr-FR"/>
        </w:rPr>
      </w:pPr>
      <w:r w:rsidRPr="00F23F65">
        <w:rPr>
          <w:lang w:val="fr-FR"/>
        </w:rPr>
        <w:t>« L'emploi de matières plastiques pour les canots n'est autorisé que si le matériau</w:t>
      </w:r>
      <w:r w:rsidR="00735A61">
        <w:rPr>
          <w:lang w:val="fr-FR"/>
        </w:rPr>
        <w:t xml:space="preserve"> est difficilement inflammable.</w:t>
      </w:r>
      <w:r w:rsidRPr="00F23F65">
        <w:rPr>
          <w:lang w:val="fr-FR"/>
        </w:rPr>
        <w:t>».</w:t>
      </w:r>
    </w:p>
    <w:p w:rsidR="00F23F65" w:rsidRPr="00F23F65" w:rsidRDefault="00F23F65" w:rsidP="00F23F65">
      <w:pPr>
        <w:pStyle w:val="SingleTxtG"/>
        <w:rPr>
          <w:lang w:val="fr-FR"/>
        </w:rPr>
      </w:pPr>
      <w:r w:rsidRPr="00F23F65">
        <w:rPr>
          <w:lang w:val="fr-FR"/>
        </w:rPr>
        <w:t>9.3.x.0.5 est modifié comme suit :</w:t>
      </w:r>
    </w:p>
    <w:p w:rsidR="00F23F65" w:rsidRPr="00F23F65" w:rsidRDefault="00F23F65" w:rsidP="00F23F65">
      <w:pPr>
        <w:pStyle w:val="SingleTxtG"/>
        <w:rPr>
          <w:lang w:val="fr-FR"/>
        </w:rPr>
      </w:pPr>
      <w:r w:rsidRPr="00F23F65">
        <w:rPr>
          <w:lang w:val="fr-FR"/>
        </w:rPr>
        <w:t xml:space="preserve">«L’emploi de matières plastiques pour les canots dans la zone de cargaison n’est autorisé que si le matériau est difficilement inflammable. </w:t>
      </w:r>
    </w:p>
    <w:p w:rsidR="00F23F65" w:rsidRDefault="00F23F65" w:rsidP="00F23F65">
      <w:pPr>
        <w:pStyle w:val="SingleTxtG"/>
        <w:rPr>
          <w:lang w:val="fr-FR"/>
        </w:rPr>
      </w:pPr>
      <w:r w:rsidRPr="00F23F65">
        <w:rPr>
          <w:lang w:val="fr-FR"/>
        </w:rPr>
        <w:t>L’emploi d’alliages d’aluminium ou de matières plastiques pour des passages (passerelles) dans la zone de cargaison n’est autorisé que si le matériau est difficilement inflammable et électriquement conducteur.».</w:t>
      </w:r>
    </w:p>
    <w:p w:rsidR="00F23F65" w:rsidRDefault="00F23F65" w:rsidP="00F23F65">
      <w:pPr>
        <w:pStyle w:val="HChG"/>
        <w:rPr>
          <w:lang w:val="fr-FR"/>
        </w:rPr>
      </w:pPr>
      <w:r>
        <w:rPr>
          <w:lang w:val="fr-FR"/>
        </w:rPr>
        <w:tab/>
      </w:r>
      <w:r>
        <w:rPr>
          <w:lang w:val="fr-FR"/>
        </w:rPr>
        <w:tab/>
      </w:r>
      <w:r w:rsidRPr="00F23F65">
        <w:rPr>
          <w:lang w:val="fr-FR"/>
        </w:rPr>
        <w:t>Motif</w:t>
      </w:r>
    </w:p>
    <w:p w:rsidR="00F23F65" w:rsidRPr="00F23F65" w:rsidRDefault="00F23F65" w:rsidP="00F23F65">
      <w:pPr>
        <w:pStyle w:val="SingleTxtG"/>
        <w:rPr>
          <w:lang w:val="fr-FR"/>
        </w:rPr>
      </w:pPr>
      <w:r w:rsidRPr="00F23F65">
        <w:rPr>
          <w:lang w:val="fr-FR"/>
        </w:rPr>
        <w:t>5.</w:t>
      </w:r>
      <w:r w:rsidRPr="00F23F65">
        <w:rPr>
          <w:lang w:val="fr-FR"/>
        </w:rPr>
        <w:tab/>
        <w:t>Le Comité de sécurité a déjà approuvé la présentation sous forme de tableau de la teneur de la sous-section 9.3.1.0.3. La suppression des équipements mobiles répond à la demande du Comité de sécurité. Compte tenu du grand nombre possible d'équipements mobiles, la rédaction de la prescription dans la Partie 7 devrait être de caractère général.</w:t>
      </w:r>
    </w:p>
    <w:p w:rsidR="00F23F65" w:rsidRDefault="00F23F65" w:rsidP="00F23F65">
      <w:pPr>
        <w:pStyle w:val="SingleTxtG"/>
        <w:rPr>
          <w:lang w:val="fr-FR"/>
        </w:rPr>
      </w:pPr>
      <w:r w:rsidRPr="00F23F65">
        <w:rPr>
          <w:lang w:val="fr-FR"/>
        </w:rPr>
        <w:t>La proposition vise uniquement à améliorer la compréhension et à la clarification.</w:t>
      </w:r>
    </w:p>
    <w:p w:rsidR="006876C8" w:rsidRDefault="006876C8" w:rsidP="00F23F65">
      <w:pPr>
        <w:pStyle w:val="SingleTxtG"/>
        <w:rPr>
          <w:lang w:val="fr-FR"/>
        </w:rPr>
        <w:sectPr w:rsidR="006876C8"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rsidR="00F23F65" w:rsidRDefault="004422FA" w:rsidP="004422FA">
      <w:pPr>
        <w:pStyle w:val="HChG"/>
        <w:ind w:hanging="850"/>
        <w:rPr>
          <w:lang w:val="fr-FR"/>
        </w:rPr>
      </w:pPr>
      <w:r>
        <w:rPr>
          <w:lang w:val="fr-FR"/>
        </w:rPr>
        <w:lastRenderedPageBreak/>
        <w:tab/>
      </w:r>
      <w:r w:rsidRPr="004422FA">
        <w:rPr>
          <w:lang w:val="fr-FR"/>
        </w:rPr>
        <w:t>Proposition 1 - 9.3.x.0.3 (demande UENF / OEB / ERSTU)</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64"/>
        <w:gridCol w:w="1260"/>
        <w:gridCol w:w="2215"/>
        <w:gridCol w:w="1260"/>
        <w:gridCol w:w="1260"/>
      </w:tblGrid>
      <w:tr w:rsidR="004422FA" w:rsidRPr="004422FA" w:rsidTr="004422FA">
        <w:trPr>
          <w:trHeight w:val="227"/>
          <w:tblHeader/>
        </w:trPr>
        <w:tc>
          <w:tcPr>
            <w:tcW w:w="6841" w:type="dxa"/>
            <w:tcBorders>
              <w:top w:val="single" w:sz="4" w:space="0" w:color="auto"/>
              <w:bottom w:val="single" w:sz="12" w:space="0" w:color="auto"/>
            </w:tcBorders>
            <w:shd w:val="clear" w:color="auto" w:fill="auto"/>
            <w:noWrap/>
            <w:vAlign w:val="bottom"/>
            <w:hideMark/>
          </w:tcPr>
          <w:p w:rsidR="004422FA" w:rsidRPr="004422FA" w:rsidRDefault="004422FA" w:rsidP="004422FA">
            <w:pPr>
              <w:suppressAutoHyphens w:val="0"/>
              <w:spacing w:before="80" w:after="80" w:line="200" w:lineRule="exact"/>
              <w:ind w:right="113"/>
              <w:rPr>
                <w:i/>
                <w:sz w:val="16"/>
                <w:lang w:val="fr-FR"/>
              </w:rPr>
            </w:pPr>
            <w:r w:rsidRPr="004422FA">
              <w:rPr>
                <w:i/>
                <w:sz w:val="16"/>
                <w:lang w:val="fr-FR"/>
              </w:rPr>
              <w:t> </w:t>
            </w:r>
          </w:p>
        </w:tc>
        <w:tc>
          <w:tcPr>
            <w:tcW w:w="1353" w:type="dxa"/>
            <w:tcBorders>
              <w:top w:val="single" w:sz="4" w:space="0" w:color="auto"/>
              <w:bottom w:val="single" w:sz="12" w:space="0" w:color="auto"/>
            </w:tcBorders>
            <w:shd w:val="clear" w:color="auto" w:fill="auto"/>
            <w:noWrap/>
            <w:vAlign w:val="bottom"/>
            <w:hideMark/>
          </w:tcPr>
          <w:p w:rsidR="004422FA" w:rsidRPr="004422FA" w:rsidRDefault="004422FA" w:rsidP="004422FA">
            <w:pPr>
              <w:suppressAutoHyphens w:val="0"/>
              <w:spacing w:before="80" w:after="80" w:line="200" w:lineRule="exact"/>
              <w:ind w:right="113"/>
              <w:jc w:val="center"/>
              <w:rPr>
                <w:i/>
                <w:sz w:val="16"/>
                <w:lang w:val="fr-FR"/>
              </w:rPr>
            </w:pPr>
            <w:r w:rsidRPr="004422FA">
              <w:rPr>
                <w:i/>
                <w:sz w:val="16"/>
                <w:lang w:val="fr-FR"/>
              </w:rPr>
              <w:t>Bois</w:t>
            </w:r>
          </w:p>
        </w:tc>
        <w:tc>
          <w:tcPr>
            <w:tcW w:w="2380" w:type="dxa"/>
            <w:tcBorders>
              <w:top w:val="single" w:sz="4" w:space="0" w:color="auto"/>
              <w:bottom w:val="single" w:sz="12" w:space="0" w:color="auto"/>
            </w:tcBorders>
            <w:shd w:val="clear" w:color="auto" w:fill="auto"/>
            <w:noWrap/>
            <w:vAlign w:val="bottom"/>
            <w:hideMark/>
          </w:tcPr>
          <w:p w:rsidR="004422FA" w:rsidRPr="004422FA" w:rsidRDefault="004422FA" w:rsidP="004422FA">
            <w:pPr>
              <w:suppressAutoHyphens w:val="0"/>
              <w:spacing w:before="80" w:after="80" w:line="200" w:lineRule="exact"/>
              <w:ind w:right="113"/>
              <w:jc w:val="center"/>
              <w:rPr>
                <w:i/>
                <w:sz w:val="16"/>
                <w:lang w:val="fr-FR"/>
              </w:rPr>
            </w:pPr>
            <w:r w:rsidRPr="004422FA">
              <w:rPr>
                <w:i/>
                <w:sz w:val="16"/>
                <w:lang w:val="fr-FR"/>
              </w:rPr>
              <w:t>Alliages d’aluminium</w:t>
            </w:r>
          </w:p>
        </w:tc>
        <w:tc>
          <w:tcPr>
            <w:tcW w:w="1353" w:type="dxa"/>
            <w:tcBorders>
              <w:top w:val="single" w:sz="4" w:space="0" w:color="auto"/>
              <w:bottom w:val="single" w:sz="12" w:space="0" w:color="auto"/>
            </w:tcBorders>
            <w:shd w:val="clear" w:color="auto" w:fill="auto"/>
            <w:noWrap/>
            <w:vAlign w:val="bottom"/>
            <w:hideMark/>
          </w:tcPr>
          <w:p w:rsidR="004422FA" w:rsidRPr="004422FA" w:rsidRDefault="004422FA" w:rsidP="004422FA">
            <w:pPr>
              <w:suppressAutoHyphens w:val="0"/>
              <w:spacing w:before="80" w:after="80" w:line="200" w:lineRule="exact"/>
              <w:ind w:right="113"/>
              <w:jc w:val="center"/>
              <w:rPr>
                <w:i/>
                <w:sz w:val="16"/>
                <w:lang w:val="fr-FR"/>
              </w:rPr>
            </w:pPr>
            <w:r w:rsidRPr="004422FA">
              <w:rPr>
                <w:i/>
                <w:sz w:val="16"/>
                <w:lang w:val="fr-FR"/>
              </w:rPr>
              <w:t>Matière plastique</w:t>
            </w:r>
          </w:p>
        </w:tc>
        <w:tc>
          <w:tcPr>
            <w:tcW w:w="1353" w:type="dxa"/>
            <w:tcBorders>
              <w:top w:val="single" w:sz="4" w:space="0" w:color="auto"/>
              <w:bottom w:val="single" w:sz="12" w:space="0" w:color="auto"/>
            </w:tcBorders>
            <w:shd w:val="clear" w:color="auto" w:fill="auto"/>
            <w:noWrap/>
            <w:vAlign w:val="bottom"/>
            <w:hideMark/>
          </w:tcPr>
          <w:p w:rsidR="004422FA" w:rsidRPr="004422FA" w:rsidRDefault="004422FA" w:rsidP="004422FA">
            <w:pPr>
              <w:suppressAutoHyphens w:val="0"/>
              <w:spacing w:before="80" w:after="80" w:line="200" w:lineRule="exact"/>
              <w:ind w:right="113"/>
              <w:jc w:val="center"/>
              <w:rPr>
                <w:i/>
                <w:sz w:val="16"/>
                <w:lang w:val="fr-FR"/>
              </w:rPr>
            </w:pPr>
            <w:r w:rsidRPr="004422FA">
              <w:rPr>
                <w:i/>
                <w:sz w:val="16"/>
                <w:lang w:val="fr-FR"/>
              </w:rPr>
              <w:t>Caoutchouc</w:t>
            </w:r>
          </w:p>
        </w:tc>
      </w:tr>
      <w:tr w:rsidR="004422FA" w:rsidRPr="004422FA" w:rsidTr="004422FA">
        <w:trPr>
          <w:trHeight w:val="227"/>
        </w:trPr>
        <w:tc>
          <w:tcPr>
            <w:tcW w:w="6841" w:type="dxa"/>
            <w:tcBorders>
              <w:top w:val="single" w:sz="12" w:space="0" w:color="auto"/>
            </w:tcBorders>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 xml:space="preserve">Passerelles </w:t>
            </w:r>
          </w:p>
        </w:tc>
        <w:tc>
          <w:tcPr>
            <w:tcW w:w="1353" w:type="dxa"/>
            <w:tcBorders>
              <w:top w:val="single" w:sz="12" w:space="0" w:color="auto"/>
            </w:tcBorders>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2380" w:type="dxa"/>
            <w:tcBorders>
              <w:top w:val="single" w:sz="12" w:space="0" w:color="auto"/>
            </w:tcBorders>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tcBorders>
              <w:top w:val="single" w:sz="12" w:space="0" w:color="auto"/>
            </w:tcBorders>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tcBorders>
              <w:top w:val="single" w:sz="12" w:space="0" w:color="auto"/>
            </w:tcBorders>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Echelles extérieures et passages (passerelles)</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Calage de citernes à cargaison indépendantes de la coque et calage d'installations et équipements</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szCs w:val="18"/>
                <w:lang w:val="fr-FR"/>
              </w:rPr>
            </w:pPr>
            <w:r w:rsidRPr="004422FA">
              <w:rPr>
                <w:lang w:val="fr-FR"/>
              </w:rPr>
              <w:t xml:space="preserve">Mâts, hampes de drapeau et mâtures similaires </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Parties de machines</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Habillage de protection de moteurs et de pompes</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szCs w:val="18"/>
                <w:lang w:val="fr-FR"/>
              </w:rPr>
            </w:pPr>
            <w:r w:rsidRPr="004422FA">
              <w:rPr>
                <w:lang w:val="fr-FR"/>
              </w:rPr>
              <w:t>Parties de l'installation électrique y compris isolations, joints d’étanchéité etc.</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Parties de l'installation de chargement et de déchargement y-compris joints d'étanchéité etc.</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 xml:space="preserve">Caisses, armoires ou conteneurs placés sur le pont pour le stockage de pièces d'équipements mobiles, </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szCs w:val="18"/>
                <w:lang w:val="fr-FR"/>
              </w:rPr>
            </w:pPr>
            <w:r w:rsidRPr="004422FA">
              <w:rPr>
                <w:lang w:val="fr-FR"/>
              </w:rPr>
              <w:t>Supports ou butées de tous types</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Ventilateurs, y compris les tuyauteries flexibles pour la ventilation</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 xml:space="preserve">Parties de l'installation d'aspersion d'eau et de la douche, et installation pour le rinçage des yeux et du visage </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 xml:space="preserve">Isolation des citernes à cargaison, des tuyauteries de chargement et de déchargement, des conduites d'évacuation de gaz et des conduites de chauffage </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r>
      <w:tr w:rsidR="004422FA" w:rsidRPr="004422FA" w:rsidTr="004422FA">
        <w:trPr>
          <w:trHeight w:val="227"/>
        </w:trPr>
        <w:tc>
          <w:tcPr>
            <w:tcW w:w="6841" w:type="dxa"/>
            <w:shd w:val="clear" w:color="auto" w:fill="auto"/>
            <w:hideMark/>
          </w:tcPr>
          <w:p w:rsidR="004422FA" w:rsidRPr="004422FA" w:rsidRDefault="004422FA" w:rsidP="004422FA">
            <w:pPr>
              <w:suppressAutoHyphens w:val="0"/>
              <w:spacing w:before="40" w:after="120" w:line="220" w:lineRule="exact"/>
              <w:ind w:right="113"/>
              <w:rPr>
                <w:lang w:val="fr-FR"/>
              </w:rPr>
            </w:pPr>
            <w:r w:rsidRPr="004422FA">
              <w:rPr>
                <w:lang w:val="fr-FR"/>
              </w:rPr>
              <w:t xml:space="preserve">Revêtement des citernes à cargaison et des tuyauteries de chargement et de déchargement </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c>
          <w:tcPr>
            <w:tcW w:w="2380" w:type="dxa"/>
            <w:shd w:val="clear" w:color="auto" w:fill="auto"/>
            <w:noWrap/>
            <w:hideMark/>
          </w:tcPr>
          <w:p w:rsidR="004422FA" w:rsidRPr="004422FA" w:rsidRDefault="004422FA" w:rsidP="004422FA">
            <w:pPr>
              <w:suppressAutoHyphens w:val="0"/>
              <w:spacing w:before="40" w:after="120" w:line="220" w:lineRule="exact"/>
              <w:ind w:right="113"/>
              <w:jc w:val="center"/>
              <w:rPr>
                <w:szCs w:val="22"/>
                <w:lang w:val="fr-FR"/>
              </w:rPr>
            </w:pPr>
            <w:r w:rsidRPr="004422FA">
              <w:rPr>
                <w:szCs w:val="22"/>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r w:rsidRPr="004422FA">
              <w:rPr>
                <w:lang w:val="fr-FR"/>
              </w:rPr>
              <w:t>X</w:t>
            </w:r>
          </w:p>
        </w:tc>
        <w:tc>
          <w:tcPr>
            <w:tcW w:w="1353" w:type="dxa"/>
            <w:shd w:val="clear" w:color="auto" w:fill="auto"/>
            <w:noWrap/>
            <w:hideMark/>
          </w:tcPr>
          <w:p w:rsidR="004422FA" w:rsidRPr="004422FA" w:rsidRDefault="004422FA" w:rsidP="004422FA">
            <w:pPr>
              <w:suppressAutoHyphens w:val="0"/>
              <w:spacing w:before="40" w:after="120" w:line="220" w:lineRule="exact"/>
              <w:ind w:right="113"/>
              <w:jc w:val="center"/>
              <w:rPr>
                <w:lang w:val="fr-FR"/>
              </w:rPr>
            </w:pPr>
          </w:p>
        </w:tc>
      </w:tr>
    </w:tbl>
    <w:p w:rsidR="004422FA" w:rsidRPr="004422FA" w:rsidRDefault="004422FA" w:rsidP="004422FA">
      <w:pPr>
        <w:pStyle w:val="SingleTxtG"/>
        <w:spacing w:before="120"/>
        <w:rPr>
          <w:lang w:val="fr-FR"/>
        </w:rPr>
      </w:pPr>
      <w:r w:rsidRPr="004422FA">
        <w:rPr>
          <w:lang w:val="fr-FR"/>
        </w:rPr>
        <w:t>Les sondes en aluminium sont admises, à condition qu'elles soient munies d'un pied en laiton, ou protégées d'une autre manière pour éviter la production d'étincelles.</w:t>
      </w:r>
    </w:p>
    <w:p w:rsidR="008D0723" w:rsidRPr="006A5D70" w:rsidRDefault="00D440EE" w:rsidP="00D440EE">
      <w:pPr>
        <w:spacing w:before="240"/>
        <w:ind w:left="1134" w:right="1134"/>
        <w:jc w:val="center"/>
        <w:rPr>
          <w:u w:val="single"/>
        </w:rPr>
      </w:pPr>
      <w:r w:rsidRPr="006A5D70">
        <w:rPr>
          <w:u w:val="single"/>
        </w:rPr>
        <w:tab/>
      </w:r>
      <w:r w:rsidRPr="006A5D70">
        <w:rPr>
          <w:u w:val="single"/>
        </w:rPr>
        <w:tab/>
      </w:r>
      <w:r w:rsidRPr="006A5D70">
        <w:rPr>
          <w:u w:val="single"/>
        </w:rPr>
        <w:tab/>
      </w:r>
    </w:p>
    <w:sectPr w:rsidR="008D0723" w:rsidRPr="006A5D70" w:rsidSect="006876C8">
      <w:headerReference w:type="default" r:id="rId13"/>
      <w:footerReference w:type="default" r:id="rId14"/>
      <w:headerReference w:type="first" r:id="rId15"/>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5A" w:rsidRDefault="0006085A"/>
  </w:endnote>
  <w:endnote w:type="continuationSeparator" w:id="0">
    <w:p w:rsidR="0006085A" w:rsidRDefault="0006085A"/>
  </w:endnote>
  <w:endnote w:type="continuationNotice" w:id="1">
    <w:p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38672B">
      <w:rPr>
        <w:b/>
        <w:noProof/>
        <w:sz w:val="18"/>
      </w:rPr>
      <w:t>2</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6876C8">
      <w:rPr>
        <w:b/>
        <w:noProof/>
        <w:sz w:val="18"/>
      </w:rPr>
      <w:t>3</w:t>
    </w:r>
    <w:r w:rsidRPr="00297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C8" w:rsidRPr="006876C8" w:rsidRDefault="006876C8" w:rsidP="006876C8">
    <w:pPr>
      <w:pStyle w:val="Footer"/>
    </w:pPr>
    <w:r>
      <w:rPr>
        <w:noProof/>
        <w:lang w:val="en-US"/>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6876C8" w:rsidRPr="0029776B" w:rsidRDefault="006876C8" w:rsidP="006876C8">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38672B">
                            <w:rPr>
                              <w:b/>
                              <w:noProof/>
                              <w:sz w:val="18"/>
                            </w:rPr>
                            <w:t>3</w:t>
                          </w:r>
                          <w:r w:rsidRPr="0029776B">
                            <w:rPr>
                              <w:b/>
                              <w:sz w:val="18"/>
                            </w:rPr>
                            <w:fldChar w:fldCharType="end"/>
                          </w:r>
                        </w:p>
                        <w:p w:rsidR="006876C8" w:rsidRDefault="00687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" fillcolor="white [3212]" stroked="f">
              <v:stroke joinstyle="round"/>
              <v:path arrowok="t"/>
              <v:textbox style="layout-flow:vertical" inset="0,0,0,0">
                <w:txbxContent>
                  <w:p w:rsidR="006876C8" w:rsidRPr="0029776B" w:rsidRDefault="006876C8" w:rsidP="006876C8">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38672B">
                      <w:rPr>
                        <w:b/>
                        <w:noProof/>
                        <w:sz w:val="18"/>
                      </w:rPr>
                      <w:t>3</w:t>
                    </w:r>
                    <w:r w:rsidRPr="0029776B">
                      <w:rPr>
                        <w:b/>
                        <w:sz w:val="18"/>
                      </w:rPr>
                      <w:fldChar w:fldCharType="end"/>
                    </w:r>
                  </w:p>
                  <w:p w:rsidR="006876C8" w:rsidRDefault="006876C8"/>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5A" w:rsidRPr="00D27D5E" w:rsidRDefault="0006085A" w:rsidP="00D27D5E">
      <w:pPr>
        <w:tabs>
          <w:tab w:val="right" w:pos="2155"/>
        </w:tabs>
        <w:spacing w:after="80"/>
        <w:ind w:left="680"/>
        <w:rPr>
          <w:u w:val="single"/>
        </w:rPr>
      </w:pPr>
      <w:r>
        <w:rPr>
          <w:u w:val="single"/>
        </w:rPr>
        <w:tab/>
      </w:r>
    </w:p>
  </w:footnote>
  <w:footnote w:type="continuationSeparator" w:id="0">
    <w:p w:rsidR="0006085A" w:rsidRPr="00A80554" w:rsidRDefault="0006085A" w:rsidP="00A80554">
      <w:pPr>
        <w:tabs>
          <w:tab w:val="left" w:pos="2155"/>
        </w:tabs>
        <w:spacing w:after="80"/>
        <w:ind w:left="680"/>
        <w:rPr>
          <w:u w:val="single"/>
        </w:rPr>
      </w:pPr>
      <w:r w:rsidRPr="00A80554">
        <w:rPr>
          <w:u w:val="single"/>
        </w:rPr>
        <w:tab/>
      </w:r>
    </w:p>
  </w:footnote>
  <w:footnote w:type="continuationNotice" w:id="1">
    <w:p w:rsidR="0006085A" w:rsidRDefault="0006085A"/>
  </w:footnote>
  <w:footnote w:id="2">
    <w:p w:rsidR="0006085A" w:rsidRPr="00F337B3" w:rsidRDefault="0006085A" w:rsidP="00E53D77">
      <w:pPr>
        <w:pStyle w:val="FootnoteText"/>
      </w:pPr>
      <w:r>
        <w:rPr>
          <w:szCs w:val="24"/>
        </w:rPr>
        <w:tab/>
      </w:r>
      <w:r w:rsidRPr="00F337B3">
        <w:rPr>
          <w:rStyle w:val="FootnoteReference"/>
          <w:szCs w:val="24"/>
        </w:rPr>
        <w:footnoteRef/>
      </w:r>
      <w:r w:rsidRPr="00F337B3">
        <w:rPr>
          <w:szCs w:val="24"/>
        </w:rPr>
        <w:tab/>
      </w:r>
      <w:r w:rsidRPr="00F337B3">
        <w:t xml:space="preserve">Diffusé en langue </w:t>
      </w:r>
      <w:r w:rsidRPr="00D64213">
        <w:t>allemande</w:t>
      </w:r>
      <w:r w:rsidRPr="00F337B3">
        <w:t xml:space="preserve"> par la Commission centrale pour la navigation du Rhin sous la cote</w:t>
      </w:r>
      <w:r w:rsidR="00AA5B1E">
        <w:t xml:space="preserve"> CCNR/ZKR/ADN/WP.15/</w:t>
      </w:r>
      <w:r w:rsidR="00F23F65">
        <w:t>AC.2/2016/41</w:t>
      </w:r>
      <w:r w:rsidRPr="00F337B3">
        <w:rPr>
          <w:noProof/>
        </w:rPr>
        <w:t>.</w:t>
      </w:r>
    </w:p>
  </w:footnote>
  <w:footnote w:id="3">
    <w:p w:rsidR="0013653F" w:rsidRDefault="0013653F" w:rsidP="0013653F">
      <w:pPr>
        <w:pStyle w:val="FootnoteText"/>
        <w:widowControl w:val="0"/>
        <w:tabs>
          <w:tab w:val="clear" w:pos="1021"/>
          <w:tab w:val="right" w:pos="1020"/>
        </w:tabs>
      </w:pPr>
      <w:r>
        <w:tab/>
      </w:r>
      <w:r>
        <w:rPr>
          <w:rStyle w:val="FootnoteReference"/>
        </w:rPr>
        <w:footnoteRef/>
      </w:r>
      <w:r>
        <w:tab/>
        <w:t>Conformément au programme de travail du Comité des transports intérieurs pour 2016-2017 (ECE/TRANS/2016/28/Add.1 (9.3.))</w:t>
      </w:r>
      <w:r w:rsidR="00156A9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rPr>
        <w:lang w:val="en-GB"/>
      </w:rPr>
    </w:pPr>
    <w:r w:rsidRPr="00565A49">
      <w:rPr>
        <w:lang w:val="en-GB"/>
      </w:rPr>
      <w:t>ECE/TRANS/WP.15/AC.</w:t>
    </w:r>
    <w:r>
      <w:rPr>
        <w:lang w:val="en-GB"/>
      </w:rPr>
      <w:t>2/2016/</w:t>
    </w:r>
    <w:r w:rsidR="006876C8">
      <w:rPr>
        <w:lang w:val="en-GB"/>
      </w:rPr>
      <w:t>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5A" w:rsidRPr="00565A49" w:rsidRDefault="0006085A" w:rsidP="0029776B">
    <w:pPr>
      <w:pStyle w:val="Header"/>
      <w:jc w:val="right"/>
      <w:rPr>
        <w:lang w:val="en-GB"/>
      </w:rPr>
    </w:pPr>
    <w:r w:rsidRPr="00565A49">
      <w:rPr>
        <w:lang w:val="en-GB"/>
      </w:rPr>
      <w:t>ECE/TRANS/WP.15/AC.</w:t>
    </w:r>
    <w:r w:rsidR="00E30A6C">
      <w:rPr>
        <w:lang w:val="en-GB"/>
      </w:rPr>
      <w:t>2/2016/39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C8" w:rsidRPr="006876C8" w:rsidRDefault="006876C8" w:rsidP="006876C8">
    <w:r>
      <w:rPr>
        <w:noProof/>
        <w:lang w:val="en-US"/>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6876C8" w:rsidRPr="00565A49" w:rsidRDefault="006876C8" w:rsidP="006876C8">
                          <w:pPr>
                            <w:pStyle w:val="Header"/>
                            <w:jc w:val="right"/>
                            <w:rPr>
                              <w:lang w:val="en-GB"/>
                            </w:rPr>
                          </w:pPr>
                          <w:r w:rsidRPr="00565A49">
                            <w:rPr>
                              <w:lang w:val="en-GB"/>
                            </w:rPr>
                            <w:t>ECE/TRANS/WP.15/AC.</w:t>
                          </w:r>
                          <w:r w:rsidR="004422FA">
                            <w:rPr>
                              <w:lang w:val="en-GB"/>
                            </w:rPr>
                            <w:t>2/2016/41</w:t>
                          </w:r>
                        </w:p>
                        <w:p w:rsidR="006876C8" w:rsidRDefault="006876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" fillcolor="white [3212]" stroked="f">
              <v:stroke joinstyle="round"/>
              <v:path arrowok="t"/>
              <v:textbox style="layout-flow:vertical" inset="0,0,0,0">
                <w:txbxContent>
                  <w:p w:rsidR="006876C8" w:rsidRPr="00565A49" w:rsidRDefault="006876C8" w:rsidP="006876C8">
                    <w:pPr>
                      <w:pStyle w:val="Header"/>
                      <w:jc w:val="right"/>
                      <w:rPr>
                        <w:lang w:val="en-GB"/>
                      </w:rPr>
                    </w:pPr>
                    <w:r w:rsidRPr="00565A49">
                      <w:rPr>
                        <w:lang w:val="en-GB"/>
                      </w:rPr>
                      <w:t>ECE/TRANS/WP.15/AC.</w:t>
                    </w:r>
                    <w:r w:rsidR="004422FA">
                      <w:rPr>
                        <w:lang w:val="en-GB"/>
                      </w:rPr>
                      <w:t>2/2016/41</w:t>
                    </w:r>
                  </w:p>
                  <w:p w:rsidR="006876C8" w:rsidRDefault="006876C8"/>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C8" w:rsidRDefault="00687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47F6F24"/>
    <w:multiLevelType w:val="hybridMultilevel"/>
    <w:tmpl w:val="EE469BEE"/>
    <w:lvl w:ilvl="0" w:tplc="B48A7E6E">
      <w:start w:val="7"/>
      <w:numFmt w:val="bullet"/>
      <w:lvlText w:val="•"/>
      <w:lvlJc w:val="left"/>
      <w:pPr>
        <w:ind w:left="178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activeWritingStyle w:appName="MSWord" w:lang="nl-NL" w:vendorID="64" w:dllVersion="131078" w:nlCheck="1" w:checkStyle="0"/>
  <w:activeWritingStyle w:appName="MSWord" w:lang="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49E0"/>
    <w:rsid w:val="000A7EC2"/>
    <w:rsid w:val="000B34CA"/>
    <w:rsid w:val="000C0699"/>
    <w:rsid w:val="000D7E12"/>
    <w:rsid w:val="000E68FB"/>
    <w:rsid w:val="000F41F2"/>
    <w:rsid w:val="00104ADE"/>
    <w:rsid w:val="00114946"/>
    <w:rsid w:val="00115943"/>
    <w:rsid w:val="00127A72"/>
    <w:rsid w:val="0013180D"/>
    <w:rsid w:val="00135C0D"/>
    <w:rsid w:val="0013653F"/>
    <w:rsid w:val="00143574"/>
    <w:rsid w:val="00154636"/>
    <w:rsid w:val="001551B7"/>
    <w:rsid w:val="001568BB"/>
    <w:rsid w:val="00156A92"/>
    <w:rsid w:val="00160540"/>
    <w:rsid w:val="00162132"/>
    <w:rsid w:val="001625E1"/>
    <w:rsid w:val="00162E33"/>
    <w:rsid w:val="0016419C"/>
    <w:rsid w:val="00164FB7"/>
    <w:rsid w:val="001703B7"/>
    <w:rsid w:val="0017182C"/>
    <w:rsid w:val="00171EA3"/>
    <w:rsid w:val="00177007"/>
    <w:rsid w:val="00186EE9"/>
    <w:rsid w:val="00190399"/>
    <w:rsid w:val="00192EEB"/>
    <w:rsid w:val="001A20FB"/>
    <w:rsid w:val="001A37C7"/>
    <w:rsid w:val="001A73B7"/>
    <w:rsid w:val="001B6AF6"/>
    <w:rsid w:val="001B6F40"/>
    <w:rsid w:val="001C4BBB"/>
    <w:rsid w:val="001D7DF9"/>
    <w:rsid w:val="001D7F8A"/>
    <w:rsid w:val="001E3FEB"/>
    <w:rsid w:val="001E4A02"/>
    <w:rsid w:val="001F3CC1"/>
    <w:rsid w:val="001F412D"/>
    <w:rsid w:val="001F5816"/>
    <w:rsid w:val="00203B6A"/>
    <w:rsid w:val="002041A8"/>
    <w:rsid w:val="0020607F"/>
    <w:rsid w:val="002069D5"/>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B56D7"/>
    <w:rsid w:val="002C555D"/>
    <w:rsid w:val="002D0474"/>
    <w:rsid w:val="002D7928"/>
    <w:rsid w:val="002F2735"/>
    <w:rsid w:val="003016B7"/>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8672B"/>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2FA"/>
    <w:rsid w:val="0044289E"/>
    <w:rsid w:val="00454017"/>
    <w:rsid w:val="00461870"/>
    <w:rsid w:val="00471DA9"/>
    <w:rsid w:val="00475DD2"/>
    <w:rsid w:val="00486E96"/>
    <w:rsid w:val="00491EC7"/>
    <w:rsid w:val="0049374F"/>
    <w:rsid w:val="00497A70"/>
    <w:rsid w:val="004A324B"/>
    <w:rsid w:val="004A331B"/>
    <w:rsid w:val="004A3778"/>
    <w:rsid w:val="004A5C90"/>
    <w:rsid w:val="004B154F"/>
    <w:rsid w:val="004D0EB7"/>
    <w:rsid w:val="004D53B7"/>
    <w:rsid w:val="004E1AC3"/>
    <w:rsid w:val="004E551E"/>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85A6B"/>
    <w:rsid w:val="0059410B"/>
    <w:rsid w:val="00595BE4"/>
    <w:rsid w:val="00595C56"/>
    <w:rsid w:val="005A041A"/>
    <w:rsid w:val="005B738F"/>
    <w:rsid w:val="005B76A3"/>
    <w:rsid w:val="005B78AE"/>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3675E"/>
    <w:rsid w:val="006439EC"/>
    <w:rsid w:val="00654B07"/>
    <w:rsid w:val="00667177"/>
    <w:rsid w:val="00670F36"/>
    <w:rsid w:val="00671CD2"/>
    <w:rsid w:val="006728CD"/>
    <w:rsid w:val="00673231"/>
    <w:rsid w:val="006876C8"/>
    <w:rsid w:val="0069653B"/>
    <w:rsid w:val="006A047B"/>
    <w:rsid w:val="006A2C79"/>
    <w:rsid w:val="006A3A23"/>
    <w:rsid w:val="006A4F1F"/>
    <w:rsid w:val="006A5D70"/>
    <w:rsid w:val="006B09E0"/>
    <w:rsid w:val="006B4590"/>
    <w:rsid w:val="006B56EC"/>
    <w:rsid w:val="006C3041"/>
    <w:rsid w:val="006C340C"/>
    <w:rsid w:val="006C7BA8"/>
    <w:rsid w:val="006D21A0"/>
    <w:rsid w:val="006D36A8"/>
    <w:rsid w:val="006D638D"/>
    <w:rsid w:val="006E0743"/>
    <w:rsid w:val="006E19BA"/>
    <w:rsid w:val="006E3B48"/>
    <w:rsid w:val="006E5FC7"/>
    <w:rsid w:val="006E7722"/>
    <w:rsid w:val="006F151C"/>
    <w:rsid w:val="00700CF9"/>
    <w:rsid w:val="0070347C"/>
    <w:rsid w:val="007176C1"/>
    <w:rsid w:val="00735A61"/>
    <w:rsid w:val="00737BCE"/>
    <w:rsid w:val="0074123A"/>
    <w:rsid w:val="00742FD7"/>
    <w:rsid w:val="007450F8"/>
    <w:rsid w:val="00745CA1"/>
    <w:rsid w:val="007514EF"/>
    <w:rsid w:val="007527B6"/>
    <w:rsid w:val="00753BDA"/>
    <w:rsid w:val="00766A94"/>
    <w:rsid w:val="007673E8"/>
    <w:rsid w:val="00780EAE"/>
    <w:rsid w:val="007811F7"/>
    <w:rsid w:val="007817A1"/>
    <w:rsid w:val="007820F2"/>
    <w:rsid w:val="00783F37"/>
    <w:rsid w:val="007904AF"/>
    <w:rsid w:val="00790F2F"/>
    <w:rsid w:val="00795138"/>
    <w:rsid w:val="007A6076"/>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60C9D"/>
    <w:rsid w:val="00871051"/>
    <w:rsid w:val="00883D70"/>
    <w:rsid w:val="00884E9C"/>
    <w:rsid w:val="008B44C4"/>
    <w:rsid w:val="008B7879"/>
    <w:rsid w:val="008C1BBA"/>
    <w:rsid w:val="008C2211"/>
    <w:rsid w:val="008C7684"/>
    <w:rsid w:val="008D0723"/>
    <w:rsid w:val="008D0C3F"/>
    <w:rsid w:val="008D1AC7"/>
    <w:rsid w:val="008D3919"/>
    <w:rsid w:val="008E0B16"/>
    <w:rsid w:val="008E3F2C"/>
    <w:rsid w:val="008E5107"/>
    <w:rsid w:val="008E7FAE"/>
    <w:rsid w:val="008F1725"/>
    <w:rsid w:val="008F60FF"/>
    <w:rsid w:val="009066AE"/>
    <w:rsid w:val="00911BF7"/>
    <w:rsid w:val="00922301"/>
    <w:rsid w:val="00922FBA"/>
    <w:rsid w:val="00926E87"/>
    <w:rsid w:val="00932D7A"/>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E01B8"/>
    <w:rsid w:val="009E698E"/>
    <w:rsid w:val="009E7956"/>
    <w:rsid w:val="00A11C63"/>
    <w:rsid w:val="00A134EB"/>
    <w:rsid w:val="00A1547F"/>
    <w:rsid w:val="00A2492E"/>
    <w:rsid w:val="00A31F07"/>
    <w:rsid w:val="00A41235"/>
    <w:rsid w:val="00A44CBA"/>
    <w:rsid w:val="00A45EBB"/>
    <w:rsid w:val="00A6502C"/>
    <w:rsid w:val="00A70163"/>
    <w:rsid w:val="00A71439"/>
    <w:rsid w:val="00A73DB7"/>
    <w:rsid w:val="00A778A5"/>
    <w:rsid w:val="00A80554"/>
    <w:rsid w:val="00A86837"/>
    <w:rsid w:val="00A92C6B"/>
    <w:rsid w:val="00A963DD"/>
    <w:rsid w:val="00AA0176"/>
    <w:rsid w:val="00AA3C96"/>
    <w:rsid w:val="00AA5B1E"/>
    <w:rsid w:val="00AA72C3"/>
    <w:rsid w:val="00AB6447"/>
    <w:rsid w:val="00AC67A1"/>
    <w:rsid w:val="00AC7977"/>
    <w:rsid w:val="00AD1E14"/>
    <w:rsid w:val="00AD3F23"/>
    <w:rsid w:val="00AE352C"/>
    <w:rsid w:val="00AE4F08"/>
    <w:rsid w:val="00AE5E87"/>
    <w:rsid w:val="00AE69A8"/>
    <w:rsid w:val="00AE7BCA"/>
    <w:rsid w:val="00AF1446"/>
    <w:rsid w:val="00AF2F6F"/>
    <w:rsid w:val="00B07DE2"/>
    <w:rsid w:val="00B255B8"/>
    <w:rsid w:val="00B278CF"/>
    <w:rsid w:val="00B30CFB"/>
    <w:rsid w:val="00B3131C"/>
    <w:rsid w:val="00B318CC"/>
    <w:rsid w:val="00B32A61"/>
    <w:rsid w:val="00B32E2D"/>
    <w:rsid w:val="00B357CC"/>
    <w:rsid w:val="00B35B4C"/>
    <w:rsid w:val="00B3696B"/>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3AC1"/>
    <w:rsid w:val="00C732D1"/>
    <w:rsid w:val="00C836BC"/>
    <w:rsid w:val="00C940E9"/>
    <w:rsid w:val="00CA047F"/>
    <w:rsid w:val="00CA3500"/>
    <w:rsid w:val="00CA5CBD"/>
    <w:rsid w:val="00CB2BEA"/>
    <w:rsid w:val="00CB6267"/>
    <w:rsid w:val="00CD1A71"/>
    <w:rsid w:val="00CD1FBB"/>
    <w:rsid w:val="00CD4C90"/>
    <w:rsid w:val="00CF6435"/>
    <w:rsid w:val="00D016B5"/>
    <w:rsid w:val="00D034F1"/>
    <w:rsid w:val="00D10BD3"/>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11BBC"/>
    <w:rsid w:val="00E1236D"/>
    <w:rsid w:val="00E15EC6"/>
    <w:rsid w:val="00E22F40"/>
    <w:rsid w:val="00E30A6C"/>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97EE2"/>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F041A"/>
    <w:rsid w:val="00F01516"/>
    <w:rsid w:val="00F12577"/>
    <w:rsid w:val="00F14D09"/>
    <w:rsid w:val="00F2271B"/>
    <w:rsid w:val="00F227C9"/>
    <w:rsid w:val="00F23F65"/>
    <w:rsid w:val="00F35A1F"/>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E1D5F"/>
    <w:rsid w:val="00FE2AF4"/>
    <w:rsid w:val="00FE307F"/>
    <w:rsid w:val="00FE69B3"/>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05FA0BE0"/>
  <w15:docId w15:val="{96425404-84A5-4951-A61A-D819FD8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C8F7-0390-4084-9B9F-F502F210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Template>
  <TotalTime>8</TotalTime>
  <Pages>3</Pages>
  <Words>705</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02</cp:lastModifiedBy>
  <cp:revision>6</cp:revision>
  <cp:lastPrinted>2016-06-02T15:40:00Z</cp:lastPrinted>
  <dcterms:created xsi:type="dcterms:W3CDTF">2016-06-02T15:45:00Z</dcterms:created>
  <dcterms:modified xsi:type="dcterms:W3CDTF">2016-06-07T16:19:00Z</dcterms:modified>
</cp:coreProperties>
</file>