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3C" w:rsidRPr="000D55FF" w:rsidRDefault="00735211" w:rsidP="006E263C">
      <w:pPr>
        <w:spacing w:after="0"/>
        <w:ind w:left="5387" w:right="-286"/>
        <w:outlineLvl w:val="0"/>
        <w:rPr>
          <w:rFonts w:ascii="Arial" w:eastAsia="Arial" w:hAnsi="Arial" w:cs="Arial"/>
          <w:bCs/>
          <w:sz w:val="20"/>
          <w:szCs w:val="24"/>
          <w:lang w:val="en-US" w:eastAsia="de-DE"/>
        </w:rPr>
      </w:pPr>
      <w:bookmarkStart w:id="0" w:name="_GoBack"/>
      <w:bookmarkEnd w:id="0"/>
      <w:r w:rsidRPr="00BB289D">
        <w:rPr>
          <w:rFonts w:ascii="Arial" w:hAnsi="Arial"/>
          <w:noProof/>
          <w:sz w:val="20"/>
          <w:lang w:eastAsia="en-GB"/>
        </w:rPr>
        <w:drawing>
          <wp:anchor distT="0" distB="0" distL="114300" distR="114300" simplePos="0" relativeHeight="251659264" behindDoc="0" locked="0" layoutInCell="1" allowOverlap="1" wp14:anchorId="27B7CECC" wp14:editId="51853848">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006E263C" w:rsidRPr="000D55FF">
        <w:rPr>
          <w:rFonts w:ascii="Arial" w:eastAsia="Arial" w:hAnsi="Arial" w:cs="Arial"/>
          <w:bCs/>
          <w:sz w:val="20"/>
          <w:szCs w:val="24"/>
          <w:lang w:val="en-US" w:eastAsia="de-DE"/>
        </w:rPr>
        <w:t>CCNR</w:t>
      </w:r>
      <w:r w:rsidR="000D55FF" w:rsidRPr="000D55FF">
        <w:rPr>
          <w:rFonts w:ascii="Arial" w:eastAsia="Arial" w:hAnsi="Arial" w:cs="Arial"/>
          <w:bCs/>
          <w:sz w:val="20"/>
          <w:szCs w:val="24"/>
          <w:lang w:val="en-US" w:eastAsia="de-DE"/>
        </w:rPr>
        <w:t>-</w:t>
      </w:r>
      <w:r w:rsidR="006E263C" w:rsidRPr="000D55FF">
        <w:rPr>
          <w:rFonts w:ascii="Arial" w:eastAsia="Arial" w:hAnsi="Arial" w:cs="Arial"/>
          <w:bCs/>
          <w:sz w:val="20"/>
          <w:szCs w:val="24"/>
          <w:lang w:val="en-US" w:eastAsia="de-DE"/>
        </w:rPr>
        <w:t>ZKR/ADN/WP.15/AC.2/2016/26</w:t>
      </w:r>
    </w:p>
    <w:p w:rsidR="00735211" w:rsidRPr="00BB289D" w:rsidRDefault="00735211" w:rsidP="006E263C">
      <w:pPr>
        <w:spacing w:after="0"/>
        <w:ind w:left="5387" w:right="-286"/>
        <w:outlineLvl w:val="0"/>
        <w:rPr>
          <w:rFonts w:ascii="Arial" w:hAnsi="Arial" w:cs="Arial"/>
          <w:sz w:val="16"/>
          <w:szCs w:val="24"/>
          <w:lang w:val="de-DE" w:eastAsia="de-DE"/>
        </w:rPr>
      </w:pPr>
      <w:r w:rsidRPr="00BB289D">
        <w:rPr>
          <w:rFonts w:ascii="Arial" w:hAnsi="Arial" w:cs="Arial"/>
          <w:sz w:val="16"/>
          <w:szCs w:val="24"/>
          <w:lang w:val="de-DE" w:eastAsia="de-DE"/>
        </w:rPr>
        <w:t>Allgemeine Verteilung</w:t>
      </w:r>
    </w:p>
    <w:p w:rsidR="00735211" w:rsidRPr="00BB289D" w:rsidRDefault="006E263C" w:rsidP="00735211">
      <w:pPr>
        <w:tabs>
          <w:tab w:val="right" w:pos="3856"/>
          <w:tab w:val="left" w:pos="5670"/>
        </w:tabs>
        <w:spacing w:after="0"/>
        <w:ind w:left="5387"/>
        <w:rPr>
          <w:rFonts w:ascii="Arial" w:eastAsia="Arial" w:hAnsi="Arial" w:cs="Arial"/>
          <w:sz w:val="20"/>
          <w:szCs w:val="24"/>
          <w:lang w:val="de-DE" w:eastAsia="de-DE"/>
        </w:rPr>
      </w:pPr>
      <w:r w:rsidRPr="00BB289D">
        <w:rPr>
          <w:rFonts w:ascii="Arial" w:eastAsia="Arial" w:hAnsi="Arial" w:cs="Arial"/>
          <w:sz w:val="20"/>
          <w:szCs w:val="24"/>
          <w:lang w:val="de-DE" w:eastAsia="de-DE"/>
        </w:rPr>
        <w:t xml:space="preserve">4. November </w:t>
      </w:r>
      <w:r w:rsidR="00735211" w:rsidRPr="00BB289D">
        <w:rPr>
          <w:rFonts w:ascii="Arial" w:eastAsia="Arial" w:hAnsi="Arial" w:cs="Arial"/>
          <w:sz w:val="20"/>
          <w:szCs w:val="24"/>
          <w:lang w:val="de-DE" w:eastAsia="de-DE"/>
        </w:rPr>
        <w:t>2015</w:t>
      </w:r>
    </w:p>
    <w:p w:rsidR="00735211" w:rsidRPr="00BB289D" w:rsidRDefault="00735211" w:rsidP="00735211">
      <w:pPr>
        <w:tabs>
          <w:tab w:val="right" w:pos="3856"/>
          <w:tab w:val="left" w:pos="5670"/>
        </w:tabs>
        <w:spacing w:after="0"/>
        <w:ind w:left="5387" w:right="565"/>
        <w:rPr>
          <w:rFonts w:ascii="Arial" w:hAnsi="Arial" w:cs="Arial"/>
          <w:snapToGrid w:val="0"/>
          <w:kern w:val="1"/>
          <w:sz w:val="20"/>
          <w:lang w:val="de-DE" w:eastAsia="de-DE"/>
        </w:rPr>
      </w:pPr>
      <w:r w:rsidRPr="00BB289D">
        <w:rPr>
          <w:rFonts w:ascii="Arial" w:eastAsia="Arial" w:hAnsi="Arial" w:cs="Arial"/>
          <w:sz w:val="16"/>
          <w:szCs w:val="24"/>
          <w:lang w:val="de-DE" w:eastAsia="de-DE"/>
        </w:rPr>
        <w:t>Or.  ENGLISCH</w:t>
      </w:r>
    </w:p>
    <w:p w:rsidR="00735211" w:rsidRPr="00BB289D" w:rsidRDefault="00735211" w:rsidP="00735211">
      <w:pPr>
        <w:spacing w:after="0"/>
        <w:rPr>
          <w:rFonts w:ascii="Arial" w:hAnsi="Arial" w:cs="Arial"/>
          <w:sz w:val="16"/>
          <w:szCs w:val="24"/>
          <w:lang w:val="de-DE" w:eastAsia="de-DE"/>
        </w:rPr>
      </w:pPr>
    </w:p>
    <w:p w:rsidR="00735211" w:rsidRPr="00BB289D" w:rsidRDefault="00735211" w:rsidP="00735211">
      <w:pPr>
        <w:spacing w:after="0"/>
        <w:rPr>
          <w:rFonts w:ascii="Arial" w:hAnsi="Arial" w:cs="Arial"/>
          <w:sz w:val="16"/>
          <w:szCs w:val="24"/>
          <w:lang w:val="de-DE" w:eastAsia="de-DE"/>
        </w:rPr>
      </w:pPr>
    </w:p>
    <w:p w:rsidR="00735211" w:rsidRPr="00BB289D" w:rsidRDefault="00735211" w:rsidP="007E1D6E">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BB289D">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735211" w:rsidRPr="00BB289D" w:rsidRDefault="00735211" w:rsidP="00735211">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BB289D">
        <w:rPr>
          <w:rFonts w:ascii="Arial" w:hAnsi="Arial" w:cs="Arial"/>
          <w:snapToGrid w:val="0"/>
          <w:sz w:val="16"/>
          <w:szCs w:val="16"/>
          <w:lang w:val="de-DE" w:eastAsia="fr-FR"/>
        </w:rPr>
        <w:t>BEIGEFÜGTE VERORDNUNG (ADN)</w:t>
      </w:r>
    </w:p>
    <w:p w:rsidR="00735211" w:rsidRPr="00BB289D" w:rsidRDefault="00735211" w:rsidP="00735211">
      <w:pPr>
        <w:tabs>
          <w:tab w:val="left" w:pos="2977"/>
        </w:tabs>
        <w:spacing w:after="0"/>
        <w:ind w:left="4111" w:right="-2"/>
        <w:rPr>
          <w:rFonts w:ascii="Arial" w:hAnsi="Arial" w:cs="Arial"/>
          <w:snapToGrid w:val="0"/>
          <w:sz w:val="16"/>
          <w:szCs w:val="16"/>
          <w:lang w:val="de-DE" w:eastAsia="fr-FR"/>
        </w:rPr>
      </w:pPr>
      <w:r w:rsidRPr="00BB289D">
        <w:rPr>
          <w:rFonts w:ascii="Arial" w:hAnsi="Arial" w:cs="Arial"/>
          <w:snapToGrid w:val="0"/>
          <w:sz w:val="16"/>
          <w:szCs w:val="16"/>
          <w:lang w:val="de-DE" w:eastAsia="fr-FR"/>
        </w:rPr>
        <w:t>(SICHERHEITSAUSSCHUSS)</w:t>
      </w:r>
    </w:p>
    <w:p w:rsidR="00735211" w:rsidRPr="00BB289D" w:rsidRDefault="006E263C" w:rsidP="00735211">
      <w:pPr>
        <w:tabs>
          <w:tab w:val="left" w:pos="2977"/>
        </w:tabs>
        <w:spacing w:after="0"/>
        <w:ind w:left="4111" w:right="-2"/>
        <w:rPr>
          <w:rFonts w:ascii="Arial" w:hAnsi="Arial" w:cs="Arial"/>
          <w:snapToGrid w:val="0"/>
          <w:sz w:val="16"/>
          <w:szCs w:val="16"/>
          <w:lang w:val="de-DE" w:eastAsia="fr-FR"/>
        </w:rPr>
      </w:pPr>
      <w:r w:rsidRPr="00BB289D">
        <w:rPr>
          <w:rFonts w:ascii="Arial" w:hAnsi="Arial" w:cs="Arial"/>
          <w:snapToGrid w:val="0"/>
          <w:sz w:val="16"/>
          <w:szCs w:val="16"/>
          <w:lang w:val="de-DE" w:eastAsia="fr-FR"/>
        </w:rPr>
        <w:t>(28. Tagung, Genf, 25. bis 29</w:t>
      </w:r>
      <w:r w:rsidR="00735211" w:rsidRPr="00BB289D">
        <w:rPr>
          <w:rFonts w:ascii="Arial" w:hAnsi="Arial" w:cs="Arial"/>
          <w:snapToGrid w:val="0"/>
          <w:sz w:val="16"/>
          <w:szCs w:val="16"/>
          <w:lang w:val="de-DE" w:eastAsia="fr-FR"/>
        </w:rPr>
        <w:t xml:space="preserve">. </w:t>
      </w:r>
      <w:r w:rsidRPr="00BB289D">
        <w:rPr>
          <w:rFonts w:ascii="Arial" w:hAnsi="Arial" w:cs="Arial"/>
          <w:snapToGrid w:val="0"/>
          <w:sz w:val="16"/>
          <w:szCs w:val="16"/>
          <w:lang w:val="de-DE" w:eastAsia="fr-FR"/>
        </w:rPr>
        <w:t>Januar 2016</w:t>
      </w:r>
      <w:r w:rsidR="00735211" w:rsidRPr="00BB289D">
        <w:rPr>
          <w:rFonts w:ascii="Arial" w:hAnsi="Arial" w:cs="Arial"/>
          <w:snapToGrid w:val="0"/>
          <w:sz w:val="16"/>
          <w:szCs w:val="16"/>
          <w:lang w:val="de-DE" w:eastAsia="fr-FR"/>
        </w:rPr>
        <w:t>)</w:t>
      </w:r>
    </w:p>
    <w:p w:rsidR="00735211" w:rsidRDefault="006E263C" w:rsidP="00735211">
      <w:pPr>
        <w:tabs>
          <w:tab w:val="left" w:pos="2977"/>
        </w:tabs>
        <w:spacing w:after="0"/>
        <w:ind w:left="4111" w:right="-2"/>
        <w:rPr>
          <w:rFonts w:ascii="Arial" w:hAnsi="Arial" w:cs="Arial"/>
          <w:snapToGrid w:val="0"/>
          <w:sz w:val="16"/>
          <w:szCs w:val="16"/>
          <w:lang w:val="de-DE" w:eastAsia="fr-FR"/>
        </w:rPr>
      </w:pPr>
      <w:r w:rsidRPr="00BB289D">
        <w:rPr>
          <w:rFonts w:ascii="Arial" w:hAnsi="Arial" w:cs="Arial"/>
          <w:snapToGrid w:val="0"/>
          <w:sz w:val="16"/>
          <w:szCs w:val="16"/>
          <w:lang w:val="de-DE" w:eastAsia="fr-FR"/>
        </w:rPr>
        <w:t>Punkt 5</w:t>
      </w:r>
      <w:r w:rsidR="00735211" w:rsidRPr="00BB289D">
        <w:rPr>
          <w:rFonts w:ascii="Arial" w:hAnsi="Arial" w:cs="Arial"/>
          <w:snapToGrid w:val="0"/>
          <w:sz w:val="16"/>
          <w:szCs w:val="16"/>
          <w:lang w:val="de-DE" w:eastAsia="fr-FR"/>
        </w:rPr>
        <w:t xml:space="preserve"> b) zur vorläufigen Tagesordnung</w:t>
      </w:r>
    </w:p>
    <w:p w:rsidR="007E1D6E" w:rsidRPr="007E1D6E" w:rsidRDefault="007E1D6E" w:rsidP="007E1D6E">
      <w:pPr>
        <w:tabs>
          <w:tab w:val="left" w:pos="2977"/>
        </w:tabs>
        <w:spacing w:after="0"/>
        <w:ind w:left="4111" w:right="-2"/>
        <w:rPr>
          <w:rFonts w:ascii="Arial" w:hAnsi="Arial" w:cs="Arial"/>
          <w:b/>
          <w:snapToGrid w:val="0"/>
          <w:sz w:val="16"/>
          <w:szCs w:val="16"/>
          <w:lang w:val="de-DE" w:eastAsia="fr-FR"/>
        </w:rPr>
      </w:pPr>
      <w:r w:rsidRPr="007E1D6E">
        <w:rPr>
          <w:rFonts w:ascii="Arial" w:hAnsi="Arial" w:cs="Arial"/>
          <w:b/>
          <w:snapToGrid w:val="0"/>
          <w:sz w:val="16"/>
          <w:szCs w:val="16"/>
          <w:lang w:val="de-DE" w:eastAsia="fr-FR"/>
        </w:rPr>
        <w:t>Vorschläge für Änderungen der dem ADN beigefügten Verordnung</w:t>
      </w:r>
    </w:p>
    <w:p w:rsidR="007E1D6E" w:rsidRPr="007E1D6E" w:rsidRDefault="007E1D6E" w:rsidP="007E1D6E">
      <w:pPr>
        <w:tabs>
          <w:tab w:val="left" w:pos="2977"/>
        </w:tabs>
        <w:spacing w:after="0"/>
        <w:ind w:left="4111" w:right="-2"/>
        <w:rPr>
          <w:rFonts w:ascii="Arial" w:hAnsi="Arial" w:cs="Arial"/>
          <w:b/>
          <w:snapToGrid w:val="0"/>
          <w:sz w:val="16"/>
          <w:szCs w:val="16"/>
          <w:lang w:val="de-DE" w:eastAsia="fr-FR"/>
        </w:rPr>
      </w:pPr>
      <w:r w:rsidRPr="007E1D6E">
        <w:rPr>
          <w:rFonts w:ascii="Arial" w:hAnsi="Arial" w:cs="Arial"/>
          <w:b/>
          <w:snapToGrid w:val="0"/>
          <w:sz w:val="16"/>
          <w:szCs w:val="16"/>
          <w:lang w:val="de-DE" w:eastAsia="fr-FR"/>
        </w:rPr>
        <w:t>Weitere Änderungsvorschläge</w:t>
      </w:r>
    </w:p>
    <w:p w:rsidR="007E1D6E" w:rsidRPr="00BB289D" w:rsidRDefault="007E1D6E" w:rsidP="00735211">
      <w:pPr>
        <w:tabs>
          <w:tab w:val="left" w:pos="2977"/>
        </w:tabs>
        <w:spacing w:after="0"/>
        <w:ind w:left="4111" w:right="-2"/>
        <w:rPr>
          <w:rFonts w:ascii="Arial" w:hAnsi="Arial" w:cs="Arial"/>
          <w:snapToGrid w:val="0"/>
          <w:sz w:val="16"/>
          <w:szCs w:val="16"/>
          <w:lang w:val="de-DE" w:eastAsia="fr-FR"/>
        </w:rPr>
      </w:pPr>
    </w:p>
    <w:p w:rsidR="00735211" w:rsidRPr="00BB289D" w:rsidRDefault="00735211" w:rsidP="00735211">
      <w:pPr>
        <w:spacing w:after="0"/>
        <w:rPr>
          <w:rFonts w:ascii="Arial" w:hAnsi="Arial" w:cs="Arial"/>
          <w:sz w:val="20"/>
          <w:lang w:val="de-DE"/>
        </w:rPr>
      </w:pPr>
    </w:p>
    <w:p w:rsidR="00735211" w:rsidRPr="00BB289D" w:rsidRDefault="00735211" w:rsidP="00735211">
      <w:pPr>
        <w:keepNext/>
        <w:keepLines/>
        <w:tabs>
          <w:tab w:val="right" w:pos="851"/>
        </w:tabs>
        <w:suppressAutoHyphens/>
        <w:spacing w:before="360" w:line="300" w:lineRule="exact"/>
        <w:ind w:left="1134" w:right="1134" w:hanging="1134"/>
        <w:rPr>
          <w:b/>
          <w:sz w:val="28"/>
          <w:lang w:val="de-DE"/>
        </w:rPr>
      </w:pPr>
      <w:r w:rsidRPr="00BB289D">
        <w:rPr>
          <w:b/>
          <w:sz w:val="28"/>
          <w:lang w:val="de-DE"/>
        </w:rPr>
        <w:tab/>
      </w:r>
      <w:r w:rsidRPr="00BB289D">
        <w:rPr>
          <w:b/>
          <w:sz w:val="28"/>
          <w:lang w:val="de-DE"/>
        </w:rPr>
        <w:tab/>
        <w:t>Vorschlag für eine Befreiung von der Anforderung des Absatzes 7.2.4.25.5 zur Abfuhr von Gas/Luft-Gemischen an Land beim Laden schwerer Heizöle (UN-Nr. 3082)</w:t>
      </w:r>
    </w:p>
    <w:p w:rsidR="00735211" w:rsidRPr="00BB289D" w:rsidRDefault="00735211" w:rsidP="00735211">
      <w:pPr>
        <w:keepNext/>
        <w:keepLines/>
        <w:tabs>
          <w:tab w:val="right" w:pos="851"/>
        </w:tabs>
        <w:suppressAutoHyphens/>
        <w:spacing w:before="360" w:line="270" w:lineRule="exact"/>
        <w:ind w:left="1134" w:right="1134" w:hanging="1134"/>
        <w:rPr>
          <w:b/>
          <w:lang w:val="de-DE"/>
        </w:rPr>
      </w:pPr>
      <w:r w:rsidRPr="00BB289D">
        <w:rPr>
          <w:b/>
          <w:lang w:val="de-DE"/>
        </w:rPr>
        <w:tab/>
      </w:r>
      <w:r w:rsidRPr="00BB289D">
        <w:rPr>
          <w:b/>
          <w:lang w:val="de-DE"/>
        </w:rPr>
        <w:tab/>
        <w:t>Vorgelegt von FuelsEurope</w:t>
      </w:r>
      <w:r w:rsidRPr="00BB289D">
        <w:rPr>
          <w:b/>
          <w:vertAlign w:val="superscript"/>
          <w:lang w:val="de-DE"/>
        </w:rPr>
        <w:footnoteReference w:id="1"/>
      </w:r>
    </w:p>
    <w:p w:rsidR="00735211" w:rsidRPr="00BB289D" w:rsidRDefault="00735211" w:rsidP="00735211">
      <w:pPr>
        <w:keepNext/>
        <w:keepLines/>
        <w:tabs>
          <w:tab w:val="right" w:pos="851"/>
        </w:tabs>
        <w:suppressAutoHyphens/>
        <w:spacing w:before="360" w:line="300" w:lineRule="exact"/>
        <w:ind w:left="1134" w:right="1134" w:hanging="1134"/>
        <w:rPr>
          <w:b/>
          <w:sz w:val="28"/>
          <w:lang w:val="de-DE"/>
        </w:rPr>
      </w:pPr>
      <w:r w:rsidRPr="00BB289D">
        <w:rPr>
          <w:b/>
          <w:sz w:val="28"/>
          <w:lang w:val="de-DE"/>
        </w:rPr>
        <w:tab/>
      </w:r>
      <w:r w:rsidRPr="00BB289D">
        <w:rPr>
          <w:b/>
          <w:sz w:val="28"/>
          <w:lang w:val="de-DE"/>
        </w:rPr>
        <w:tab/>
        <w:t>Hintergrund</w:t>
      </w:r>
    </w:p>
    <w:p w:rsidR="00735211" w:rsidRPr="00BB289D" w:rsidRDefault="00134345" w:rsidP="007E1D6E">
      <w:pPr>
        <w:tabs>
          <w:tab w:val="left" w:pos="1701"/>
        </w:tabs>
        <w:suppressAutoHyphens/>
        <w:spacing w:after="120" w:line="240" w:lineRule="atLeast"/>
        <w:ind w:left="1134" w:right="1134"/>
        <w:jc w:val="both"/>
        <w:rPr>
          <w:sz w:val="20"/>
          <w:lang w:val="de-DE"/>
        </w:rPr>
      </w:pPr>
      <w:r w:rsidRPr="00B54CCC">
        <w:rPr>
          <w:sz w:val="20"/>
          <w:lang w:val="de-DE"/>
        </w:rPr>
        <w:t>1.</w:t>
      </w:r>
      <w:r w:rsidRPr="00B54CCC">
        <w:rPr>
          <w:sz w:val="20"/>
          <w:lang w:val="de-DE"/>
        </w:rPr>
        <w:tab/>
        <w:t xml:space="preserve">Es </w:t>
      </w:r>
      <w:r w:rsidR="008963C6" w:rsidRPr="00BB289D">
        <w:rPr>
          <w:sz w:val="20"/>
          <w:lang w:val="de-DE"/>
        </w:rPr>
        <w:t xml:space="preserve">wird auf das in der zweiundzwanzigsten Sitzung der </w:t>
      </w:r>
      <w:r w:rsidR="00FC22FA">
        <w:rPr>
          <w:sz w:val="20"/>
          <w:lang w:val="de-DE"/>
        </w:rPr>
        <w:t>G</w:t>
      </w:r>
      <w:r w:rsidR="008963C6" w:rsidRPr="00BB289D">
        <w:rPr>
          <w:sz w:val="20"/>
          <w:lang w:val="de-DE"/>
        </w:rPr>
        <w:t>emeinsamen Expertentagung des ADN (Sicherheitsausschusses) herausgegebene informelle Dokument INF.</w:t>
      </w:r>
      <w:r w:rsidR="00BB289D">
        <w:rPr>
          <w:sz w:val="20"/>
          <w:lang w:val="de-DE"/>
        </w:rPr>
        <w:t xml:space="preserve"> </w:t>
      </w:r>
      <w:r w:rsidR="008963C6" w:rsidRPr="00BB289D">
        <w:rPr>
          <w:sz w:val="20"/>
          <w:lang w:val="de-DE"/>
        </w:rPr>
        <w:t>33 Bezug genommen, das die Grundzüge der CONCAWE-Studie über die Emission von Dämpfen bei der Beladung von Schubleichtern mit als UN-Nr. 3082 klassifizierten schweren Heizölen und der damit verbundenen Exposition der Arbeiter zusammenfasst. Änderungen der Gefahrgutklassifizierungs</w:t>
      </w:r>
      <w:r w:rsidR="00FC22FA">
        <w:rPr>
          <w:sz w:val="20"/>
          <w:lang w:val="de-DE"/>
        </w:rPr>
        <w:softHyphen/>
      </w:r>
      <w:r w:rsidR="008963C6" w:rsidRPr="00BB289D">
        <w:rPr>
          <w:sz w:val="20"/>
          <w:lang w:val="de-DE"/>
        </w:rPr>
        <w:t>spezifikationen für schwere Heizöle mit der UN-Nr. 3082 haben zu der Notwendigkeit geführt, dass die Beförderung der Stoffe in Tankschiffen des Typs C oder Typs N Doppelhülle, geschlossen, zu erfolgen hat. Der ADN-Sicherheitsausschuss gewährte in seiner Sitzung im August 2012 bis zur Durchführung und Evaluierung einer genauen Bewertung der Risiken bei der Beladung von Schubleichtern mit UN-Nr. 3082 eine bis zum 31.12.2016 befristete Abweichung von der Anforderung in Absatz 7.2.4.25.5.</w:t>
      </w:r>
    </w:p>
    <w:p w:rsidR="008963C6" w:rsidRPr="00BB289D" w:rsidRDefault="00735211" w:rsidP="007E1D6E">
      <w:pPr>
        <w:tabs>
          <w:tab w:val="left" w:pos="1701"/>
        </w:tabs>
        <w:suppressAutoHyphens/>
        <w:spacing w:after="120" w:line="240" w:lineRule="atLeast"/>
        <w:ind w:left="1134" w:right="1134"/>
        <w:jc w:val="both"/>
        <w:rPr>
          <w:sz w:val="20"/>
          <w:lang w:val="de-DE"/>
        </w:rPr>
      </w:pPr>
      <w:r w:rsidRPr="00BB289D">
        <w:rPr>
          <w:sz w:val="20"/>
          <w:lang w:val="de-DE"/>
        </w:rPr>
        <w:t>2.</w:t>
      </w:r>
      <w:r w:rsidRPr="00BB289D">
        <w:rPr>
          <w:sz w:val="20"/>
          <w:lang w:val="de-DE"/>
        </w:rPr>
        <w:tab/>
      </w:r>
      <w:r w:rsidR="008963C6" w:rsidRPr="00BB289D">
        <w:rPr>
          <w:sz w:val="20"/>
          <w:lang w:val="de-DE"/>
        </w:rPr>
        <w:t xml:space="preserve">Ferner wird auf das in der sechsundzwanzigsten Sitzung des ADN-Sicherheitsausschusses herausgegebene informelle Dokument INF.23 Bezug genommen, das den Abschlussbericht der CONCAWE-Studie zur Bewertung der Risiken bei der Beladung von Schubleichtern mit UN-Nr. 3082 (Risikobewertung der Emissionen von heißem schwerem Heizöl bei der Verladung auf Schubleichter – CONCAWE) enthält. </w:t>
      </w:r>
    </w:p>
    <w:p w:rsidR="007E1D6E" w:rsidRDefault="007E1D6E">
      <w:pPr>
        <w:spacing w:after="200" w:line="276" w:lineRule="auto"/>
        <w:rPr>
          <w:rFonts w:eastAsia="SimSun"/>
          <w:sz w:val="20"/>
          <w:lang w:val="de-DE" w:eastAsia="zh-CN"/>
        </w:rPr>
      </w:pPr>
      <w:r>
        <w:rPr>
          <w:lang w:val="de-DE"/>
        </w:rPr>
        <w:br w:type="page"/>
      </w:r>
    </w:p>
    <w:p w:rsidR="00735211" w:rsidRPr="00BB289D" w:rsidRDefault="00735211" w:rsidP="007E1D6E">
      <w:pPr>
        <w:pStyle w:val="SingleTxtG"/>
        <w:tabs>
          <w:tab w:val="left" w:pos="1701"/>
        </w:tabs>
        <w:rPr>
          <w:lang w:val="de-DE"/>
        </w:rPr>
      </w:pPr>
      <w:r w:rsidRPr="00BB289D">
        <w:rPr>
          <w:lang w:val="de-DE"/>
        </w:rPr>
        <w:lastRenderedPageBreak/>
        <w:t>3.</w:t>
      </w:r>
      <w:r w:rsidRPr="00BB289D">
        <w:rPr>
          <w:lang w:val="de-DE"/>
        </w:rPr>
        <w:tab/>
      </w:r>
      <w:r w:rsidR="008963C6" w:rsidRPr="00BB289D">
        <w:rPr>
          <w:lang w:val="de-DE"/>
        </w:rPr>
        <w:t xml:space="preserve">Angesichts der Tatsache, dass die Risiken für die menschliche Gesundheit zum einen von den von einem Stoff ausgehenden Gesundheitsgefahren und zum anderen von der individuellen Inhalationsexposition der Arbeiter abhängen, deuten die im Rahmen der CONCAWE-Studie durchgeführten Tests und Analysen darauf hin, dass die Exposition und die Risiken für die Arbeiter, die bei der Beladung von Schubleichtern handelsübliche schwere Heizöle mit der UN-Nr. 3082 handhaben, keine Gesundheitsgefährdungen darstellen. </w:t>
      </w:r>
    </w:p>
    <w:p w:rsidR="00735211" w:rsidRPr="00BB289D" w:rsidRDefault="00735211" w:rsidP="00735211">
      <w:pPr>
        <w:keepNext/>
        <w:keepLines/>
        <w:tabs>
          <w:tab w:val="right" w:pos="851"/>
        </w:tabs>
        <w:suppressAutoHyphens/>
        <w:spacing w:before="360" w:line="300" w:lineRule="exact"/>
        <w:ind w:left="1134" w:right="1134" w:hanging="1134"/>
        <w:rPr>
          <w:b/>
          <w:sz w:val="28"/>
          <w:lang w:val="de-DE"/>
        </w:rPr>
      </w:pPr>
      <w:r w:rsidRPr="00BB289D">
        <w:rPr>
          <w:b/>
          <w:sz w:val="28"/>
          <w:lang w:val="de-DE"/>
        </w:rPr>
        <w:tab/>
      </w:r>
      <w:r w:rsidRPr="00BB289D">
        <w:rPr>
          <w:b/>
          <w:sz w:val="28"/>
          <w:lang w:val="de-DE"/>
        </w:rPr>
        <w:tab/>
        <w:t>Änderungsvorschlag</w:t>
      </w:r>
    </w:p>
    <w:p w:rsidR="008963C6" w:rsidRPr="00BB289D" w:rsidRDefault="00937F06" w:rsidP="007E1D6E">
      <w:pPr>
        <w:pStyle w:val="SingleTxtG"/>
        <w:tabs>
          <w:tab w:val="left" w:pos="1701"/>
        </w:tabs>
        <w:rPr>
          <w:lang w:val="de-DE"/>
        </w:rPr>
      </w:pPr>
      <w:r>
        <w:rPr>
          <w:lang w:val="de-DE"/>
        </w:rPr>
        <w:t>4</w:t>
      </w:r>
      <w:r w:rsidR="008963C6" w:rsidRPr="00BB289D">
        <w:rPr>
          <w:lang w:val="de-DE"/>
        </w:rPr>
        <w:t>.</w:t>
      </w:r>
      <w:r w:rsidR="008963C6" w:rsidRPr="00BB289D">
        <w:rPr>
          <w:lang w:val="de-DE"/>
        </w:rPr>
        <w:tab/>
        <w:t>Aufgrund des oben Gesagten wird der Sicherheitsausschuss gebeten, die Befreiung von der Anforderung des Absatzes 7.2.4.25.5 zur Abfuhr von Gas/Luft-Gemischen über eine Gasabfuhrleitung an Land beim Laden schwerer Heizöle</w:t>
      </w:r>
      <w:r w:rsidR="007E1D6E">
        <w:rPr>
          <w:lang w:val="de-DE"/>
        </w:rPr>
        <w:br/>
      </w:r>
      <w:r w:rsidR="008963C6" w:rsidRPr="00BB289D">
        <w:rPr>
          <w:lang w:val="de-DE"/>
        </w:rPr>
        <w:t>(UN-Nr. 3082)</w:t>
      </w:r>
      <w:r>
        <w:rPr>
          <w:lang w:val="de-DE"/>
        </w:rPr>
        <w:t xml:space="preserve"> zu befürworten</w:t>
      </w:r>
      <w:r w:rsidR="008963C6" w:rsidRPr="00BB289D">
        <w:rPr>
          <w:lang w:val="de-DE"/>
        </w:rPr>
        <w:t>.</w:t>
      </w:r>
    </w:p>
    <w:p w:rsidR="008963C6" w:rsidRPr="00BB289D" w:rsidRDefault="00937F06" w:rsidP="007E1D6E">
      <w:pPr>
        <w:pStyle w:val="SingleTxtG"/>
        <w:tabs>
          <w:tab w:val="left" w:pos="1701"/>
        </w:tabs>
        <w:rPr>
          <w:lang w:val="de-DE"/>
        </w:rPr>
      </w:pPr>
      <w:r>
        <w:rPr>
          <w:lang w:val="de-DE"/>
        </w:rPr>
        <w:t>5</w:t>
      </w:r>
      <w:r w:rsidR="00134345">
        <w:rPr>
          <w:lang w:val="de-DE"/>
        </w:rPr>
        <w:t>.</w:t>
      </w:r>
      <w:r w:rsidR="00134345">
        <w:rPr>
          <w:lang w:val="de-DE"/>
        </w:rPr>
        <w:tab/>
      </w:r>
      <w:r w:rsidR="008963C6" w:rsidRPr="00BB289D">
        <w:rPr>
          <w:lang w:val="de-DE"/>
        </w:rPr>
        <w:t>Es wird vorgeschlagen, diese Befreiung durch Aufnahme einer neuen Sondervorschrift einzuführen:</w:t>
      </w:r>
    </w:p>
    <w:p w:rsidR="008963C6" w:rsidRPr="00BB289D" w:rsidRDefault="008963C6" w:rsidP="008963C6">
      <w:pPr>
        <w:pStyle w:val="Bullet1G"/>
        <w:rPr>
          <w:lang w:val="de-DE"/>
        </w:rPr>
      </w:pPr>
      <w:r w:rsidRPr="00BB289D">
        <w:rPr>
          <w:lang w:val="de-DE"/>
        </w:rPr>
        <w:t xml:space="preserve">In Abschnitt 3.3.1 ADN </w:t>
      </w:r>
      <w:r w:rsidR="00134345">
        <w:rPr>
          <w:lang w:val="de-DE"/>
        </w:rPr>
        <w:t xml:space="preserve">Folgendes </w:t>
      </w:r>
      <w:r w:rsidRPr="00BB289D">
        <w:rPr>
          <w:lang w:val="de-DE"/>
        </w:rPr>
        <w:t>einfügen:</w:t>
      </w:r>
      <w:r w:rsidR="00134345">
        <w:rPr>
          <w:lang w:val="de-DE"/>
        </w:rPr>
        <w:t xml:space="preserve"> „804: </w:t>
      </w:r>
      <w:r w:rsidRPr="00BB289D">
        <w:rPr>
          <w:lang w:val="de-DE"/>
        </w:rPr>
        <w:t>Die Vorschriften des Absatzes 7.2.4.25.5 gelten nicht für das Laden von UN-Nr. 3082 UMWELTGEFÄHRDENDER STOFF, FLÜSSIG, N.A.G. (SCHWERES HEIZÖL). Wenn die Gas/Luft-Gemische beim Beladen nicht über eine Gasabfuhrleitung an Land abgeführt werden, sollten Ladetanks mit Hilfe der in Absatz 9.3.2.22.4 Buchstabe a dritter Anstrich oder Absatz 9.3.3.22.4 Buchstabe a dritter Anstrich genannten Vorrichtung zum gefahrlosen Entspannen geöffnet werden. In diesem Fall braucht die Vorrichtung zum gefahrlosen Entspannen nicht mit einer dauerbrandsicheren Flammensperre versehen zu sein“.</w:t>
      </w:r>
    </w:p>
    <w:p w:rsidR="008963C6" w:rsidRPr="00BB289D" w:rsidRDefault="008963C6" w:rsidP="008963C6">
      <w:pPr>
        <w:pStyle w:val="Bullet1G"/>
        <w:rPr>
          <w:lang w:val="de-DE"/>
        </w:rPr>
      </w:pPr>
      <w:r w:rsidRPr="00BB289D">
        <w:rPr>
          <w:lang w:val="de-DE"/>
        </w:rPr>
        <w:t>In Kapitel 3.2 Tabelle A Spalte (6) für UN-Nr. 3082 „804“ eintragen.</w:t>
      </w:r>
    </w:p>
    <w:p w:rsidR="008963C6" w:rsidRPr="00BB289D" w:rsidRDefault="008963C6" w:rsidP="008963C6">
      <w:pPr>
        <w:pStyle w:val="Bullet1G"/>
        <w:rPr>
          <w:lang w:val="de-DE"/>
        </w:rPr>
      </w:pPr>
      <w:r w:rsidRPr="00BB289D">
        <w:rPr>
          <w:lang w:val="de-DE"/>
        </w:rPr>
        <w:t>In Kapitel 3.2 Tabelle C Spalte (20) für UN-Nr. 3082 UMWELTGEFÄHRDENDER STOFF, FLÜSSIG, N.A.G. (SCHWERES HEIZÖL) „Siehe Sondervorschrift 804“ eintragen.</w:t>
      </w:r>
    </w:p>
    <w:p w:rsidR="00735211" w:rsidRPr="00FC22FA" w:rsidRDefault="00735211" w:rsidP="00735211">
      <w:pPr>
        <w:keepNext/>
        <w:keepLines/>
        <w:tabs>
          <w:tab w:val="right" w:pos="851"/>
        </w:tabs>
        <w:suppressAutoHyphens/>
        <w:spacing w:before="360" w:line="300" w:lineRule="exact"/>
        <w:ind w:left="1134" w:right="1134" w:hanging="1134"/>
        <w:rPr>
          <w:b/>
          <w:sz w:val="28"/>
        </w:rPr>
      </w:pPr>
      <w:r w:rsidRPr="00BB289D">
        <w:rPr>
          <w:b/>
          <w:color w:val="000000"/>
          <w:sz w:val="28"/>
          <w:lang w:val="de-DE"/>
        </w:rPr>
        <w:tab/>
      </w:r>
      <w:r w:rsidRPr="00BB289D">
        <w:rPr>
          <w:b/>
          <w:color w:val="000000"/>
          <w:sz w:val="28"/>
          <w:lang w:val="de-DE"/>
        </w:rPr>
        <w:tab/>
      </w:r>
      <w:r w:rsidRPr="00FC22FA">
        <w:rPr>
          <w:b/>
          <w:sz w:val="28"/>
        </w:rPr>
        <w:t>Sachdienliches Dokument</w:t>
      </w:r>
    </w:p>
    <w:p w:rsidR="00735211" w:rsidRPr="000A1897" w:rsidRDefault="000A1897" w:rsidP="008963C6">
      <w:pPr>
        <w:pStyle w:val="SingleTxtG"/>
        <w:rPr>
          <w:lang w:val="en-US"/>
        </w:rPr>
      </w:pPr>
      <w:r w:rsidRPr="00E6454A">
        <w:t xml:space="preserve">Risk assessment for emissions from hot heavy fuel oil during barge loading </w:t>
      </w:r>
      <w:r w:rsidR="008963C6" w:rsidRPr="00E6454A">
        <w:t>– CONCAWE –</w:t>
      </w:r>
      <w:r w:rsidR="008963C6" w:rsidRPr="000D55FF">
        <w:rPr>
          <w:lang w:val="en-US"/>
        </w:rPr>
        <w:t xml:space="preserve"> </w:t>
      </w:r>
      <w:r w:rsidR="008963C6" w:rsidRPr="00FC22FA">
        <w:t>Januar 2015 – ISBN 978-2-87567-044-1.</w:t>
      </w:r>
    </w:p>
    <w:p w:rsidR="00735211" w:rsidRPr="000A1897" w:rsidRDefault="00735211" w:rsidP="00735211">
      <w:pPr>
        <w:tabs>
          <w:tab w:val="left" w:pos="1418"/>
          <w:tab w:val="left" w:pos="1985"/>
          <w:tab w:val="left" w:pos="2552"/>
          <w:tab w:val="left" w:pos="3119"/>
          <w:tab w:val="left" w:pos="3686"/>
        </w:tabs>
        <w:spacing w:after="0"/>
        <w:jc w:val="center"/>
        <w:rPr>
          <w:sz w:val="20"/>
          <w:lang w:val="en-US"/>
        </w:rPr>
      </w:pPr>
    </w:p>
    <w:p w:rsidR="00737EBC" w:rsidRPr="00BB289D" w:rsidRDefault="00735211" w:rsidP="007E1D6E">
      <w:pPr>
        <w:tabs>
          <w:tab w:val="left" w:pos="1418"/>
          <w:tab w:val="left" w:pos="1985"/>
          <w:tab w:val="left" w:pos="2552"/>
          <w:tab w:val="left" w:pos="3119"/>
          <w:tab w:val="left" w:pos="3686"/>
        </w:tabs>
        <w:spacing w:after="0"/>
        <w:jc w:val="center"/>
        <w:rPr>
          <w:lang w:val="de-DE"/>
        </w:rPr>
      </w:pPr>
      <w:r w:rsidRPr="00BB289D">
        <w:rPr>
          <w:sz w:val="20"/>
          <w:lang w:val="de-DE"/>
        </w:rPr>
        <w:t>***</w:t>
      </w:r>
    </w:p>
    <w:sectPr w:rsidR="00737EBC" w:rsidRPr="00BB289D" w:rsidSect="00735211">
      <w:headerReference w:type="even" r:id="rId10"/>
      <w:headerReference w:type="default" r:id="rId11"/>
      <w:footerReference w:type="even" r:id="rId12"/>
      <w:footerReference w:type="default" r:id="rId13"/>
      <w:endnotePr>
        <w:numFmt w:val="decimal"/>
      </w:endnotePr>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B2" w:rsidRDefault="00FB49B2" w:rsidP="00735211">
      <w:pPr>
        <w:spacing w:after="0"/>
      </w:pPr>
      <w:r>
        <w:separator/>
      </w:r>
    </w:p>
  </w:endnote>
  <w:endnote w:type="continuationSeparator" w:id="0">
    <w:p w:rsidR="00FB49B2" w:rsidRDefault="00FB49B2" w:rsidP="007352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4A5" w:rsidRPr="007D1FEB" w:rsidRDefault="00567211" w:rsidP="004554A5">
    <w:pPr>
      <w:tabs>
        <w:tab w:val="center" w:pos="4536"/>
        <w:tab w:val="left" w:pos="7177"/>
        <w:tab w:val="right" w:pos="9070"/>
      </w:tabs>
      <w:spacing w:after="0"/>
      <w:jc w:val="right"/>
      <w:rPr>
        <w:szCs w:val="24"/>
        <w:lang w:val="fr-FR" w:eastAsia="de-DE"/>
      </w:rPr>
    </w:pPr>
    <w:r w:rsidRPr="007D1FEB">
      <w:rPr>
        <w:rFonts w:ascii="Arial" w:hAnsi="Arial"/>
        <w:noProof/>
        <w:sz w:val="12"/>
        <w:szCs w:val="24"/>
        <w:lang w:val="fr-FR" w:eastAsia="fr-FR"/>
      </w:rPr>
      <w:t>mm_ba/adn_wp15_ac2_2015_2</w:t>
    </w:r>
    <w:r>
      <w:rPr>
        <w:rFonts w:ascii="Arial" w:hAnsi="Arial"/>
        <w:noProof/>
        <w:sz w:val="12"/>
        <w:szCs w:val="24"/>
        <w:lang w:val="fr-FR" w:eastAsia="fr-FR"/>
      </w:rPr>
      <w:t>0</w:t>
    </w:r>
    <w:r w:rsidRPr="007D1FEB">
      <w:rPr>
        <w:rFonts w:ascii="Arial" w:hAnsi="Arial"/>
        <w:noProof/>
        <w:sz w:val="12"/>
        <w:szCs w:val="24"/>
        <w:lang w:val="fr-FR" w:eastAsia="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80" w:rsidRPr="000A4580" w:rsidRDefault="007E1D6E" w:rsidP="000A4580">
    <w:pPr>
      <w:tabs>
        <w:tab w:val="center" w:pos="4536"/>
        <w:tab w:val="left" w:pos="7177"/>
        <w:tab w:val="right" w:pos="9070"/>
      </w:tabs>
      <w:spacing w:after="0"/>
      <w:jc w:val="right"/>
      <w:rPr>
        <w:szCs w:val="24"/>
        <w:lang w:val="en-US" w:eastAsia="de-DE"/>
      </w:rPr>
    </w:pPr>
    <w:r>
      <w:rPr>
        <w:rFonts w:ascii="Arial" w:hAnsi="Arial"/>
        <w:noProof/>
        <w:sz w:val="12"/>
        <w:szCs w:val="24"/>
        <w:lang w:val="en-US" w:eastAsia="fr-FR"/>
      </w:rPr>
      <w:t>m</w:t>
    </w:r>
    <w:r w:rsidR="008963C6">
      <w:rPr>
        <w:rFonts w:ascii="Arial" w:hAnsi="Arial"/>
        <w:noProof/>
        <w:sz w:val="12"/>
        <w:szCs w:val="24"/>
        <w:lang w:val="en-US" w:eastAsia="fr-FR"/>
      </w:rPr>
      <w:t>m</w:t>
    </w:r>
    <w:r>
      <w:rPr>
        <w:rFonts w:ascii="Arial" w:hAnsi="Arial"/>
        <w:noProof/>
        <w:sz w:val="12"/>
        <w:szCs w:val="24"/>
        <w:lang w:val="en-US" w:eastAsia="fr-FR"/>
      </w:rPr>
      <w:t>_ba_ag</w:t>
    </w:r>
    <w:r w:rsidR="008963C6">
      <w:rPr>
        <w:rFonts w:ascii="Arial" w:hAnsi="Arial"/>
        <w:noProof/>
        <w:sz w:val="12"/>
        <w:szCs w:val="24"/>
        <w:lang w:val="en-US" w:eastAsia="fr-FR"/>
      </w:rPr>
      <w:t>/adn_wp15_ac2_2016</w:t>
    </w:r>
    <w:r w:rsidR="00567211" w:rsidRPr="000A4580">
      <w:rPr>
        <w:rFonts w:ascii="Arial" w:hAnsi="Arial"/>
        <w:noProof/>
        <w:sz w:val="12"/>
        <w:szCs w:val="24"/>
        <w:lang w:val="en-US" w:eastAsia="fr-FR"/>
      </w:rPr>
      <w:t>_</w:t>
    </w:r>
    <w:r w:rsidR="008963C6">
      <w:rPr>
        <w:rFonts w:ascii="Arial" w:hAnsi="Arial"/>
        <w:noProof/>
        <w:sz w:val="12"/>
        <w:szCs w:val="24"/>
        <w:lang w:val="en-US" w:eastAsia="fr-FR"/>
      </w:rPr>
      <w:t>26</w:t>
    </w:r>
    <w:r w:rsidR="00567211" w:rsidRPr="000A4580">
      <w:rPr>
        <w:rFonts w:ascii="Arial" w:hAnsi="Arial"/>
        <w:noProof/>
        <w:sz w:val="12"/>
        <w:szCs w:val="24"/>
        <w:lang w:val="en-US" w:eastAsia="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B2" w:rsidRDefault="00FB49B2" w:rsidP="00735211">
      <w:pPr>
        <w:spacing w:after="0"/>
      </w:pPr>
      <w:r>
        <w:separator/>
      </w:r>
    </w:p>
  </w:footnote>
  <w:footnote w:type="continuationSeparator" w:id="0">
    <w:p w:rsidR="00FB49B2" w:rsidRDefault="00FB49B2" w:rsidP="00735211">
      <w:pPr>
        <w:spacing w:after="0"/>
      </w:pPr>
      <w:r>
        <w:continuationSeparator/>
      </w:r>
    </w:p>
  </w:footnote>
  <w:footnote w:id="1">
    <w:p w:rsidR="00735211" w:rsidRPr="006F296A" w:rsidRDefault="00735211" w:rsidP="00735211">
      <w:pPr>
        <w:pStyle w:val="FootnoteText"/>
        <w:tabs>
          <w:tab w:val="left" w:pos="284"/>
        </w:tabs>
        <w:ind w:left="284" w:hanging="284"/>
        <w:jc w:val="both"/>
        <w:rPr>
          <w:szCs w:val="24"/>
          <w:lang w:val="de-DE"/>
        </w:rPr>
      </w:pPr>
      <w:r w:rsidRPr="00B54CCC">
        <w:rPr>
          <w:rStyle w:val="FootnoteReference"/>
          <w:sz w:val="20"/>
        </w:rPr>
        <w:footnoteRef/>
      </w:r>
      <w:r w:rsidRPr="00B54CCC">
        <w:rPr>
          <w:szCs w:val="24"/>
          <w:lang w:val="de-DE"/>
        </w:rPr>
        <w:tab/>
      </w:r>
      <w:r w:rsidR="0006376D">
        <w:rPr>
          <w:noProof/>
          <w:sz w:val="16"/>
          <w:szCs w:val="24"/>
          <w:lang w:val="de-DE"/>
        </w:rPr>
        <w:t>Von der UN-ECE in Englisch unter dem Aktenzeichen ECE/</w:t>
      </w:r>
      <w:r w:rsidR="0006376D" w:rsidRPr="0006376D">
        <w:rPr>
          <w:noProof/>
          <w:sz w:val="16"/>
          <w:szCs w:val="24"/>
          <w:lang w:val="de-DE"/>
        </w:rPr>
        <w:t>TRANS/WP.15/AC.2/2016/26</w:t>
      </w:r>
      <w:r w:rsidR="0006376D">
        <w:rPr>
          <w:noProof/>
          <w:sz w:val="16"/>
          <w:szCs w:val="24"/>
          <w:lang w:val="de-DE"/>
        </w:rPr>
        <w:t xml:space="preserve"> </w:t>
      </w:r>
      <w:r w:rsidR="007E1D6E">
        <w:rPr>
          <w:noProof/>
          <w:sz w:val="16"/>
          <w:szCs w:val="24"/>
          <w:lang w:val="de-DE"/>
        </w:rPr>
        <w:t>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E" w:rsidRPr="00805FA0" w:rsidRDefault="00567211" w:rsidP="00853BD3">
    <w:pPr>
      <w:pStyle w:val="Header"/>
      <w:spacing w:after="0"/>
      <w:rPr>
        <w:rFonts w:ascii="Arial" w:hAnsi="Arial" w:cs="Arial"/>
        <w:sz w:val="16"/>
        <w:szCs w:val="16"/>
        <w:lang w:val="en-US"/>
      </w:rPr>
    </w:pPr>
    <w:r w:rsidRPr="00805FA0">
      <w:rPr>
        <w:rFonts w:ascii="Arial" w:hAnsi="Arial" w:cs="Arial"/>
        <w:sz w:val="16"/>
        <w:szCs w:val="16"/>
        <w:lang w:val="en-US"/>
      </w:rPr>
      <w:t>CCNR-ZKR/ADN/WP.15/AC.2/2015/20</w:t>
    </w:r>
  </w:p>
  <w:p w:rsidR="00332EBE" w:rsidRPr="00226EA3" w:rsidRDefault="00567211" w:rsidP="00F20225">
    <w:pPr>
      <w:pStyle w:val="Header"/>
      <w:spacing w:after="0"/>
      <w:rPr>
        <w:rFonts w:ascii="Arial" w:hAnsi="Arial" w:cs="Arial"/>
        <w:sz w:val="16"/>
        <w:szCs w:val="16"/>
      </w:rPr>
    </w:pPr>
    <w:r>
      <w:rPr>
        <w:rFonts w:ascii="Arial" w:hAnsi="Arial" w:cs="Arial"/>
        <w:sz w:val="16"/>
        <w:szCs w:val="16"/>
      </w:rPr>
      <w:t xml:space="preserve">Seite </w:t>
    </w:r>
    <w:r w:rsidRPr="00226EA3">
      <w:rPr>
        <w:rFonts w:ascii="Arial" w:hAnsi="Arial" w:cs="Arial"/>
        <w:sz w:val="16"/>
        <w:szCs w:val="16"/>
      </w:rPr>
      <w:fldChar w:fldCharType="begin"/>
    </w:r>
    <w:r w:rsidRPr="00226EA3">
      <w:rPr>
        <w:rFonts w:ascii="Arial" w:hAnsi="Arial" w:cs="Arial"/>
        <w:sz w:val="16"/>
        <w:szCs w:val="16"/>
      </w:rPr>
      <w:instrText xml:space="preserve"> PAGE  \* MERGEFORMAT </w:instrText>
    </w:r>
    <w:r w:rsidRPr="00226EA3">
      <w:rPr>
        <w:rFonts w:ascii="Arial" w:hAnsi="Arial" w:cs="Arial"/>
        <w:sz w:val="16"/>
        <w:szCs w:val="16"/>
      </w:rPr>
      <w:fldChar w:fldCharType="separate"/>
    </w:r>
    <w:r>
      <w:rPr>
        <w:rFonts w:ascii="Arial" w:hAnsi="Arial" w:cs="Arial"/>
        <w:noProof/>
        <w:sz w:val="16"/>
        <w:szCs w:val="16"/>
      </w:rPr>
      <w:t>2</w:t>
    </w:r>
    <w:r w:rsidRPr="00226EA3">
      <w:rPr>
        <w:rFonts w:ascii="Arial" w:hAnsi="Arial" w:cs="Arial"/>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E" w:rsidRPr="00FC22FA" w:rsidRDefault="000D55FF" w:rsidP="000D55FF">
    <w:pPr>
      <w:pStyle w:val="Header"/>
      <w:tabs>
        <w:tab w:val="clear" w:pos="4320"/>
        <w:tab w:val="clear" w:pos="8640"/>
        <w:tab w:val="left" w:pos="5640"/>
        <w:tab w:val="left" w:pos="6803"/>
      </w:tabs>
      <w:spacing w:after="0"/>
      <w:rPr>
        <w:rFonts w:ascii="Arial" w:hAnsi="Arial" w:cs="Arial"/>
        <w:sz w:val="16"/>
        <w:szCs w:val="16"/>
      </w:rPr>
    </w:pPr>
    <w:r w:rsidRPr="00FC22FA">
      <w:rPr>
        <w:rFonts w:ascii="Arial" w:hAnsi="Arial" w:cs="Arial"/>
        <w:sz w:val="16"/>
        <w:szCs w:val="16"/>
      </w:rPr>
      <w:t>CCNR-ZKR/ADN/</w:t>
    </w:r>
    <w:r w:rsidR="00567211" w:rsidRPr="00FC22FA">
      <w:rPr>
        <w:rFonts w:ascii="Arial" w:hAnsi="Arial" w:cs="Arial"/>
        <w:sz w:val="16"/>
        <w:szCs w:val="16"/>
      </w:rPr>
      <w:t>WP.15/AC.2/</w:t>
    </w:r>
    <w:r w:rsidR="008963C6" w:rsidRPr="00FC22FA">
      <w:rPr>
        <w:rFonts w:ascii="Arial" w:hAnsi="Arial" w:cs="Arial"/>
        <w:sz w:val="16"/>
        <w:szCs w:val="16"/>
      </w:rPr>
      <w:t>2016/26</w:t>
    </w:r>
  </w:p>
  <w:p w:rsidR="00332EBE" w:rsidRPr="000D55FF" w:rsidRDefault="00567211" w:rsidP="000D55FF">
    <w:pPr>
      <w:pStyle w:val="Header"/>
      <w:tabs>
        <w:tab w:val="clear" w:pos="4320"/>
        <w:tab w:val="clear" w:pos="8640"/>
        <w:tab w:val="left" w:pos="5640"/>
        <w:tab w:val="left" w:pos="6803"/>
      </w:tabs>
      <w:spacing w:after="0"/>
      <w:rPr>
        <w:rFonts w:ascii="Arial" w:hAnsi="Arial" w:cs="Arial"/>
        <w:sz w:val="16"/>
        <w:szCs w:val="16"/>
        <w:lang w:val="de-DE"/>
      </w:rPr>
    </w:pPr>
    <w:r w:rsidRPr="000D55FF">
      <w:rPr>
        <w:rFonts w:ascii="Arial" w:hAnsi="Arial" w:cs="Arial"/>
        <w:sz w:val="16"/>
        <w:szCs w:val="16"/>
        <w:lang w:val="de-DE"/>
      </w:rPr>
      <w:t xml:space="preserve">Seite </w:t>
    </w:r>
    <w:r w:rsidRPr="000D55FF">
      <w:rPr>
        <w:rFonts w:ascii="Arial" w:hAnsi="Arial" w:cs="Arial"/>
        <w:sz w:val="16"/>
        <w:szCs w:val="16"/>
        <w:lang w:val="de-DE"/>
      </w:rPr>
      <w:fldChar w:fldCharType="begin"/>
    </w:r>
    <w:r w:rsidRPr="000D55FF">
      <w:rPr>
        <w:rFonts w:ascii="Arial" w:hAnsi="Arial" w:cs="Arial"/>
        <w:sz w:val="16"/>
        <w:szCs w:val="16"/>
        <w:lang w:val="de-DE"/>
      </w:rPr>
      <w:instrText xml:space="preserve"> PAGE  \* MERGEFORMAT </w:instrText>
    </w:r>
    <w:r w:rsidRPr="000D55FF">
      <w:rPr>
        <w:rFonts w:ascii="Arial" w:hAnsi="Arial" w:cs="Arial"/>
        <w:sz w:val="16"/>
        <w:szCs w:val="16"/>
        <w:lang w:val="de-DE"/>
      </w:rPr>
      <w:fldChar w:fldCharType="separate"/>
    </w:r>
    <w:r w:rsidR="00333F5B">
      <w:rPr>
        <w:rFonts w:ascii="Arial" w:hAnsi="Arial" w:cs="Arial"/>
        <w:noProof/>
        <w:sz w:val="16"/>
        <w:szCs w:val="16"/>
        <w:lang w:val="de-DE"/>
      </w:rPr>
      <w:t>2</w:t>
    </w:r>
    <w:r w:rsidRPr="000D55FF">
      <w:rPr>
        <w:rFonts w:ascii="Arial" w:hAnsi="Arial" w:cs="Arial"/>
        <w:sz w:val="16"/>
        <w:szCs w:val="16"/>
        <w:lang w:val="de-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EB3A31"/>
    <w:multiLevelType w:val="hybridMultilevel"/>
    <w:tmpl w:val="44CA481C"/>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08"/>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11"/>
    <w:rsid w:val="0006376D"/>
    <w:rsid w:val="000A1897"/>
    <w:rsid w:val="000D55FF"/>
    <w:rsid w:val="00134345"/>
    <w:rsid w:val="00181F80"/>
    <w:rsid w:val="00333F5B"/>
    <w:rsid w:val="00370253"/>
    <w:rsid w:val="004847F2"/>
    <w:rsid w:val="00567211"/>
    <w:rsid w:val="006E263C"/>
    <w:rsid w:val="00735211"/>
    <w:rsid w:val="0076437A"/>
    <w:rsid w:val="007E1D6E"/>
    <w:rsid w:val="008963C6"/>
    <w:rsid w:val="009106D9"/>
    <w:rsid w:val="00937F06"/>
    <w:rsid w:val="00A6361F"/>
    <w:rsid w:val="00B357CD"/>
    <w:rsid w:val="00BB289D"/>
    <w:rsid w:val="00E6454A"/>
    <w:rsid w:val="00F524BD"/>
    <w:rsid w:val="00FB49B2"/>
    <w:rsid w:val="00FC22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11"/>
    <w:pPr>
      <w:spacing w:after="24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5211"/>
    <w:pPr>
      <w:tabs>
        <w:tab w:val="center" w:pos="4320"/>
        <w:tab w:val="right" w:pos="8640"/>
      </w:tabs>
    </w:pPr>
  </w:style>
  <w:style w:type="character" w:customStyle="1" w:styleId="HeaderChar">
    <w:name w:val="Header Char"/>
    <w:basedOn w:val="DefaultParagraphFont"/>
    <w:link w:val="Header"/>
    <w:rsid w:val="00735211"/>
    <w:rPr>
      <w:rFonts w:ascii="Times New Roman" w:eastAsia="Times New Roman" w:hAnsi="Times New Roman" w:cs="Times New Roman"/>
      <w:sz w:val="24"/>
      <w:szCs w:val="20"/>
      <w:lang w:val="en-GB"/>
    </w:rPr>
  </w:style>
  <w:style w:type="character" w:styleId="FootnoteReference">
    <w:name w:val="footnote reference"/>
    <w:aliases w:val="Footnote Reference/"/>
    <w:rsid w:val="00735211"/>
    <w:rPr>
      <w:b/>
      <w:sz w:val="24"/>
      <w:vertAlign w:val="superscript"/>
    </w:rPr>
  </w:style>
  <w:style w:type="paragraph" w:styleId="FootnoteText">
    <w:name w:val="footnote text"/>
    <w:basedOn w:val="Normal"/>
    <w:link w:val="FootnoteTextChar"/>
    <w:rsid w:val="00735211"/>
  </w:style>
  <w:style w:type="character" w:customStyle="1" w:styleId="FootnoteTextChar">
    <w:name w:val="Footnote Text Char"/>
    <w:basedOn w:val="DefaultParagraphFont"/>
    <w:link w:val="FootnoteText"/>
    <w:rsid w:val="00735211"/>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735211"/>
    <w:pPr>
      <w:ind w:left="708"/>
    </w:pPr>
  </w:style>
  <w:style w:type="paragraph" w:customStyle="1" w:styleId="SingleTxtG">
    <w:name w:val="_ Single Txt_G"/>
    <w:basedOn w:val="Normal"/>
    <w:rsid w:val="008963C6"/>
    <w:pPr>
      <w:suppressAutoHyphens/>
      <w:spacing w:after="120" w:line="240" w:lineRule="atLeast"/>
      <w:ind w:left="1134" w:right="1134"/>
      <w:jc w:val="both"/>
    </w:pPr>
    <w:rPr>
      <w:rFonts w:eastAsia="SimSun"/>
      <w:sz w:val="20"/>
      <w:lang w:eastAsia="zh-CN"/>
    </w:rPr>
  </w:style>
  <w:style w:type="paragraph" w:customStyle="1" w:styleId="Bullet1G">
    <w:name w:val="_Bullet 1_G"/>
    <w:basedOn w:val="Normal"/>
    <w:rsid w:val="008963C6"/>
    <w:pPr>
      <w:numPr>
        <w:numId w:val="2"/>
      </w:numPr>
      <w:suppressAutoHyphens/>
      <w:spacing w:after="120" w:line="240" w:lineRule="atLeast"/>
      <w:ind w:right="1134"/>
      <w:jc w:val="both"/>
    </w:pPr>
    <w:rPr>
      <w:sz w:val="20"/>
    </w:rPr>
  </w:style>
  <w:style w:type="paragraph" w:styleId="Footer">
    <w:name w:val="footer"/>
    <w:basedOn w:val="Normal"/>
    <w:link w:val="FooterChar"/>
    <w:uiPriority w:val="99"/>
    <w:unhideWhenUsed/>
    <w:rsid w:val="008963C6"/>
    <w:pPr>
      <w:tabs>
        <w:tab w:val="center" w:pos="4536"/>
        <w:tab w:val="right" w:pos="9072"/>
      </w:tabs>
      <w:spacing w:after="0"/>
    </w:pPr>
  </w:style>
  <w:style w:type="character" w:customStyle="1" w:styleId="FooterChar">
    <w:name w:val="Footer Char"/>
    <w:basedOn w:val="DefaultParagraphFont"/>
    <w:link w:val="Footer"/>
    <w:uiPriority w:val="99"/>
    <w:rsid w:val="008963C6"/>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9106D9"/>
    <w:rPr>
      <w:sz w:val="16"/>
      <w:szCs w:val="16"/>
    </w:rPr>
  </w:style>
  <w:style w:type="paragraph" w:styleId="CommentText">
    <w:name w:val="annotation text"/>
    <w:basedOn w:val="Normal"/>
    <w:link w:val="CommentTextChar"/>
    <w:uiPriority w:val="99"/>
    <w:semiHidden/>
    <w:unhideWhenUsed/>
    <w:rsid w:val="009106D9"/>
    <w:rPr>
      <w:sz w:val="20"/>
    </w:rPr>
  </w:style>
  <w:style w:type="character" w:customStyle="1" w:styleId="CommentTextChar">
    <w:name w:val="Comment Text Char"/>
    <w:basedOn w:val="DefaultParagraphFont"/>
    <w:link w:val="CommentText"/>
    <w:uiPriority w:val="99"/>
    <w:semiHidden/>
    <w:rsid w:val="009106D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106D9"/>
    <w:rPr>
      <w:b/>
      <w:bCs/>
    </w:rPr>
  </w:style>
  <w:style w:type="character" w:customStyle="1" w:styleId="CommentSubjectChar">
    <w:name w:val="Comment Subject Char"/>
    <w:basedOn w:val="CommentTextChar"/>
    <w:link w:val="CommentSubject"/>
    <w:uiPriority w:val="99"/>
    <w:semiHidden/>
    <w:rsid w:val="009106D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106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6D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11"/>
    <w:pPr>
      <w:spacing w:after="24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35211"/>
    <w:pPr>
      <w:tabs>
        <w:tab w:val="center" w:pos="4320"/>
        <w:tab w:val="right" w:pos="8640"/>
      </w:tabs>
    </w:pPr>
  </w:style>
  <w:style w:type="character" w:customStyle="1" w:styleId="HeaderChar">
    <w:name w:val="Header Char"/>
    <w:basedOn w:val="DefaultParagraphFont"/>
    <w:link w:val="Header"/>
    <w:rsid w:val="00735211"/>
    <w:rPr>
      <w:rFonts w:ascii="Times New Roman" w:eastAsia="Times New Roman" w:hAnsi="Times New Roman" w:cs="Times New Roman"/>
      <w:sz w:val="24"/>
      <w:szCs w:val="20"/>
      <w:lang w:val="en-GB"/>
    </w:rPr>
  </w:style>
  <w:style w:type="character" w:styleId="FootnoteReference">
    <w:name w:val="footnote reference"/>
    <w:aliases w:val="Footnote Reference/"/>
    <w:rsid w:val="00735211"/>
    <w:rPr>
      <w:b/>
      <w:sz w:val="24"/>
      <w:vertAlign w:val="superscript"/>
    </w:rPr>
  </w:style>
  <w:style w:type="paragraph" w:styleId="FootnoteText">
    <w:name w:val="footnote text"/>
    <w:basedOn w:val="Normal"/>
    <w:link w:val="FootnoteTextChar"/>
    <w:rsid w:val="00735211"/>
  </w:style>
  <w:style w:type="character" w:customStyle="1" w:styleId="FootnoteTextChar">
    <w:name w:val="Footnote Text Char"/>
    <w:basedOn w:val="DefaultParagraphFont"/>
    <w:link w:val="FootnoteText"/>
    <w:rsid w:val="00735211"/>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735211"/>
    <w:pPr>
      <w:ind w:left="708"/>
    </w:pPr>
  </w:style>
  <w:style w:type="paragraph" w:customStyle="1" w:styleId="SingleTxtG">
    <w:name w:val="_ Single Txt_G"/>
    <w:basedOn w:val="Normal"/>
    <w:rsid w:val="008963C6"/>
    <w:pPr>
      <w:suppressAutoHyphens/>
      <w:spacing w:after="120" w:line="240" w:lineRule="atLeast"/>
      <w:ind w:left="1134" w:right="1134"/>
      <w:jc w:val="both"/>
    </w:pPr>
    <w:rPr>
      <w:rFonts w:eastAsia="SimSun"/>
      <w:sz w:val="20"/>
      <w:lang w:eastAsia="zh-CN"/>
    </w:rPr>
  </w:style>
  <w:style w:type="paragraph" w:customStyle="1" w:styleId="Bullet1G">
    <w:name w:val="_Bullet 1_G"/>
    <w:basedOn w:val="Normal"/>
    <w:rsid w:val="008963C6"/>
    <w:pPr>
      <w:numPr>
        <w:numId w:val="2"/>
      </w:numPr>
      <w:suppressAutoHyphens/>
      <w:spacing w:after="120" w:line="240" w:lineRule="atLeast"/>
      <w:ind w:right="1134"/>
      <w:jc w:val="both"/>
    </w:pPr>
    <w:rPr>
      <w:sz w:val="20"/>
    </w:rPr>
  </w:style>
  <w:style w:type="paragraph" w:styleId="Footer">
    <w:name w:val="footer"/>
    <w:basedOn w:val="Normal"/>
    <w:link w:val="FooterChar"/>
    <w:uiPriority w:val="99"/>
    <w:unhideWhenUsed/>
    <w:rsid w:val="008963C6"/>
    <w:pPr>
      <w:tabs>
        <w:tab w:val="center" w:pos="4536"/>
        <w:tab w:val="right" w:pos="9072"/>
      </w:tabs>
      <w:spacing w:after="0"/>
    </w:pPr>
  </w:style>
  <w:style w:type="character" w:customStyle="1" w:styleId="FooterChar">
    <w:name w:val="Footer Char"/>
    <w:basedOn w:val="DefaultParagraphFont"/>
    <w:link w:val="Footer"/>
    <w:uiPriority w:val="99"/>
    <w:rsid w:val="008963C6"/>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9106D9"/>
    <w:rPr>
      <w:sz w:val="16"/>
      <w:szCs w:val="16"/>
    </w:rPr>
  </w:style>
  <w:style w:type="paragraph" w:styleId="CommentText">
    <w:name w:val="annotation text"/>
    <w:basedOn w:val="Normal"/>
    <w:link w:val="CommentTextChar"/>
    <w:uiPriority w:val="99"/>
    <w:semiHidden/>
    <w:unhideWhenUsed/>
    <w:rsid w:val="009106D9"/>
    <w:rPr>
      <w:sz w:val="20"/>
    </w:rPr>
  </w:style>
  <w:style w:type="character" w:customStyle="1" w:styleId="CommentTextChar">
    <w:name w:val="Comment Text Char"/>
    <w:basedOn w:val="DefaultParagraphFont"/>
    <w:link w:val="CommentText"/>
    <w:uiPriority w:val="99"/>
    <w:semiHidden/>
    <w:rsid w:val="009106D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106D9"/>
    <w:rPr>
      <w:b/>
      <w:bCs/>
    </w:rPr>
  </w:style>
  <w:style w:type="character" w:customStyle="1" w:styleId="CommentSubjectChar">
    <w:name w:val="Comment Subject Char"/>
    <w:basedOn w:val="CommentTextChar"/>
    <w:link w:val="CommentSubject"/>
    <w:uiPriority w:val="99"/>
    <w:semiHidden/>
    <w:rsid w:val="009106D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106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6D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CB4A-4784-4688-A84A-D18FE244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CCNR</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Grangeret</dc:creator>
  <cp:lastModifiedBy>Caillot</cp:lastModifiedBy>
  <cp:revision>2</cp:revision>
  <cp:lastPrinted>2015-11-30T13:32:00Z</cp:lastPrinted>
  <dcterms:created xsi:type="dcterms:W3CDTF">2015-12-03T17:15:00Z</dcterms:created>
  <dcterms:modified xsi:type="dcterms:W3CDTF">2015-12-03T17:15:00Z</dcterms:modified>
</cp:coreProperties>
</file>