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71" w:rsidRPr="00AE19A4" w:rsidRDefault="00E04071" w:rsidP="00E04071">
      <w:pPr>
        <w:spacing w:line="240" w:lineRule="auto"/>
        <w:rPr>
          <w:sz w:val="2"/>
        </w:rPr>
        <w:sectPr w:rsidR="00E04071" w:rsidRPr="00AE19A4" w:rsidSect="00E0407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E04071" w:rsidRPr="00AE19A4" w:rsidRDefault="00E04071" w:rsidP="002D01AB">
      <w:pPr>
        <w:pStyle w:val="H1"/>
        <w:spacing w:before="120"/>
        <w:rPr>
          <w:sz w:val="28"/>
        </w:rPr>
      </w:pPr>
      <w:r w:rsidRPr="00AE19A4">
        <w:rPr>
          <w:sz w:val="28"/>
        </w:rPr>
        <w:lastRenderedPageBreak/>
        <w:t>Economic Commission for Europe</w:t>
      </w:r>
    </w:p>
    <w:p w:rsidR="00E04071" w:rsidRPr="00AE19A4" w:rsidRDefault="00E04071" w:rsidP="00E04071">
      <w:pPr>
        <w:pStyle w:val="H1"/>
        <w:spacing w:line="120" w:lineRule="exact"/>
        <w:rPr>
          <w:sz w:val="10"/>
        </w:rPr>
      </w:pPr>
    </w:p>
    <w:p w:rsidR="00E04071" w:rsidRPr="00AE19A4" w:rsidRDefault="00E04071" w:rsidP="00E04071">
      <w:pPr>
        <w:pStyle w:val="H1"/>
        <w:rPr>
          <w:b w:val="0"/>
          <w:sz w:val="28"/>
        </w:rPr>
      </w:pPr>
      <w:r w:rsidRPr="00AE19A4">
        <w:rPr>
          <w:b w:val="0"/>
          <w:sz w:val="28"/>
        </w:rPr>
        <w:t>Inland Transport Committee</w:t>
      </w:r>
    </w:p>
    <w:p w:rsidR="00E04071" w:rsidRPr="00AE19A4" w:rsidRDefault="00E04071" w:rsidP="00E04071">
      <w:pPr>
        <w:pStyle w:val="H1"/>
        <w:spacing w:line="120" w:lineRule="exact"/>
        <w:rPr>
          <w:b w:val="0"/>
          <w:sz w:val="10"/>
        </w:rPr>
      </w:pPr>
    </w:p>
    <w:p w:rsidR="00E04071" w:rsidRDefault="00E04071" w:rsidP="00F1709B">
      <w:pPr>
        <w:pStyle w:val="H23"/>
        <w:rPr>
          <w:sz w:val="24"/>
        </w:rPr>
      </w:pPr>
      <w:r w:rsidRPr="00AE19A4">
        <w:rPr>
          <w:sz w:val="24"/>
        </w:rPr>
        <w:t xml:space="preserve">Working Party on the Transport of </w:t>
      </w:r>
      <w:r w:rsidR="00F1709B">
        <w:rPr>
          <w:sz w:val="24"/>
        </w:rPr>
        <w:t>Dangerous Goods</w:t>
      </w:r>
    </w:p>
    <w:p w:rsidR="00F1709B" w:rsidRPr="00F1709B" w:rsidRDefault="00F1709B" w:rsidP="00F1709B">
      <w:pPr>
        <w:spacing w:line="120" w:lineRule="exact"/>
        <w:rPr>
          <w:sz w:val="10"/>
        </w:rPr>
      </w:pPr>
    </w:p>
    <w:p w:rsidR="00F1709B" w:rsidRDefault="00F1709B" w:rsidP="00F1709B">
      <w:pPr>
        <w:pStyle w:val="H23"/>
        <w:ind w:right="1260"/>
      </w:pPr>
      <w:r w:rsidRPr="00F1709B">
        <w:t>Joint Meeting of Experts on the Regulations annexed to the</w:t>
      </w:r>
    </w:p>
    <w:p w:rsidR="00F1709B" w:rsidRDefault="00F1709B" w:rsidP="00F1709B">
      <w:pPr>
        <w:pStyle w:val="H23"/>
        <w:ind w:right="1260"/>
      </w:pPr>
      <w:r w:rsidRPr="00F1709B">
        <w:t>European Agreement concerning the International Carriage</w:t>
      </w:r>
    </w:p>
    <w:p w:rsidR="00F1709B" w:rsidRDefault="00F1709B" w:rsidP="00F1709B">
      <w:pPr>
        <w:pStyle w:val="H23"/>
        <w:ind w:right="1260"/>
      </w:pPr>
      <w:proofErr w:type="gramStart"/>
      <w:r w:rsidRPr="00F1709B">
        <w:t>of</w:t>
      </w:r>
      <w:proofErr w:type="gramEnd"/>
      <w:r w:rsidRPr="00F1709B">
        <w:t xml:space="preserve"> Dangerous Goods by Inland Waterways (ADN)</w:t>
      </w:r>
    </w:p>
    <w:p w:rsidR="00F1709B" w:rsidRDefault="00F1709B" w:rsidP="00F1709B">
      <w:pPr>
        <w:pStyle w:val="H23"/>
        <w:ind w:right="1260"/>
      </w:pPr>
      <w:r w:rsidRPr="00F1709B">
        <w:t>(ADN Safety Committee)</w:t>
      </w:r>
    </w:p>
    <w:p w:rsidR="00F1709B" w:rsidRPr="00F1709B" w:rsidRDefault="00F1709B" w:rsidP="00F170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F1709B" w:rsidRPr="00F1709B" w:rsidRDefault="00F1709B" w:rsidP="00F1709B">
      <w:pPr>
        <w:pStyle w:val="H23"/>
        <w:ind w:right="1260"/>
      </w:pPr>
      <w:r w:rsidRPr="00F1709B">
        <w:t xml:space="preserve">Twenty-eighth </w:t>
      </w:r>
      <w:proofErr w:type="gramStart"/>
      <w:r w:rsidRPr="00F1709B">
        <w:t>session</w:t>
      </w:r>
      <w:proofErr w:type="gramEnd"/>
    </w:p>
    <w:p w:rsidR="00F1709B" w:rsidRPr="00F1709B" w:rsidRDefault="00F1709B" w:rsidP="00F170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1709B">
        <w:t>Geneva, 25-29 January 2016</w:t>
      </w:r>
    </w:p>
    <w:p w:rsidR="00F1709B" w:rsidRPr="00F1709B" w:rsidRDefault="00F1709B" w:rsidP="00F170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1709B">
        <w:t>Item 5 (b) of the provisional agenda</w:t>
      </w:r>
    </w:p>
    <w:p w:rsidR="00F1709B" w:rsidRPr="00F1709B" w:rsidRDefault="00F1709B" w:rsidP="00F1709B">
      <w:pPr>
        <w:pStyle w:val="H23"/>
        <w:ind w:right="1260"/>
      </w:pPr>
      <w:r w:rsidRPr="00F1709B">
        <w:t>Proposals for amendments to the Regulations annexed to ADN:</w:t>
      </w:r>
    </w:p>
    <w:p w:rsidR="00F1709B" w:rsidRDefault="00F1709B" w:rsidP="00F1709B">
      <w:pPr>
        <w:pStyle w:val="H23"/>
        <w:ind w:right="1260"/>
      </w:pPr>
      <w:r w:rsidRPr="00F1709B">
        <w:t>Other proposals</w:t>
      </w:r>
    </w:p>
    <w:p w:rsidR="00F1709B" w:rsidRPr="00F1709B" w:rsidRDefault="00F1709B" w:rsidP="00F1709B">
      <w:pPr>
        <w:pStyle w:val="SingleTxt"/>
        <w:spacing w:after="0" w:line="120" w:lineRule="exact"/>
        <w:rPr>
          <w:sz w:val="10"/>
        </w:rPr>
      </w:pPr>
    </w:p>
    <w:p w:rsidR="00F1709B" w:rsidRPr="00F1709B" w:rsidRDefault="00F1709B" w:rsidP="00F1709B">
      <w:pPr>
        <w:pStyle w:val="SingleTxt"/>
        <w:spacing w:after="0" w:line="120" w:lineRule="exact"/>
        <w:rPr>
          <w:sz w:val="10"/>
        </w:rPr>
      </w:pPr>
    </w:p>
    <w:p w:rsidR="00F1709B" w:rsidRPr="00F1709B" w:rsidRDefault="00F1709B" w:rsidP="00F1709B">
      <w:pPr>
        <w:pStyle w:val="SingleTxt"/>
        <w:spacing w:after="0" w:line="120" w:lineRule="exact"/>
        <w:rPr>
          <w:sz w:val="10"/>
        </w:rPr>
      </w:pPr>
    </w:p>
    <w:p w:rsidR="00F1709B" w:rsidRDefault="00F1709B" w:rsidP="00F1709B">
      <w:pPr>
        <w:pStyle w:val="HCh"/>
        <w:ind w:left="1267" w:right="1260" w:hanging="1267"/>
      </w:pPr>
      <w:r w:rsidRPr="00F1709B">
        <w:tab/>
      </w:r>
      <w:r w:rsidRPr="00F1709B">
        <w:tab/>
        <w:t>Construction materials</w:t>
      </w:r>
    </w:p>
    <w:p w:rsidR="00F1709B" w:rsidRPr="00F1709B" w:rsidRDefault="00F1709B" w:rsidP="00F1709B">
      <w:pPr>
        <w:pStyle w:val="SingleTxt"/>
        <w:spacing w:after="0" w:line="120" w:lineRule="exact"/>
        <w:rPr>
          <w:sz w:val="10"/>
        </w:rPr>
      </w:pPr>
    </w:p>
    <w:p w:rsidR="00F1709B" w:rsidRPr="00F1709B" w:rsidRDefault="00F1709B" w:rsidP="00F1709B">
      <w:pPr>
        <w:pStyle w:val="SingleTxt"/>
        <w:spacing w:after="0" w:line="120" w:lineRule="exact"/>
        <w:rPr>
          <w:sz w:val="10"/>
        </w:rPr>
      </w:pPr>
    </w:p>
    <w:p w:rsidR="00F1709B" w:rsidRDefault="00F1709B" w:rsidP="00F1709B">
      <w:pPr>
        <w:pStyle w:val="H1"/>
        <w:ind w:right="1260"/>
      </w:pPr>
      <w:r w:rsidRPr="00F1709B">
        <w:tab/>
      </w:r>
      <w:r w:rsidRPr="00F1709B">
        <w:tab/>
        <w:t>Transmitted jointly by the European Barge Union (EBU), the European River-Sea Transport Union (ERSTU) and the European Organization of Barge Owner Oper</w:t>
      </w:r>
      <w:r>
        <w:t>ators</w:t>
      </w:r>
      <w:r w:rsidRPr="00F1709B">
        <w:t xml:space="preserve"> (OEB)</w:t>
      </w:r>
      <w:r w:rsidRPr="00B26A1F">
        <w:rPr>
          <w:rStyle w:val="FootnoteReference"/>
          <w:b w:val="0"/>
          <w:bCs/>
          <w:sz w:val="17"/>
          <w:szCs w:val="17"/>
        </w:rPr>
        <w:footnoteReference w:id="1"/>
      </w:r>
    </w:p>
    <w:p w:rsidR="00F1709B" w:rsidRPr="00F1709B" w:rsidRDefault="00F1709B" w:rsidP="00F1709B">
      <w:pPr>
        <w:pStyle w:val="SingleTxt"/>
        <w:spacing w:after="0" w:line="120" w:lineRule="exact"/>
        <w:rPr>
          <w:sz w:val="10"/>
        </w:rPr>
      </w:pPr>
    </w:p>
    <w:p w:rsidR="00F1709B" w:rsidRPr="00F1709B" w:rsidRDefault="00F1709B" w:rsidP="00F1709B">
      <w:pPr>
        <w:pStyle w:val="SingleTxt"/>
        <w:spacing w:after="0" w:line="120" w:lineRule="exact"/>
        <w:rPr>
          <w:sz w:val="10"/>
        </w:rPr>
      </w:pPr>
    </w:p>
    <w:p w:rsidR="00F1709B" w:rsidRDefault="00F1709B" w:rsidP="00F1709B">
      <w:pPr>
        <w:pStyle w:val="HCh"/>
        <w:ind w:left="1267" w:right="1260" w:hanging="1267"/>
      </w:pPr>
      <w:r w:rsidRPr="00F1709B">
        <w:tab/>
      </w:r>
      <w:r w:rsidRPr="00F1709B">
        <w:tab/>
        <w:t>Introduction</w:t>
      </w:r>
    </w:p>
    <w:p w:rsidR="00F1709B" w:rsidRPr="00F1709B" w:rsidRDefault="00F1709B" w:rsidP="00F1709B">
      <w:pPr>
        <w:pStyle w:val="SingleTxt"/>
        <w:spacing w:after="0" w:line="120" w:lineRule="exact"/>
        <w:rPr>
          <w:sz w:val="10"/>
        </w:rPr>
      </w:pPr>
    </w:p>
    <w:p w:rsidR="00F1709B" w:rsidRPr="00F1709B" w:rsidRDefault="00F1709B" w:rsidP="00F1709B">
      <w:pPr>
        <w:pStyle w:val="SingleTxt"/>
        <w:spacing w:after="0" w:line="120" w:lineRule="exact"/>
        <w:rPr>
          <w:sz w:val="10"/>
        </w:rPr>
      </w:pPr>
    </w:p>
    <w:p w:rsidR="00F1709B" w:rsidRDefault="00F1709B" w:rsidP="00F1709B">
      <w:pPr>
        <w:pStyle w:val="SingleTxt"/>
        <w:rPr>
          <w:spacing w:val="2"/>
        </w:rPr>
      </w:pPr>
      <w:r w:rsidRPr="00F1709B">
        <w:t>1.</w:t>
      </w:r>
      <w:r w:rsidRPr="00F1709B">
        <w:tab/>
      </w:r>
      <w:r w:rsidRPr="002D01AB">
        <w:rPr>
          <w:spacing w:val="2"/>
        </w:rPr>
        <w:t>During the 27th session of the ADN Safety Committee, the inland navigation professional organizations transmitted a document (ECE/TRANS/WP.15/AC.2/2015/19) aimed at updating the provisions for materials of construction of on-board equipment. The Safety Committee found that the issues addressed needed to be presented in a clearer and more understandable way before the request itself could be assessed.</w:t>
      </w:r>
    </w:p>
    <w:p w:rsidR="002D01AB" w:rsidRPr="002D01AB" w:rsidRDefault="002D01AB" w:rsidP="002D01AB">
      <w:pPr>
        <w:pStyle w:val="SingleTxt"/>
        <w:spacing w:after="0" w:line="120" w:lineRule="exact"/>
        <w:rPr>
          <w:spacing w:val="2"/>
          <w:sz w:val="10"/>
        </w:rPr>
      </w:pPr>
    </w:p>
    <w:p w:rsidR="002D01AB" w:rsidRPr="002D01AB" w:rsidRDefault="002D01AB" w:rsidP="002D01AB">
      <w:pPr>
        <w:pStyle w:val="SingleTxt"/>
        <w:spacing w:after="0" w:line="120" w:lineRule="exact"/>
        <w:rPr>
          <w:spacing w:val="2"/>
          <w:sz w:val="10"/>
        </w:rPr>
      </w:pPr>
    </w:p>
    <w:p w:rsidR="00F1709B" w:rsidRDefault="00F1709B" w:rsidP="002D01AB">
      <w:pPr>
        <w:pStyle w:val="HCh"/>
        <w:ind w:left="1267" w:right="1260" w:hanging="1267"/>
      </w:pPr>
      <w:r w:rsidRPr="00F1709B">
        <w:tab/>
      </w:r>
      <w:r w:rsidRPr="00F1709B">
        <w:tab/>
        <w:t>Proposal 1</w:t>
      </w:r>
    </w:p>
    <w:p w:rsidR="002D01AB" w:rsidRPr="002D01AB" w:rsidRDefault="002D01AB" w:rsidP="002D01AB">
      <w:pPr>
        <w:pStyle w:val="SingleTxt"/>
        <w:spacing w:after="0" w:line="120" w:lineRule="exact"/>
        <w:rPr>
          <w:sz w:val="10"/>
        </w:rPr>
      </w:pPr>
    </w:p>
    <w:p w:rsidR="002D01AB" w:rsidRPr="002D01AB" w:rsidRDefault="002D01AB" w:rsidP="002D01AB">
      <w:pPr>
        <w:pStyle w:val="SingleTxt"/>
        <w:spacing w:after="0" w:line="120" w:lineRule="exact"/>
        <w:rPr>
          <w:sz w:val="10"/>
        </w:rPr>
      </w:pPr>
    </w:p>
    <w:p w:rsidR="00F1709B" w:rsidRDefault="00F1709B" w:rsidP="00F1709B">
      <w:pPr>
        <w:pStyle w:val="SingleTxt"/>
      </w:pPr>
      <w:r w:rsidRPr="00F1709B">
        <w:t>2.</w:t>
      </w:r>
      <w:r w:rsidRPr="00F1709B">
        <w:tab/>
        <w:t>The inland navigation professional organizations propose presenting the items hitherto addressed in ADN 9.3.x.0.3 (a) to (c) in the form of a table. A proposal is attached in annex 1 to this request. Subparagraph 9.3.x.0.3 (d) remains unaltered.</w:t>
      </w:r>
    </w:p>
    <w:p w:rsidR="002D01AB" w:rsidRPr="002D01AB" w:rsidRDefault="002D01AB" w:rsidP="002D01AB">
      <w:pPr>
        <w:pStyle w:val="SingleTxt"/>
        <w:spacing w:after="0" w:line="120" w:lineRule="exact"/>
        <w:rPr>
          <w:sz w:val="10"/>
        </w:rPr>
      </w:pPr>
    </w:p>
    <w:p w:rsidR="002D01AB" w:rsidRPr="002D01AB" w:rsidRDefault="002D01AB" w:rsidP="002D01AB">
      <w:pPr>
        <w:pStyle w:val="SingleTxt"/>
        <w:keepNext/>
        <w:keepLines/>
        <w:spacing w:after="0" w:line="120" w:lineRule="exact"/>
        <w:rPr>
          <w:sz w:val="10"/>
        </w:rPr>
      </w:pPr>
    </w:p>
    <w:p w:rsidR="00F1709B" w:rsidRDefault="00F1709B" w:rsidP="002D01AB">
      <w:pPr>
        <w:pStyle w:val="HCh"/>
        <w:ind w:left="1267" w:right="1260" w:hanging="1267"/>
      </w:pPr>
      <w:r w:rsidRPr="00F1709B">
        <w:tab/>
      </w:r>
      <w:r w:rsidRPr="00F1709B">
        <w:tab/>
        <w:t>Proposal 2</w:t>
      </w:r>
    </w:p>
    <w:p w:rsidR="002D01AB" w:rsidRPr="002D01AB" w:rsidRDefault="002D01AB" w:rsidP="002D01AB">
      <w:pPr>
        <w:pStyle w:val="SingleTxt"/>
        <w:keepNext/>
        <w:keepLines/>
        <w:spacing w:after="0" w:line="120" w:lineRule="exact"/>
        <w:rPr>
          <w:sz w:val="10"/>
        </w:rPr>
      </w:pPr>
    </w:p>
    <w:p w:rsidR="002D01AB" w:rsidRPr="002D01AB" w:rsidRDefault="002D01AB" w:rsidP="002D01AB">
      <w:pPr>
        <w:pStyle w:val="SingleTxt"/>
        <w:keepNext/>
        <w:keepLines/>
        <w:spacing w:after="0" w:line="120" w:lineRule="exact"/>
        <w:rPr>
          <w:sz w:val="10"/>
        </w:rPr>
      </w:pPr>
    </w:p>
    <w:p w:rsidR="00F1709B" w:rsidRDefault="00F1709B" w:rsidP="002D01AB">
      <w:pPr>
        <w:pStyle w:val="SingleTxt"/>
        <w:keepNext/>
        <w:keepLines/>
      </w:pPr>
      <w:r w:rsidRPr="00F1709B">
        <w:t>3.</w:t>
      </w:r>
      <w:r w:rsidRPr="00F1709B">
        <w:tab/>
        <w:t>The inland navigation professional organizations propose amending the current situation, presented in annex 1, to the way in which it is presented in annex 2. The amendment includes the necessary adaptation to the modern materials that are now available.</w:t>
      </w:r>
    </w:p>
    <w:p w:rsidR="002D01AB" w:rsidRPr="002D01AB" w:rsidRDefault="002D01AB" w:rsidP="002D01AB">
      <w:pPr>
        <w:pStyle w:val="SingleTxt"/>
        <w:spacing w:after="0" w:line="120" w:lineRule="exact"/>
        <w:rPr>
          <w:sz w:val="10"/>
        </w:rPr>
      </w:pPr>
    </w:p>
    <w:p w:rsidR="002D01AB" w:rsidRPr="002D01AB" w:rsidRDefault="002D01AB" w:rsidP="002D01AB">
      <w:pPr>
        <w:pStyle w:val="SingleTxt"/>
        <w:spacing w:after="0" w:line="120" w:lineRule="exact"/>
        <w:rPr>
          <w:sz w:val="10"/>
        </w:rPr>
      </w:pPr>
    </w:p>
    <w:p w:rsidR="00F1709B" w:rsidRDefault="00F1709B" w:rsidP="002D01AB">
      <w:pPr>
        <w:pStyle w:val="HCh"/>
        <w:ind w:left="1267" w:right="1260" w:hanging="1267"/>
      </w:pPr>
      <w:r w:rsidRPr="00F1709B">
        <w:tab/>
      </w:r>
      <w:r w:rsidRPr="00F1709B">
        <w:tab/>
        <w:t>Proposal 3</w:t>
      </w:r>
    </w:p>
    <w:p w:rsidR="002D01AB" w:rsidRPr="002D01AB" w:rsidRDefault="002D01AB" w:rsidP="002D01AB">
      <w:pPr>
        <w:pStyle w:val="SingleTxt"/>
        <w:spacing w:after="0" w:line="120" w:lineRule="exact"/>
        <w:rPr>
          <w:sz w:val="10"/>
        </w:rPr>
      </w:pPr>
    </w:p>
    <w:p w:rsidR="002D01AB" w:rsidRPr="002D01AB" w:rsidRDefault="002D01AB" w:rsidP="002D01AB">
      <w:pPr>
        <w:pStyle w:val="SingleTxt"/>
        <w:spacing w:after="0" w:line="120" w:lineRule="exact"/>
        <w:rPr>
          <w:sz w:val="10"/>
        </w:rPr>
      </w:pPr>
    </w:p>
    <w:p w:rsidR="00F1709B" w:rsidRPr="00F1709B" w:rsidRDefault="00F1709B" w:rsidP="00F1709B">
      <w:pPr>
        <w:pStyle w:val="SingleTxt"/>
      </w:pPr>
      <w:r w:rsidRPr="00F1709B">
        <w:t>4.</w:t>
      </w:r>
      <w:r w:rsidRPr="00F1709B">
        <w:tab/>
        <w:t>9.3.x.0.5 is worded as follows:</w:t>
      </w:r>
    </w:p>
    <w:p w:rsidR="00F1709B" w:rsidRPr="00F1709B" w:rsidRDefault="002D01AB" w:rsidP="001E7F3E">
      <w:pPr>
        <w:pStyle w:val="SingleTxt"/>
      </w:pPr>
      <w:r>
        <w:t>“</w:t>
      </w:r>
      <w:r w:rsidR="00F1709B" w:rsidRPr="00F1709B">
        <w:t>The use of plastic material for the vessel’s boats is permitted only if the ma</w:t>
      </w:r>
      <w:r>
        <w:t>terial does not readily ignite.”</w:t>
      </w:r>
    </w:p>
    <w:p w:rsidR="00F1709B" w:rsidRPr="00F1709B" w:rsidRDefault="00F1709B" w:rsidP="00F1709B">
      <w:pPr>
        <w:pStyle w:val="SingleTxt"/>
      </w:pPr>
      <w:r w:rsidRPr="00F1709B">
        <w:tab/>
        <w:t>9.3</w:t>
      </w:r>
      <w:proofErr w:type="gramStart"/>
      <w:r w:rsidRPr="00F1709B">
        <w:t>.x.0.5</w:t>
      </w:r>
      <w:proofErr w:type="gramEnd"/>
      <w:r w:rsidRPr="00F1709B">
        <w:t xml:space="preserve"> is amended as follows:</w:t>
      </w:r>
    </w:p>
    <w:p w:rsidR="00F1709B" w:rsidRPr="00F1709B" w:rsidRDefault="002D01AB" w:rsidP="001E7F3E">
      <w:pPr>
        <w:pStyle w:val="SingleTxt"/>
      </w:pPr>
      <w:r>
        <w:t>“</w:t>
      </w:r>
      <w:r w:rsidR="00F1709B" w:rsidRPr="00F1709B">
        <w:t>The use of plastic material for the vessel’s boats in the cargo area is permitted only if the material does not readily ignite.</w:t>
      </w:r>
    </w:p>
    <w:p w:rsidR="00F1709B" w:rsidRPr="00F1709B" w:rsidRDefault="00F1709B" w:rsidP="001E7F3E">
      <w:pPr>
        <w:pStyle w:val="SingleTxt"/>
      </w:pPr>
      <w:r w:rsidRPr="00F1709B">
        <w:t>The use of aluminium alloys or plastic material for passageways (gangways) within the cargo area is permitted only if the material does not readily ignite or conduct electricity.</w:t>
      </w:r>
    </w:p>
    <w:p w:rsidR="00F1709B" w:rsidRDefault="00F1709B" w:rsidP="001E7F3E">
      <w:pPr>
        <w:pStyle w:val="SingleTxt"/>
      </w:pPr>
      <w:r w:rsidRPr="00F1709B">
        <w:t>Rubber mats must be made from an electrically non-conductive mate</w:t>
      </w:r>
      <w:r w:rsidR="002D01AB">
        <w:t>rial.”</w:t>
      </w:r>
    </w:p>
    <w:p w:rsidR="002D01AB" w:rsidRPr="002D01AB" w:rsidRDefault="002D01AB" w:rsidP="002D01AB">
      <w:pPr>
        <w:pStyle w:val="SingleTxt"/>
        <w:spacing w:after="0" w:line="120" w:lineRule="exact"/>
        <w:ind w:left="1264" w:right="1264"/>
        <w:rPr>
          <w:sz w:val="10"/>
        </w:rPr>
      </w:pPr>
    </w:p>
    <w:p w:rsidR="002D01AB" w:rsidRPr="002D01AB" w:rsidRDefault="002D01AB" w:rsidP="002D01AB">
      <w:pPr>
        <w:pStyle w:val="SingleTxt"/>
        <w:spacing w:after="0" w:line="120" w:lineRule="exact"/>
        <w:ind w:left="1264" w:right="1264"/>
        <w:rPr>
          <w:sz w:val="10"/>
        </w:rPr>
      </w:pPr>
    </w:p>
    <w:p w:rsidR="00F1709B" w:rsidRDefault="00F1709B" w:rsidP="002D01AB">
      <w:pPr>
        <w:pStyle w:val="HCh"/>
        <w:ind w:left="1267" w:right="1260" w:hanging="1267"/>
      </w:pPr>
      <w:r w:rsidRPr="00F1709B">
        <w:tab/>
      </w:r>
      <w:r w:rsidRPr="00F1709B">
        <w:tab/>
        <w:t>Justification</w:t>
      </w:r>
    </w:p>
    <w:p w:rsidR="002D01AB" w:rsidRPr="002D01AB" w:rsidRDefault="002D01AB" w:rsidP="002D01AB">
      <w:pPr>
        <w:pStyle w:val="SingleTxt"/>
        <w:spacing w:after="0" w:line="120" w:lineRule="exact"/>
        <w:rPr>
          <w:sz w:val="10"/>
        </w:rPr>
      </w:pPr>
    </w:p>
    <w:p w:rsidR="002D01AB" w:rsidRPr="002D01AB" w:rsidRDefault="002D01AB" w:rsidP="002D01AB">
      <w:pPr>
        <w:pStyle w:val="SingleTxt"/>
        <w:spacing w:after="0" w:line="120" w:lineRule="exact"/>
        <w:rPr>
          <w:sz w:val="10"/>
        </w:rPr>
      </w:pPr>
    </w:p>
    <w:p w:rsidR="00F1709B" w:rsidRPr="00F1709B" w:rsidRDefault="00F1709B" w:rsidP="00F1709B">
      <w:pPr>
        <w:pStyle w:val="SingleTxt"/>
      </w:pPr>
      <w:r w:rsidRPr="00F1709B">
        <w:t>5.</w:t>
      </w:r>
      <w:r w:rsidRPr="00F1709B">
        <w:tab/>
        <w:t>In the cases presented by EBU, ERSTU and OEB, the modern materials do not present an increased safety risk. The editorial revision to the provisions significantly reduces the need for regulations for specific cases. The provisions are made clearer for all stakeholders.</w:t>
      </w:r>
    </w:p>
    <w:p w:rsidR="002D01AB" w:rsidRDefault="002D01AB" w:rsidP="00F1709B">
      <w:pPr>
        <w:pStyle w:val="SingleTxt"/>
        <w:sectPr w:rsidR="002D01AB" w:rsidSect="00E04071">
          <w:endnotePr>
            <w:numFmt w:val="decimal"/>
          </w:endnotePr>
          <w:type w:val="continuous"/>
          <w:pgSz w:w="11909" w:h="16834" w:code="1"/>
          <w:pgMar w:top="1742" w:right="936" w:bottom="1898" w:left="936" w:header="576" w:footer="1030" w:gutter="0"/>
          <w:pgNumType w:start="1"/>
          <w:cols w:space="720"/>
          <w:noEndnote/>
          <w:docGrid w:linePitch="278"/>
        </w:sectPr>
      </w:pPr>
    </w:p>
    <w:p w:rsidR="00E429E8" w:rsidRPr="00BA2241" w:rsidRDefault="00E429E8" w:rsidP="00E429E8">
      <w:pPr>
        <w:pStyle w:val="HCh"/>
        <w:tabs>
          <w:tab w:val="clear" w:pos="1742"/>
        </w:tabs>
        <w:spacing w:line="120" w:lineRule="exact"/>
        <w:rPr>
          <w:sz w:val="10"/>
        </w:rPr>
      </w:pPr>
    </w:p>
    <w:p w:rsidR="00E429E8" w:rsidRPr="00BA2241" w:rsidRDefault="00E429E8" w:rsidP="00E429E8">
      <w:pPr>
        <w:pStyle w:val="HCh"/>
        <w:tabs>
          <w:tab w:val="clear" w:pos="1742"/>
        </w:tabs>
        <w:spacing w:line="120" w:lineRule="exact"/>
        <w:rPr>
          <w:sz w:val="10"/>
        </w:rPr>
      </w:pPr>
    </w:p>
    <w:p w:rsidR="00E429E8" w:rsidRPr="00BA2241" w:rsidRDefault="00E429E8" w:rsidP="00E429E8">
      <w:pPr>
        <w:pStyle w:val="HCh"/>
        <w:tabs>
          <w:tab w:val="clear" w:pos="1742"/>
        </w:tabs>
      </w:pPr>
      <w:r w:rsidRPr="00BA2241">
        <w:t>Annex 1</w:t>
      </w:r>
    </w:p>
    <w:p w:rsidR="00E429E8" w:rsidRPr="00BA2241" w:rsidRDefault="00E429E8" w:rsidP="00E429E8">
      <w:pPr>
        <w:spacing w:line="120" w:lineRule="exact"/>
        <w:rPr>
          <w:sz w:val="10"/>
        </w:rPr>
      </w:pPr>
    </w:p>
    <w:p w:rsidR="00E429E8" w:rsidRPr="00BA2241" w:rsidRDefault="00E429E8" w:rsidP="00E429E8">
      <w:pPr>
        <w:spacing w:line="120" w:lineRule="exact"/>
        <w:rPr>
          <w:sz w:val="10"/>
        </w:rPr>
      </w:pPr>
    </w:p>
    <w:p w:rsidR="00E429E8" w:rsidRPr="00BA2241" w:rsidRDefault="00036469" w:rsidP="00036469">
      <w:pPr>
        <w:pStyle w:val="HCh"/>
        <w:tabs>
          <w:tab w:val="clear" w:pos="1742"/>
        </w:tabs>
      </w:pPr>
      <w:r>
        <w:tab/>
      </w:r>
      <w:r w:rsidR="00E429E8" w:rsidRPr="00BA2241">
        <w:tab/>
        <w:t>Proposal 1 — 9.3.x.0.3 (current situation)</w:t>
      </w:r>
    </w:p>
    <w:p w:rsidR="00E429E8" w:rsidRPr="00BA2241" w:rsidRDefault="00E429E8" w:rsidP="00E429E8">
      <w:pPr>
        <w:spacing w:line="120" w:lineRule="exact"/>
        <w:rPr>
          <w:sz w:val="10"/>
        </w:rPr>
      </w:pPr>
    </w:p>
    <w:p w:rsidR="00E429E8" w:rsidRPr="00BA2241" w:rsidRDefault="00E429E8" w:rsidP="00E429E8">
      <w:pPr>
        <w:spacing w:line="120" w:lineRule="exact"/>
        <w:rPr>
          <w:sz w:val="10"/>
        </w:rPr>
      </w:pPr>
    </w:p>
    <w:tbl>
      <w:tblPr>
        <w:tblW w:w="12359" w:type="dxa"/>
        <w:tblInd w:w="283" w:type="dxa"/>
        <w:tblLayout w:type="fixed"/>
        <w:tblCellMar>
          <w:left w:w="0" w:type="dxa"/>
          <w:right w:w="0" w:type="dxa"/>
        </w:tblCellMar>
        <w:tblLook w:val="04A0" w:firstRow="1" w:lastRow="0" w:firstColumn="1" w:lastColumn="0" w:noHBand="0" w:noVBand="1"/>
      </w:tblPr>
      <w:tblGrid>
        <w:gridCol w:w="6947"/>
        <w:gridCol w:w="1353"/>
        <w:gridCol w:w="1353"/>
        <w:gridCol w:w="1353"/>
        <w:gridCol w:w="1353"/>
      </w:tblGrid>
      <w:tr w:rsidR="00E429E8" w:rsidRPr="00E429E8" w:rsidTr="00E429E8">
        <w:trPr>
          <w:trHeight w:val="270"/>
          <w:tblHeader/>
        </w:trPr>
        <w:tc>
          <w:tcPr>
            <w:tcW w:w="6947" w:type="dxa"/>
            <w:tcBorders>
              <w:top w:val="single" w:sz="4" w:space="0" w:color="auto"/>
              <w:bottom w:val="single" w:sz="12" w:space="0" w:color="auto"/>
            </w:tcBorders>
            <w:shd w:val="clear" w:color="auto" w:fill="auto"/>
            <w:noWrap/>
            <w:vAlign w:val="bottom"/>
            <w:hideMark/>
          </w:tcPr>
          <w:p w:rsidR="00E429E8" w:rsidRPr="00BA2241" w:rsidRDefault="00E429E8" w:rsidP="00E429E8">
            <w:pPr>
              <w:spacing w:before="80" w:after="80" w:line="160" w:lineRule="exact"/>
              <w:ind w:right="40"/>
              <w:rPr>
                <w:i/>
                <w:sz w:val="14"/>
              </w:rPr>
            </w:pP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Wood</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Aluminium alloys</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Plastic material</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Rubber</w:t>
            </w:r>
          </w:p>
        </w:tc>
      </w:tr>
      <w:tr w:rsidR="00E429E8" w:rsidRPr="00E429E8" w:rsidTr="00E429E8">
        <w:trPr>
          <w:trHeight w:hRule="exact" w:val="115"/>
          <w:tblHeader/>
        </w:trPr>
        <w:tc>
          <w:tcPr>
            <w:tcW w:w="6947" w:type="dxa"/>
            <w:tcBorders>
              <w:top w:val="single" w:sz="12" w:space="0" w:color="auto"/>
            </w:tcBorders>
            <w:shd w:val="clear" w:color="auto" w:fill="auto"/>
            <w:vAlign w:val="bottom"/>
          </w:tcPr>
          <w:p w:rsidR="00E429E8" w:rsidRPr="00E429E8" w:rsidRDefault="00E429E8" w:rsidP="00E429E8">
            <w:pPr>
              <w:spacing w:before="40" w:after="40" w:line="210" w:lineRule="exact"/>
              <w:ind w:right="40"/>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Gangways and external ladders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8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Movable items of equipment […] </w:t>
            </w:r>
            <w:r w:rsidRPr="00E429E8">
              <w:rPr>
                <w:sz w:val="17"/>
                <w:vertAlign w:val="superscript"/>
              </w:rPr>
              <w:t>2)</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510"/>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Chocking of cargo tanks which are independent of the vessel’s hull and chocking of installations and equipment</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Masts and similar round timber</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Engine parts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Parts of the electrical installation</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8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[Parts of the loading and unloading installation] </w:t>
            </w:r>
            <w:r w:rsidRPr="00E429E8">
              <w:rPr>
                <w:sz w:val="17"/>
                <w:vertAlign w:val="superscript"/>
              </w:rPr>
              <w:t>3)</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Lids of boxes which are placed on the deck</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Supports and stops of any kind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80"/>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[Coating of cargo tanks and of piping for loading and unloading] </w:t>
            </w:r>
            <w:r w:rsidRPr="00E429E8">
              <w:rPr>
                <w:sz w:val="17"/>
                <w:vertAlign w:val="superscript"/>
              </w:rPr>
              <w:t>4)</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80"/>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All kinds of gaskets (e.g. for dome or hatch covers)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Electric cables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Hose assemblies for loading and unloading</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80"/>
        </w:trPr>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Insulation of cargo tanks and of piping for loading and unloading</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70"/>
        </w:trPr>
        <w:tc>
          <w:tcPr>
            <w:tcW w:w="6947" w:type="dxa"/>
            <w:tcBorders>
              <w:bottom w:val="single" w:sz="12" w:space="0" w:color="auto"/>
            </w:tcBorders>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Photo-optical copies of the certificate of approval according to 8.1.2.6 or 8.1.2.7</w:t>
            </w: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bl>
    <w:p w:rsidR="00E429E8" w:rsidRPr="00E429E8" w:rsidRDefault="00E429E8" w:rsidP="00E429E8">
      <w:pPr>
        <w:spacing w:line="120" w:lineRule="exact"/>
        <w:rPr>
          <w:sz w:val="10"/>
        </w:rPr>
      </w:pPr>
    </w:p>
    <w:p w:rsidR="00E429E8" w:rsidRPr="00AA7522" w:rsidRDefault="00E429E8" w:rsidP="00036469">
      <w:pPr>
        <w:pStyle w:val="FootnoteText"/>
        <w:tabs>
          <w:tab w:val="clear" w:pos="418"/>
          <w:tab w:val="right" w:pos="216"/>
          <w:tab w:val="left" w:pos="288"/>
          <w:tab w:val="right" w:pos="576"/>
          <w:tab w:val="left" w:pos="648"/>
        </w:tabs>
        <w:ind w:left="288" w:hanging="288"/>
      </w:pPr>
      <w:r>
        <w:tab/>
      </w:r>
      <w:r>
        <w:tab/>
      </w:r>
      <w:r>
        <w:tab/>
      </w:r>
      <w:r w:rsidRPr="00E429E8">
        <w:rPr>
          <w:vertAlign w:val="superscript"/>
        </w:rPr>
        <w:t>2)</w:t>
      </w:r>
      <w:r w:rsidRPr="00AA7522">
        <w:tab/>
        <w:t>The text in brackets applies to 9.3.2.0.3 and 9.3.3.03, but not 9.3.1.0.3</w:t>
      </w:r>
      <w:r>
        <w:t>.</w:t>
      </w:r>
    </w:p>
    <w:p w:rsidR="00E429E8" w:rsidRPr="00AA7522" w:rsidRDefault="00E429E8" w:rsidP="00E429E8">
      <w:pPr>
        <w:pStyle w:val="FootnoteText"/>
        <w:tabs>
          <w:tab w:val="clear" w:pos="418"/>
          <w:tab w:val="right" w:pos="216"/>
          <w:tab w:val="left" w:pos="288"/>
          <w:tab w:val="right" w:pos="576"/>
          <w:tab w:val="left" w:pos="648"/>
        </w:tabs>
        <w:ind w:left="288" w:hanging="288"/>
      </w:pPr>
      <w:r>
        <w:tab/>
      </w:r>
      <w:r>
        <w:tab/>
      </w:r>
      <w:r w:rsidRPr="00AA7522">
        <w:tab/>
      </w:r>
      <w:r w:rsidRPr="00E429E8">
        <w:rPr>
          <w:vertAlign w:val="superscript"/>
        </w:rPr>
        <w:t>3)</w:t>
      </w:r>
      <w:r w:rsidRPr="00AA7522">
        <w:tab/>
        <w:t>The text in brackets applies to 9.3.2.0.3 and 9.3.3.03, but not 9.3.1.0.3</w:t>
      </w:r>
      <w:r>
        <w:t>.</w:t>
      </w:r>
    </w:p>
    <w:p w:rsidR="00E429E8" w:rsidRDefault="00E429E8" w:rsidP="00E429E8">
      <w:pPr>
        <w:pStyle w:val="FootnoteText"/>
        <w:tabs>
          <w:tab w:val="clear" w:pos="418"/>
          <w:tab w:val="right" w:pos="216"/>
          <w:tab w:val="left" w:pos="288"/>
          <w:tab w:val="right" w:pos="576"/>
          <w:tab w:val="left" w:pos="648"/>
        </w:tabs>
        <w:ind w:left="288" w:hanging="288"/>
      </w:pPr>
      <w:r>
        <w:tab/>
      </w:r>
      <w:r>
        <w:tab/>
      </w:r>
      <w:r w:rsidRPr="00AA7522">
        <w:tab/>
      </w:r>
      <w:r w:rsidRPr="00E429E8">
        <w:rPr>
          <w:vertAlign w:val="superscript"/>
        </w:rPr>
        <w:t>4)</w:t>
      </w:r>
      <w:r w:rsidRPr="00AA7522">
        <w:tab/>
        <w:t>The text in brackets applies to 9.3.2.0.3 and 9.3.3.03, but not 9.3.1.0.3</w:t>
      </w:r>
      <w:r>
        <w:t>.</w:t>
      </w:r>
    </w:p>
    <w:p w:rsidR="00E429E8" w:rsidRPr="00AA7522" w:rsidRDefault="00E429E8" w:rsidP="00E429E8">
      <w:r w:rsidRPr="00AA7522">
        <w:br w:type="page"/>
      </w:r>
    </w:p>
    <w:tbl>
      <w:tblPr>
        <w:tblW w:w="12359" w:type="dxa"/>
        <w:tblInd w:w="283" w:type="dxa"/>
        <w:tblLayout w:type="fixed"/>
        <w:tblCellMar>
          <w:left w:w="0" w:type="dxa"/>
          <w:right w:w="0" w:type="dxa"/>
        </w:tblCellMar>
        <w:tblLook w:val="04A0" w:firstRow="1" w:lastRow="0" w:firstColumn="1" w:lastColumn="0" w:noHBand="0" w:noVBand="1"/>
      </w:tblPr>
      <w:tblGrid>
        <w:gridCol w:w="6964"/>
        <w:gridCol w:w="1348"/>
        <w:gridCol w:w="1349"/>
        <w:gridCol w:w="1349"/>
        <w:gridCol w:w="1349"/>
      </w:tblGrid>
      <w:tr w:rsidR="00E429E8" w:rsidRPr="00E429E8" w:rsidTr="00E429E8">
        <w:trPr>
          <w:trHeight w:val="264"/>
          <w:tblHeader/>
        </w:trPr>
        <w:tc>
          <w:tcPr>
            <w:tcW w:w="6964"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40"/>
              <w:rPr>
                <w:i/>
                <w:sz w:val="14"/>
              </w:rPr>
            </w:pPr>
          </w:p>
        </w:tc>
        <w:tc>
          <w:tcPr>
            <w:tcW w:w="1348"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Wood</w:t>
            </w:r>
          </w:p>
        </w:tc>
        <w:tc>
          <w:tcPr>
            <w:tcW w:w="1349"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Aluminium</w:t>
            </w:r>
          </w:p>
        </w:tc>
        <w:tc>
          <w:tcPr>
            <w:tcW w:w="1349" w:type="dxa"/>
            <w:tcBorders>
              <w:top w:val="single" w:sz="4" w:space="0" w:color="auto"/>
              <w:bottom w:val="single" w:sz="12" w:space="0" w:color="auto"/>
            </w:tcBorders>
            <w:shd w:val="clear" w:color="auto" w:fill="auto"/>
            <w:vAlign w:val="bottom"/>
            <w:hideMark/>
          </w:tcPr>
          <w:p w:rsidR="00E429E8" w:rsidRPr="00E429E8" w:rsidRDefault="00E429E8" w:rsidP="00E429E8">
            <w:pPr>
              <w:spacing w:before="80" w:after="80" w:line="160" w:lineRule="exact"/>
              <w:ind w:right="113"/>
              <w:jc w:val="right"/>
              <w:rPr>
                <w:i/>
                <w:sz w:val="14"/>
              </w:rPr>
            </w:pPr>
            <w:r w:rsidRPr="00E429E8">
              <w:rPr>
                <w:i/>
                <w:sz w:val="14"/>
              </w:rPr>
              <w:t>Plastic material</w:t>
            </w:r>
          </w:p>
        </w:tc>
        <w:tc>
          <w:tcPr>
            <w:tcW w:w="1349"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Rubber</w:t>
            </w:r>
          </w:p>
        </w:tc>
      </w:tr>
      <w:tr w:rsidR="00E429E8" w:rsidRPr="00E429E8" w:rsidTr="00E429E8">
        <w:trPr>
          <w:trHeight w:hRule="exact" w:val="115"/>
          <w:tblHeader/>
        </w:trPr>
        <w:tc>
          <w:tcPr>
            <w:tcW w:w="6964"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40"/>
              <w:rPr>
                <w:sz w:val="17"/>
              </w:rPr>
            </w:pPr>
          </w:p>
        </w:tc>
        <w:tc>
          <w:tcPr>
            <w:tcW w:w="1348"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49"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49"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49"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Gangways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Cleaning equipment, e.g. brooms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Supports and stops of any kind</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Masts and similar round timber</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Chocking of cargo tanks which are independent of the vessel’s hull and chocking of installations and equipment</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Gangways, external ladders and passageways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Fenders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765"/>
        </w:trPr>
        <w:tc>
          <w:tcPr>
            <w:tcW w:w="6964"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Movable items of equipment such as extinguishers, portable gas detectors, rescue winches, etc. Aluminium gauging rods, provided that they are fitted with brass feet or protected in another way to avoid sparking</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Insulation and coating of cargo tanks and piping for loading and unloading, gas discharge pipes and heating channels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Masts and similar round timber</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Engine parts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Protective covers of engines, etc.</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Ventilators, including hose assemblies for ventilation</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Parts of the water spray system, the shower and the eye and face bath</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Parts of the electrical installation</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Parts of the loading and unloading facility, such as blocking valves and gaskets, etc.</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64"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Boxes, cabinets or containers placed on the deck for storage of disposal and recovery equipment for capstans, extinguishers, fire hoses, waste, etc.</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All kinds of gaskets (e.g. for dome or hatch covers)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Cables for electrical equipment</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Hose assemblies for loading and unloading</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Extinguishers, hoses for deck cleaning, capstans, sampling equipment and bottles, etc.</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The mat under hose assemblies for</w:t>
            </w:r>
            <w:r>
              <w:rPr>
                <w:sz w:val="17"/>
              </w:rPr>
              <w:t xml:space="preserve"> </w:t>
            </w:r>
            <w:r w:rsidRPr="00E429E8">
              <w:rPr>
                <w:sz w:val="17"/>
              </w:rPr>
              <w:t xml:space="preserve">loading and unloading </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55"/>
        </w:trPr>
        <w:tc>
          <w:tcPr>
            <w:tcW w:w="6964" w:type="dxa"/>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Mooring cables</w:t>
            </w:r>
          </w:p>
        </w:tc>
        <w:tc>
          <w:tcPr>
            <w:tcW w:w="1348"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rPr>
          <w:trHeight w:val="270"/>
        </w:trPr>
        <w:tc>
          <w:tcPr>
            <w:tcW w:w="6964" w:type="dxa"/>
            <w:tcBorders>
              <w:bottom w:val="single" w:sz="12" w:space="0" w:color="auto"/>
            </w:tcBorders>
            <w:shd w:val="clear" w:color="auto" w:fill="auto"/>
            <w:noWrap/>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Photo-optical copies of the certificate of approval according to 8.1.2.6 or 8.1.2.7</w:t>
            </w:r>
          </w:p>
        </w:tc>
        <w:tc>
          <w:tcPr>
            <w:tcW w:w="1348"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49"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49"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bl>
    <w:p w:rsidR="00E429E8" w:rsidRPr="00AA7522" w:rsidRDefault="00E429E8" w:rsidP="00E429E8">
      <w:r w:rsidRPr="00AA7522">
        <w:br w:type="page"/>
      </w:r>
    </w:p>
    <w:p w:rsidR="00E429E8" w:rsidRPr="00E429E8" w:rsidRDefault="00E429E8" w:rsidP="00E429E8">
      <w:pPr>
        <w:spacing w:line="120" w:lineRule="exact"/>
        <w:rPr>
          <w:sz w:val="10"/>
        </w:rPr>
      </w:pPr>
    </w:p>
    <w:p w:rsidR="00E429E8" w:rsidRPr="00E429E8" w:rsidRDefault="00E429E8" w:rsidP="00E429E8">
      <w:pPr>
        <w:spacing w:line="120" w:lineRule="exact"/>
        <w:rPr>
          <w:sz w:val="10"/>
        </w:rPr>
      </w:pPr>
    </w:p>
    <w:p w:rsidR="00E429E8" w:rsidRDefault="00E429E8" w:rsidP="00E429E8">
      <w:pPr>
        <w:pStyle w:val="HCh"/>
        <w:tabs>
          <w:tab w:val="clear" w:pos="1742"/>
        </w:tabs>
      </w:pPr>
      <w:r w:rsidRPr="00AA7522">
        <w:t>Annex 2</w:t>
      </w:r>
    </w:p>
    <w:p w:rsidR="00E429E8" w:rsidRPr="00E429E8" w:rsidRDefault="00E429E8" w:rsidP="00E429E8">
      <w:pPr>
        <w:spacing w:line="120" w:lineRule="exact"/>
        <w:rPr>
          <w:sz w:val="10"/>
        </w:rPr>
      </w:pPr>
    </w:p>
    <w:p w:rsidR="00E429E8" w:rsidRPr="00E429E8" w:rsidRDefault="00E429E8" w:rsidP="00E429E8">
      <w:pPr>
        <w:spacing w:line="120" w:lineRule="exact"/>
        <w:rPr>
          <w:sz w:val="10"/>
        </w:rPr>
      </w:pPr>
    </w:p>
    <w:p w:rsidR="00E429E8" w:rsidRDefault="001B66C8" w:rsidP="00036469">
      <w:pPr>
        <w:pStyle w:val="HCh"/>
        <w:tabs>
          <w:tab w:val="clear" w:pos="1742"/>
        </w:tabs>
      </w:pPr>
      <w:r>
        <w:tab/>
      </w:r>
      <w:r>
        <w:tab/>
        <w:t>Proposal 2 —</w:t>
      </w:r>
      <w:r w:rsidR="00E429E8" w:rsidRPr="00AA7522">
        <w:t xml:space="preserve"> 9.3.x.0.3 (EBU/OEB/ERSTU request)</w:t>
      </w:r>
    </w:p>
    <w:p w:rsidR="00E429E8" w:rsidRPr="00E429E8" w:rsidRDefault="00E429E8" w:rsidP="00E429E8">
      <w:pPr>
        <w:spacing w:line="120" w:lineRule="exact"/>
        <w:rPr>
          <w:sz w:val="10"/>
        </w:rPr>
      </w:pPr>
    </w:p>
    <w:p w:rsidR="00E429E8" w:rsidRPr="00E429E8" w:rsidRDefault="00E429E8" w:rsidP="00E429E8">
      <w:pPr>
        <w:spacing w:line="120" w:lineRule="exact"/>
        <w:rPr>
          <w:sz w:val="10"/>
        </w:rPr>
      </w:pPr>
    </w:p>
    <w:tbl>
      <w:tblPr>
        <w:tblW w:w="12359" w:type="dxa"/>
        <w:tblInd w:w="283" w:type="dxa"/>
        <w:tblLayout w:type="fixed"/>
        <w:tblCellMar>
          <w:left w:w="0" w:type="dxa"/>
          <w:right w:w="0" w:type="dxa"/>
        </w:tblCellMar>
        <w:tblLook w:val="04A0" w:firstRow="1" w:lastRow="0" w:firstColumn="1" w:lastColumn="0" w:noHBand="0" w:noVBand="1"/>
      </w:tblPr>
      <w:tblGrid>
        <w:gridCol w:w="6947"/>
        <w:gridCol w:w="1353"/>
        <w:gridCol w:w="1353"/>
        <w:gridCol w:w="1353"/>
        <w:gridCol w:w="1353"/>
      </w:tblGrid>
      <w:tr w:rsidR="00E429E8" w:rsidRPr="00E429E8" w:rsidTr="00E429E8">
        <w:trPr>
          <w:tblHeader/>
        </w:trPr>
        <w:tc>
          <w:tcPr>
            <w:tcW w:w="6947"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40"/>
              <w:rPr>
                <w:i/>
                <w:sz w:val="14"/>
              </w:rPr>
            </w:pPr>
            <w:r w:rsidRPr="00E429E8">
              <w:rPr>
                <w:i/>
                <w:sz w:val="14"/>
              </w:rPr>
              <w:t> </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CA5566">
            <w:pPr>
              <w:spacing w:before="80" w:after="80" w:line="160" w:lineRule="exact"/>
              <w:ind w:right="113"/>
              <w:jc w:val="right"/>
              <w:rPr>
                <w:i/>
                <w:sz w:val="14"/>
              </w:rPr>
            </w:pPr>
            <w:r w:rsidRPr="00E429E8">
              <w:rPr>
                <w:i/>
                <w:sz w:val="14"/>
              </w:rPr>
              <w:t>Wood</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Aluminium alloy</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Plastic material</w:t>
            </w:r>
          </w:p>
        </w:tc>
        <w:tc>
          <w:tcPr>
            <w:tcW w:w="1353" w:type="dxa"/>
            <w:tcBorders>
              <w:top w:val="single" w:sz="4" w:space="0" w:color="auto"/>
              <w:bottom w:val="single" w:sz="12" w:space="0" w:color="auto"/>
            </w:tcBorders>
            <w:shd w:val="clear" w:color="auto" w:fill="auto"/>
            <w:noWrap/>
            <w:vAlign w:val="bottom"/>
            <w:hideMark/>
          </w:tcPr>
          <w:p w:rsidR="00E429E8" w:rsidRPr="00E429E8" w:rsidRDefault="00E429E8" w:rsidP="00E429E8">
            <w:pPr>
              <w:spacing w:before="80" w:after="80" w:line="160" w:lineRule="exact"/>
              <w:ind w:right="113"/>
              <w:jc w:val="right"/>
              <w:rPr>
                <w:i/>
                <w:sz w:val="14"/>
              </w:rPr>
            </w:pPr>
            <w:r w:rsidRPr="00E429E8">
              <w:rPr>
                <w:i/>
                <w:sz w:val="14"/>
              </w:rPr>
              <w:t>Rubber</w:t>
            </w:r>
          </w:p>
        </w:tc>
      </w:tr>
      <w:tr w:rsidR="00E429E8" w:rsidRPr="00E429E8" w:rsidTr="00E429E8">
        <w:trPr>
          <w:trHeight w:hRule="exact" w:val="115"/>
          <w:tblHeader/>
        </w:trPr>
        <w:tc>
          <w:tcPr>
            <w:tcW w:w="6947" w:type="dxa"/>
            <w:tcBorders>
              <w:top w:val="single" w:sz="12" w:space="0" w:color="auto"/>
            </w:tcBorders>
            <w:shd w:val="clear" w:color="auto" w:fill="auto"/>
            <w:vAlign w:val="bottom"/>
          </w:tcPr>
          <w:p w:rsidR="00E429E8" w:rsidRPr="00E429E8" w:rsidRDefault="00E429E8" w:rsidP="00E429E8">
            <w:pPr>
              <w:spacing w:before="40" w:after="40" w:line="210" w:lineRule="exact"/>
              <w:ind w:right="40"/>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E429E8" w:rsidRPr="00E429E8" w:rsidRDefault="00E429E8" w:rsidP="00E429E8">
            <w:pPr>
              <w:spacing w:before="40" w:after="40" w:line="210" w:lineRule="exact"/>
              <w:ind w:right="113"/>
              <w:jc w:val="right"/>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Gangways </w:t>
            </w:r>
            <w:r w:rsidRPr="001B66C8">
              <w:rPr>
                <w:strike/>
                <w:sz w:val="17"/>
              </w:rPr>
              <w:t>and external ladders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External ladders </w:t>
            </w:r>
            <w:r w:rsidRPr="001B66C8">
              <w:rPr>
                <w:b/>
                <w:bCs/>
                <w:sz w:val="17"/>
              </w:rPr>
              <w:t>and passageways (gangways)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1B66C8" w:rsidRDefault="00E429E8" w:rsidP="00E429E8">
            <w:pPr>
              <w:tabs>
                <w:tab w:val="left" w:pos="288"/>
                <w:tab w:val="left" w:pos="576"/>
                <w:tab w:val="left" w:pos="864"/>
                <w:tab w:val="left" w:pos="1152"/>
              </w:tabs>
              <w:spacing w:before="40" w:after="40" w:line="210" w:lineRule="exact"/>
              <w:ind w:right="40"/>
              <w:rPr>
                <w:b/>
                <w:bCs/>
                <w:sz w:val="17"/>
              </w:rPr>
            </w:pPr>
            <w:r w:rsidRPr="001B66C8">
              <w:rPr>
                <w:b/>
                <w:bCs/>
                <w:sz w:val="17"/>
              </w:rPr>
              <w:t>Cleaning equipment, e.g. brooms</w:t>
            </w:r>
          </w:p>
        </w:tc>
        <w:tc>
          <w:tcPr>
            <w:tcW w:w="1353" w:type="dxa"/>
            <w:shd w:val="clear" w:color="auto" w:fill="auto"/>
            <w:noWrap/>
            <w:vAlign w:val="bottom"/>
            <w:hideMark/>
          </w:tcPr>
          <w:p w:rsidR="00E429E8" w:rsidRPr="001B66C8" w:rsidRDefault="00E429E8" w:rsidP="00CA5566">
            <w:pPr>
              <w:tabs>
                <w:tab w:val="left" w:pos="288"/>
                <w:tab w:val="left" w:pos="576"/>
                <w:tab w:val="left" w:pos="864"/>
                <w:tab w:val="left" w:pos="1152"/>
              </w:tabs>
              <w:spacing w:before="40" w:after="40" w:line="210" w:lineRule="exact"/>
              <w:ind w:right="113"/>
              <w:jc w:val="center"/>
              <w:rPr>
                <w:b/>
                <w:bCs/>
                <w:sz w:val="17"/>
              </w:rPr>
            </w:pPr>
            <w:r w:rsidRPr="001B66C8">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1B66C8" w:rsidRDefault="00E429E8" w:rsidP="00CA5566">
            <w:pPr>
              <w:tabs>
                <w:tab w:val="left" w:pos="288"/>
                <w:tab w:val="left" w:pos="576"/>
                <w:tab w:val="left" w:pos="864"/>
                <w:tab w:val="left" w:pos="1152"/>
              </w:tabs>
              <w:spacing w:before="40" w:after="40" w:line="210" w:lineRule="exact"/>
              <w:ind w:right="113"/>
              <w:jc w:val="center"/>
              <w:rPr>
                <w:b/>
                <w:bCs/>
                <w:sz w:val="17"/>
              </w:rPr>
            </w:pPr>
            <w:r w:rsidRPr="001B66C8">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Movable items of equipment such as extinguishers, portable gas detectors, rescue winches, etc. </w:t>
            </w:r>
          </w:p>
        </w:tc>
        <w:tc>
          <w:tcPr>
            <w:tcW w:w="1353" w:type="dxa"/>
            <w:shd w:val="clear" w:color="auto" w:fill="auto"/>
            <w:noWrap/>
            <w:vAlign w:val="bottom"/>
            <w:hideMark/>
          </w:tcPr>
          <w:p w:rsidR="00E429E8" w:rsidRPr="001B66C8" w:rsidRDefault="00E429E8" w:rsidP="00CA5566">
            <w:pPr>
              <w:tabs>
                <w:tab w:val="left" w:pos="288"/>
                <w:tab w:val="left" w:pos="576"/>
                <w:tab w:val="left" w:pos="864"/>
                <w:tab w:val="left" w:pos="1152"/>
              </w:tabs>
              <w:spacing w:before="40" w:after="40" w:line="210" w:lineRule="exact"/>
              <w:ind w:right="113"/>
              <w:jc w:val="center"/>
              <w:rPr>
                <w:strike/>
                <w:sz w:val="17"/>
              </w:rPr>
            </w:pPr>
            <w:r w:rsidRPr="001B66C8">
              <w:rPr>
                <w:strike/>
                <w:sz w:val="17"/>
              </w:rPr>
              <w:t>X deleted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1B66C8" w:rsidRDefault="00E429E8" w:rsidP="00E429E8">
            <w:pPr>
              <w:tabs>
                <w:tab w:val="left" w:pos="288"/>
                <w:tab w:val="left" w:pos="576"/>
                <w:tab w:val="left" w:pos="864"/>
                <w:tab w:val="left" w:pos="1152"/>
              </w:tabs>
              <w:spacing w:before="40" w:after="40" w:line="210" w:lineRule="exact"/>
              <w:ind w:right="40"/>
              <w:rPr>
                <w:b/>
                <w:bCs/>
                <w:sz w:val="17"/>
              </w:rPr>
            </w:pPr>
            <w:r w:rsidRPr="001B66C8">
              <w:rPr>
                <w:b/>
                <w:bCs/>
                <w:sz w:val="17"/>
              </w:rPr>
              <w:t>Fenders</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A70384" w:rsidRDefault="00E429E8" w:rsidP="00CA5566">
            <w:pPr>
              <w:tabs>
                <w:tab w:val="left" w:pos="288"/>
                <w:tab w:val="left" w:pos="576"/>
                <w:tab w:val="left" w:pos="864"/>
                <w:tab w:val="left" w:pos="1152"/>
              </w:tabs>
              <w:spacing w:before="40" w:after="40" w:line="210" w:lineRule="exact"/>
              <w:ind w:right="113"/>
              <w:jc w:val="center"/>
              <w:rPr>
                <w:b/>
                <w:bCs/>
                <w:sz w:val="17"/>
              </w:rPr>
            </w:pPr>
            <w:r w:rsidRPr="00A70384">
              <w:rPr>
                <w:b/>
                <w:bCs/>
                <w:sz w:val="17"/>
              </w:rPr>
              <w:t>X</w:t>
            </w:r>
          </w:p>
        </w:tc>
      </w:tr>
      <w:tr w:rsidR="00E429E8" w:rsidRPr="00E429E8" w:rsidTr="00E429E8">
        <w:tc>
          <w:tcPr>
            <w:tcW w:w="6947" w:type="dxa"/>
            <w:shd w:val="clear" w:color="auto" w:fill="auto"/>
            <w:vAlign w:val="bottom"/>
            <w:hideMark/>
          </w:tcPr>
          <w:p w:rsidR="00E429E8" w:rsidRPr="001B66C8" w:rsidRDefault="00E429E8" w:rsidP="00E429E8">
            <w:pPr>
              <w:tabs>
                <w:tab w:val="left" w:pos="288"/>
                <w:tab w:val="left" w:pos="576"/>
                <w:tab w:val="left" w:pos="864"/>
                <w:tab w:val="left" w:pos="1152"/>
              </w:tabs>
              <w:spacing w:before="40" w:after="40" w:line="210" w:lineRule="exact"/>
              <w:ind w:right="40"/>
              <w:rPr>
                <w:b/>
                <w:bCs/>
                <w:sz w:val="17"/>
              </w:rPr>
            </w:pPr>
            <w:r w:rsidRPr="001B66C8">
              <w:rPr>
                <w:b/>
                <w:bCs/>
                <w:sz w:val="17"/>
              </w:rPr>
              <w:t>Mooring cables, fender ropes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Chocking of cargo tanks which are independent of the vessel’s hull and chocking of installations and equipment</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Masts and similar round timber</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Engine parts</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Protective covers for engines and pumps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Parts of the electrical installation</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 xml:space="preserve">Parts of the loading and unloading installation, </w:t>
            </w:r>
            <w:r w:rsidRPr="001B66C8">
              <w:rPr>
                <w:b/>
                <w:bCs/>
                <w:sz w:val="17"/>
              </w:rPr>
              <w:t>such as blocking valves and gaskets, etc.</w:t>
            </w:r>
            <w:r w:rsidRPr="00E429E8">
              <w:rPr>
                <w:sz w:val="17"/>
              </w:rPr>
              <w:t xml:space="preserve"> </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r>
      <w:tr w:rsidR="001B66C8" w:rsidRPr="00E429E8" w:rsidTr="00711ACC">
        <w:tc>
          <w:tcPr>
            <w:tcW w:w="6947" w:type="dxa"/>
            <w:shd w:val="clear" w:color="auto" w:fill="auto"/>
            <w:vAlign w:val="bottom"/>
            <w:hideMark/>
          </w:tcPr>
          <w:p w:rsidR="001B66C8" w:rsidRPr="001B66C8" w:rsidRDefault="001B66C8" w:rsidP="00E429E8">
            <w:pPr>
              <w:tabs>
                <w:tab w:val="left" w:pos="288"/>
                <w:tab w:val="left" w:pos="576"/>
                <w:tab w:val="left" w:pos="864"/>
                <w:tab w:val="left" w:pos="1152"/>
              </w:tabs>
              <w:spacing w:before="40" w:after="40" w:line="210" w:lineRule="exact"/>
              <w:ind w:right="40"/>
              <w:rPr>
                <w:strike/>
                <w:sz w:val="17"/>
              </w:rPr>
            </w:pPr>
            <w:r w:rsidRPr="001B66C8">
              <w:rPr>
                <w:strike/>
                <w:sz w:val="17"/>
              </w:rPr>
              <w:t>Lids of boxes which are placed on the deck</w:t>
            </w:r>
          </w:p>
        </w:tc>
        <w:tc>
          <w:tcPr>
            <w:tcW w:w="1353" w:type="dxa"/>
            <w:shd w:val="clear" w:color="auto" w:fill="auto"/>
            <w:noWrap/>
            <w:vAlign w:val="bottom"/>
            <w:hideMark/>
          </w:tcPr>
          <w:p w:rsidR="001B66C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c>
          <w:tcPr>
            <w:tcW w:w="1353" w:type="dxa"/>
            <w:shd w:val="clear" w:color="auto" w:fill="auto"/>
            <w:noWrap/>
            <w:hideMark/>
          </w:tcPr>
          <w:p w:rsidR="001B66C8" w:rsidRDefault="001B66C8" w:rsidP="00CA5566">
            <w:pPr>
              <w:jc w:val="center"/>
            </w:pPr>
            <w:r w:rsidRPr="00282CD3">
              <w:rPr>
                <w:strike/>
                <w:sz w:val="17"/>
              </w:rPr>
              <w:t>X deleted</w:t>
            </w:r>
          </w:p>
        </w:tc>
        <w:tc>
          <w:tcPr>
            <w:tcW w:w="1353" w:type="dxa"/>
            <w:shd w:val="clear" w:color="auto" w:fill="auto"/>
            <w:noWrap/>
            <w:hideMark/>
          </w:tcPr>
          <w:p w:rsidR="001B66C8" w:rsidRDefault="001B66C8" w:rsidP="00CA5566">
            <w:pPr>
              <w:jc w:val="center"/>
            </w:pPr>
            <w:r w:rsidRPr="00282CD3">
              <w:rPr>
                <w:strike/>
                <w:sz w:val="17"/>
              </w:rPr>
              <w:t>X deleted</w:t>
            </w:r>
          </w:p>
        </w:tc>
        <w:tc>
          <w:tcPr>
            <w:tcW w:w="1353" w:type="dxa"/>
            <w:shd w:val="clear" w:color="auto" w:fill="auto"/>
            <w:noWrap/>
            <w:vAlign w:val="bottom"/>
            <w:hideMark/>
          </w:tcPr>
          <w:p w:rsidR="001B66C8" w:rsidRPr="00E429E8" w:rsidRDefault="001B66C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1B66C8" w:rsidRDefault="00E429E8" w:rsidP="00E429E8">
            <w:pPr>
              <w:tabs>
                <w:tab w:val="left" w:pos="288"/>
                <w:tab w:val="left" w:pos="576"/>
                <w:tab w:val="left" w:pos="864"/>
                <w:tab w:val="left" w:pos="1152"/>
              </w:tabs>
              <w:spacing w:before="40" w:after="40" w:line="210" w:lineRule="exact"/>
              <w:ind w:right="40"/>
              <w:rPr>
                <w:b/>
                <w:bCs/>
                <w:sz w:val="17"/>
              </w:rPr>
            </w:pPr>
            <w:r w:rsidRPr="001B66C8">
              <w:rPr>
                <w:b/>
                <w:bCs/>
                <w:sz w:val="17"/>
              </w:rPr>
              <w:t>Boxes, cabinets or containers placed on the deck to store equipment, catch leaks of liquids, cleaning products, extinguishers, fire hoses, wastes, etc.</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Supports and stops of any kind</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t>Ventilators, including hose assemblies for ventilation</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t>Parts of the water spray system and of the shower and the eye and face bath</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CA5566">
              <w:rPr>
                <w:b/>
                <w:bCs/>
                <w:sz w:val="17"/>
              </w:rPr>
              <w:t xml:space="preserve">Insulation </w:t>
            </w:r>
            <w:r w:rsidRPr="00E429E8">
              <w:rPr>
                <w:sz w:val="17"/>
              </w:rPr>
              <w:t xml:space="preserve">of cargo tanks and of piping for loading and unloading, </w:t>
            </w:r>
            <w:r w:rsidRPr="00CA5566">
              <w:rPr>
                <w:b/>
                <w:bCs/>
                <w:sz w:val="17"/>
              </w:rPr>
              <w:t>gas discharge pipes and heating pipes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Coating of cargo tanks and of piping for loading and unloading</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1B66C8" w:rsidP="00CA5566">
            <w:pPr>
              <w:tabs>
                <w:tab w:val="left" w:pos="288"/>
                <w:tab w:val="left" w:pos="576"/>
                <w:tab w:val="left" w:pos="864"/>
                <w:tab w:val="left" w:pos="1152"/>
              </w:tabs>
              <w:spacing w:before="40" w:after="40" w:line="210" w:lineRule="exact"/>
              <w:ind w:right="113"/>
              <w:jc w:val="center"/>
              <w:rPr>
                <w:sz w:val="17"/>
              </w:rPr>
            </w:pPr>
            <w:r w:rsidRPr="001B66C8">
              <w:rPr>
                <w:strike/>
                <w:sz w:val="17"/>
              </w:rPr>
              <w:t>X deleted</w:t>
            </w: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All kinds of gaskets (e.g. for dome or hatch covers)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t>Cables for electrical equipment</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c>
          <w:tcPr>
            <w:tcW w:w="6947" w:type="dxa"/>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Hose assemblies for loading and unloading</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t>The mat under hose assemblies for loading and unloading piping system</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lastRenderedPageBreak/>
              <w:t>Fire hoses, hoses for cleaning the deck, spill equipment, etc.</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r>
      <w:tr w:rsidR="00E429E8" w:rsidRPr="00E429E8" w:rsidTr="00E429E8">
        <w:tc>
          <w:tcPr>
            <w:tcW w:w="6947" w:type="dxa"/>
            <w:shd w:val="clear" w:color="auto" w:fill="auto"/>
            <w:vAlign w:val="bottom"/>
            <w:hideMark/>
          </w:tcPr>
          <w:p w:rsidR="00E429E8" w:rsidRPr="00CA5566" w:rsidRDefault="00E429E8" w:rsidP="00E429E8">
            <w:pPr>
              <w:tabs>
                <w:tab w:val="left" w:pos="288"/>
                <w:tab w:val="left" w:pos="576"/>
                <w:tab w:val="left" w:pos="864"/>
                <w:tab w:val="left" w:pos="1152"/>
              </w:tabs>
              <w:spacing w:before="40" w:after="40" w:line="210" w:lineRule="exact"/>
              <w:ind w:right="40"/>
              <w:rPr>
                <w:b/>
                <w:bCs/>
                <w:sz w:val="17"/>
              </w:rPr>
            </w:pPr>
            <w:r w:rsidRPr="00CA5566">
              <w:rPr>
                <w:b/>
                <w:bCs/>
                <w:sz w:val="17"/>
              </w:rPr>
              <w:t>Sampling equipment and bottles</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r w:rsidR="00E429E8" w:rsidRPr="00E429E8" w:rsidTr="00E429E8">
        <w:tc>
          <w:tcPr>
            <w:tcW w:w="6947" w:type="dxa"/>
            <w:tcBorders>
              <w:bottom w:val="single" w:sz="12" w:space="0" w:color="auto"/>
            </w:tcBorders>
            <w:shd w:val="clear" w:color="auto" w:fill="auto"/>
            <w:vAlign w:val="bottom"/>
            <w:hideMark/>
          </w:tcPr>
          <w:p w:rsidR="00E429E8" w:rsidRPr="00E429E8" w:rsidRDefault="00E429E8" w:rsidP="00E429E8">
            <w:pPr>
              <w:tabs>
                <w:tab w:val="left" w:pos="288"/>
                <w:tab w:val="left" w:pos="576"/>
                <w:tab w:val="left" w:pos="864"/>
                <w:tab w:val="left" w:pos="1152"/>
              </w:tabs>
              <w:spacing w:before="40" w:after="40" w:line="210" w:lineRule="exact"/>
              <w:ind w:right="40"/>
              <w:rPr>
                <w:sz w:val="17"/>
              </w:rPr>
            </w:pPr>
            <w:r w:rsidRPr="00E429E8">
              <w:rPr>
                <w:sz w:val="17"/>
              </w:rPr>
              <w:t>Photo-optical copies of the certificate of approval according to 8.1.2.6 or 8.1.2.7</w:t>
            </w: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c>
          <w:tcPr>
            <w:tcW w:w="1353" w:type="dxa"/>
            <w:tcBorders>
              <w:bottom w:val="single" w:sz="12" w:space="0" w:color="auto"/>
            </w:tcBorders>
            <w:shd w:val="clear" w:color="auto" w:fill="auto"/>
            <w:noWrap/>
            <w:vAlign w:val="bottom"/>
            <w:hideMark/>
          </w:tcPr>
          <w:p w:rsidR="00E429E8" w:rsidRPr="00CA5566" w:rsidRDefault="00E429E8" w:rsidP="00CA5566">
            <w:pPr>
              <w:tabs>
                <w:tab w:val="left" w:pos="288"/>
                <w:tab w:val="left" w:pos="576"/>
                <w:tab w:val="left" w:pos="864"/>
                <w:tab w:val="left" w:pos="1152"/>
              </w:tabs>
              <w:spacing w:before="40" w:after="40" w:line="210" w:lineRule="exact"/>
              <w:ind w:right="113"/>
              <w:jc w:val="center"/>
              <w:rPr>
                <w:b/>
                <w:bCs/>
                <w:sz w:val="17"/>
              </w:rPr>
            </w:pPr>
            <w:r w:rsidRPr="00CA5566">
              <w:rPr>
                <w:b/>
                <w:bCs/>
                <w:sz w:val="17"/>
              </w:rPr>
              <w:t>X</w:t>
            </w: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r w:rsidRPr="00E429E8">
              <w:rPr>
                <w:sz w:val="17"/>
              </w:rPr>
              <w:t>X</w:t>
            </w:r>
          </w:p>
        </w:tc>
        <w:tc>
          <w:tcPr>
            <w:tcW w:w="1353" w:type="dxa"/>
            <w:tcBorders>
              <w:bottom w:val="single" w:sz="12" w:space="0" w:color="auto"/>
            </w:tcBorders>
            <w:shd w:val="clear" w:color="auto" w:fill="auto"/>
            <w:noWrap/>
            <w:vAlign w:val="bottom"/>
            <w:hideMark/>
          </w:tcPr>
          <w:p w:rsidR="00E429E8" w:rsidRPr="00E429E8" w:rsidRDefault="00E429E8" w:rsidP="00CA5566">
            <w:pPr>
              <w:tabs>
                <w:tab w:val="left" w:pos="288"/>
                <w:tab w:val="left" w:pos="576"/>
                <w:tab w:val="left" w:pos="864"/>
                <w:tab w:val="left" w:pos="1152"/>
              </w:tabs>
              <w:spacing w:before="40" w:after="40" w:line="210" w:lineRule="exact"/>
              <w:ind w:right="113"/>
              <w:jc w:val="center"/>
              <w:rPr>
                <w:sz w:val="17"/>
              </w:rPr>
            </w:pPr>
          </w:p>
        </w:tc>
      </w:tr>
    </w:tbl>
    <w:p w:rsidR="00BA2241" w:rsidRPr="00BA2241" w:rsidRDefault="00BA2241" w:rsidP="00BA2241">
      <w:pPr>
        <w:pStyle w:val="FootnoteText"/>
        <w:tabs>
          <w:tab w:val="clear" w:pos="418"/>
          <w:tab w:val="right" w:pos="216"/>
          <w:tab w:val="left" w:pos="288"/>
          <w:tab w:val="right" w:pos="576"/>
          <w:tab w:val="left" w:pos="648"/>
        </w:tabs>
        <w:spacing w:line="120" w:lineRule="exact"/>
        <w:ind w:left="288" w:hanging="288"/>
        <w:rPr>
          <w:sz w:val="10"/>
        </w:rPr>
      </w:pPr>
    </w:p>
    <w:p w:rsidR="00BA2241" w:rsidRDefault="00764988" w:rsidP="00764988">
      <w:pPr>
        <w:pStyle w:val="FootnoteText"/>
        <w:tabs>
          <w:tab w:val="clear" w:pos="418"/>
          <w:tab w:val="right" w:pos="216"/>
          <w:tab w:val="left" w:pos="288"/>
          <w:tab w:val="right" w:pos="576"/>
          <w:tab w:val="left" w:pos="648"/>
        </w:tabs>
        <w:ind w:left="288" w:hanging="288"/>
      </w:pPr>
      <w:r>
        <w:tab/>
      </w:r>
      <w:r>
        <w:tab/>
      </w:r>
      <w:r w:rsidR="00BA2241">
        <w:tab/>
      </w:r>
      <w:r w:rsidR="00BA2241" w:rsidRPr="00BA2241">
        <w:t>Aluminium gauging rods are permitted, provided that they are fitted with brass feet or protected in another way to avoid sparking.</w:t>
      </w:r>
    </w:p>
    <w:p w:rsidR="00E429E8" w:rsidRPr="00AA7522" w:rsidRDefault="00E429E8" w:rsidP="00E429E8">
      <w:pPr>
        <w:rPr>
          <w:rFonts w:eastAsia="SimSun"/>
        </w:rPr>
      </w:pPr>
      <w:r w:rsidRPr="00AA7522">
        <w:br w:type="page"/>
      </w:r>
    </w:p>
    <w:tbl>
      <w:tblPr>
        <w:tblW w:w="12359" w:type="dxa"/>
        <w:tblInd w:w="283" w:type="dxa"/>
        <w:tblLayout w:type="fixed"/>
        <w:tblCellMar>
          <w:left w:w="0" w:type="dxa"/>
          <w:right w:w="0" w:type="dxa"/>
        </w:tblCellMar>
        <w:tblLook w:val="04A0" w:firstRow="1" w:lastRow="0" w:firstColumn="1" w:lastColumn="0" w:noHBand="0" w:noVBand="1"/>
      </w:tblPr>
      <w:tblGrid>
        <w:gridCol w:w="6947"/>
        <w:gridCol w:w="1353"/>
        <w:gridCol w:w="1353"/>
        <w:gridCol w:w="1353"/>
        <w:gridCol w:w="1353"/>
      </w:tblGrid>
      <w:tr w:rsidR="00E429E8" w:rsidRPr="001B66C8" w:rsidTr="001B66C8">
        <w:trPr>
          <w:trHeight w:val="270"/>
          <w:tblHeader/>
        </w:trPr>
        <w:tc>
          <w:tcPr>
            <w:tcW w:w="6947" w:type="dxa"/>
            <w:tcBorders>
              <w:top w:val="single" w:sz="4" w:space="0" w:color="auto"/>
              <w:bottom w:val="single" w:sz="12" w:space="0" w:color="auto"/>
            </w:tcBorders>
            <w:shd w:val="clear" w:color="auto" w:fill="auto"/>
            <w:noWrap/>
            <w:vAlign w:val="bottom"/>
            <w:hideMark/>
          </w:tcPr>
          <w:p w:rsidR="00E429E8" w:rsidRPr="001B66C8" w:rsidRDefault="00E429E8" w:rsidP="001B66C8">
            <w:pPr>
              <w:spacing w:before="80" w:after="80" w:line="160" w:lineRule="exact"/>
              <w:ind w:right="40"/>
              <w:rPr>
                <w:i/>
                <w:sz w:val="14"/>
              </w:rPr>
            </w:pPr>
            <w:r w:rsidRPr="001B66C8">
              <w:rPr>
                <w:i/>
                <w:sz w:val="14"/>
              </w:rPr>
              <w:lastRenderedPageBreak/>
              <w:t> </w:t>
            </w:r>
          </w:p>
        </w:tc>
        <w:tc>
          <w:tcPr>
            <w:tcW w:w="1353" w:type="dxa"/>
            <w:tcBorders>
              <w:top w:val="single" w:sz="4" w:space="0" w:color="auto"/>
              <w:bottom w:val="single" w:sz="12" w:space="0" w:color="auto"/>
            </w:tcBorders>
            <w:shd w:val="clear" w:color="auto" w:fill="auto"/>
            <w:noWrap/>
            <w:vAlign w:val="bottom"/>
            <w:hideMark/>
          </w:tcPr>
          <w:p w:rsidR="00E429E8" w:rsidRPr="001B66C8" w:rsidRDefault="00E429E8" w:rsidP="001B66C8">
            <w:pPr>
              <w:spacing w:before="80" w:after="80" w:line="160" w:lineRule="exact"/>
              <w:ind w:right="113"/>
              <w:jc w:val="right"/>
              <w:rPr>
                <w:i/>
                <w:sz w:val="14"/>
              </w:rPr>
            </w:pPr>
            <w:r w:rsidRPr="001B66C8">
              <w:rPr>
                <w:i/>
                <w:sz w:val="14"/>
              </w:rPr>
              <w:t>Wood</w:t>
            </w:r>
          </w:p>
        </w:tc>
        <w:tc>
          <w:tcPr>
            <w:tcW w:w="1353" w:type="dxa"/>
            <w:tcBorders>
              <w:top w:val="single" w:sz="4" w:space="0" w:color="auto"/>
              <w:bottom w:val="single" w:sz="12" w:space="0" w:color="auto"/>
            </w:tcBorders>
            <w:shd w:val="clear" w:color="auto" w:fill="auto"/>
            <w:noWrap/>
            <w:vAlign w:val="bottom"/>
            <w:hideMark/>
          </w:tcPr>
          <w:p w:rsidR="00E429E8" w:rsidRPr="001B66C8" w:rsidRDefault="00E429E8" w:rsidP="001B66C8">
            <w:pPr>
              <w:spacing w:before="80" w:after="80" w:line="160" w:lineRule="exact"/>
              <w:ind w:right="113"/>
              <w:jc w:val="right"/>
              <w:rPr>
                <w:i/>
                <w:sz w:val="14"/>
              </w:rPr>
            </w:pPr>
            <w:r w:rsidRPr="001B66C8">
              <w:rPr>
                <w:i/>
                <w:sz w:val="14"/>
              </w:rPr>
              <w:t>Aluminium</w:t>
            </w:r>
          </w:p>
        </w:tc>
        <w:tc>
          <w:tcPr>
            <w:tcW w:w="1353" w:type="dxa"/>
            <w:tcBorders>
              <w:top w:val="single" w:sz="4" w:space="0" w:color="auto"/>
              <w:bottom w:val="single" w:sz="12" w:space="0" w:color="auto"/>
            </w:tcBorders>
            <w:shd w:val="clear" w:color="auto" w:fill="auto"/>
            <w:noWrap/>
            <w:vAlign w:val="bottom"/>
            <w:hideMark/>
          </w:tcPr>
          <w:p w:rsidR="00E429E8" w:rsidRPr="001B66C8" w:rsidRDefault="00E429E8" w:rsidP="001B66C8">
            <w:pPr>
              <w:spacing w:before="80" w:after="80" w:line="160" w:lineRule="exact"/>
              <w:ind w:right="113"/>
              <w:jc w:val="right"/>
              <w:rPr>
                <w:i/>
                <w:sz w:val="14"/>
              </w:rPr>
            </w:pPr>
            <w:r w:rsidRPr="001B66C8">
              <w:rPr>
                <w:i/>
                <w:sz w:val="14"/>
              </w:rPr>
              <w:t>Plastic material</w:t>
            </w:r>
          </w:p>
        </w:tc>
        <w:tc>
          <w:tcPr>
            <w:tcW w:w="1353" w:type="dxa"/>
            <w:tcBorders>
              <w:top w:val="single" w:sz="4" w:space="0" w:color="auto"/>
              <w:bottom w:val="single" w:sz="12" w:space="0" w:color="auto"/>
            </w:tcBorders>
            <w:shd w:val="clear" w:color="auto" w:fill="auto"/>
            <w:noWrap/>
            <w:vAlign w:val="bottom"/>
            <w:hideMark/>
          </w:tcPr>
          <w:p w:rsidR="00E429E8" w:rsidRPr="001B66C8" w:rsidRDefault="00E429E8" w:rsidP="001B66C8">
            <w:pPr>
              <w:spacing w:before="80" w:after="80" w:line="160" w:lineRule="exact"/>
              <w:ind w:right="113"/>
              <w:jc w:val="right"/>
              <w:rPr>
                <w:i/>
                <w:sz w:val="14"/>
              </w:rPr>
            </w:pPr>
            <w:r w:rsidRPr="001B66C8">
              <w:rPr>
                <w:i/>
                <w:sz w:val="14"/>
              </w:rPr>
              <w:t>Rubber</w:t>
            </w:r>
          </w:p>
        </w:tc>
      </w:tr>
      <w:tr w:rsidR="001B66C8" w:rsidRPr="001B66C8" w:rsidTr="001B66C8">
        <w:trPr>
          <w:trHeight w:hRule="exact" w:val="115"/>
          <w:tblHeader/>
        </w:trPr>
        <w:tc>
          <w:tcPr>
            <w:tcW w:w="6947" w:type="dxa"/>
            <w:tcBorders>
              <w:top w:val="single" w:sz="12" w:space="0" w:color="auto"/>
            </w:tcBorders>
            <w:shd w:val="clear" w:color="auto" w:fill="auto"/>
            <w:noWrap/>
            <w:vAlign w:val="bottom"/>
          </w:tcPr>
          <w:p w:rsidR="001B66C8" w:rsidRPr="001B66C8" w:rsidRDefault="001B66C8" w:rsidP="001B66C8">
            <w:pPr>
              <w:spacing w:before="40" w:after="40" w:line="210" w:lineRule="exact"/>
              <w:ind w:right="40"/>
              <w:rPr>
                <w:sz w:val="17"/>
              </w:rPr>
            </w:pPr>
          </w:p>
        </w:tc>
        <w:tc>
          <w:tcPr>
            <w:tcW w:w="1353" w:type="dxa"/>
            <w:tcBorders>
              <w:top w:val="single" w:sz="12" w:space="0" w:color="auto"/>
            </w:tcBorders>
            <w:shd w:val="clear" w:color="auto" w:fill="auto"/>
            <w:noWrap/>
            <w:vAlign w:val="bottom"/>
          </w:tcPr>
          <w:p w:rsidR="001B66C8" w:rsidRPr="001B66C8" w:rsidRDefault="001B66C8" w:rsidP="001B66C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1B66C8" w:rsidRPr="001B66C8" w:rsidRDefault="001B66C8" w:rsidP="001B66C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1B66C8" w:rsidRPr="001B66C8" w:rsidRDefault="001B66C8" w:rsidP="001B66C8">
            <w:pPr>
              <w:spacing w:before="40" w:after="40" w:line="210" w:lineRule="exact"/>
              <w:ind w:right="113"/>
              <w:jc w:val="right"/>
              <w:rPr>
                <w:sz w:val="17"/>
              </w:rPr>
            </w:pPr>
          </w:p>
        </w:tc>
        <w:tc>
          <w:tcPr>
            <w:tcW w:w="1353" w:type="dxa"/>
            <w:tcBorders>
              <w:top w:val="single" w:sz="12" w:space="0" w:color="auto"/>
            </w:tcBorders>
            <w:shd w:val="clear" w:color="auto" w:fill="auto"/>
            <w:noWrap/>
            <w:vAlign w:val="bottom"/>
          </w:tcPr>
          <w:p w:rsidR="001B66C8" w:rsidRPr="001B66C8" w:rsidRDefault="001B66C8" w:rsidP="001B66C8">
            <w:pPr>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Gangways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Cleaning equipment, e.g. brooms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Supports and stops of any kind</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Masts and similar round timber</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Chocking of cargo tanks which are independent of the vessel’s hull and chocking of installations and equipment</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Gangways, external ladders and passageways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Fenders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765"/>
        </w:trPr>
        <w:tc>
          <w:tcPr>
            <w:tcW w:w="6947" w:type="dxa"/>
            <w:shd w:val="clear" w:color="auto" w:fill="auto"/>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 xml:space="preserve">Movable items of equipment such as extinguishers, portable gas detectors, rescue winches, etc. </w:t>
            </w:r>
            <w:r w:rsidR="00270583">
              <w:rPr>
                <w:sz w:val="17"/>
              </w:rPr>
              <w:br/>
            </w:r>
            <w:r w:rsidRPr="001B66C8">
              <w:rPr>
                <w:sz w:val="17"/>
              </w:rPr>
              <w:t>Aluminium gauging rods are permitted, provided that they are fitted with brass feet or protected in another way to avoid sparking.</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510"/>
        </w:trPr>
        <w:tc>
          <w:tcPr>
            <w:tcW w:w="6947" w:type="dxa"/>
            <w:shd w:val="clear" w:color="auto" w:fill="auto"/>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Insulation and coating of cargo tanks and of piping for loading and unloading, gas discharge pipes and heating pipes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Masts and similar round timber</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Engine parts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Protective covers for engines, etc.</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Ventilators, including hose assemblies for ventilation</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Parts of the water spray system and of the shower and the eye and face bath</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Parts of the electrical installation</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 xml:space="preserve">Parts of the loading and unloading facility, such as blocking valves and gaskets, etc. </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510"/>
        </w:trPr>
        <w:tc>
          <w:tcPr>
            <w:tcW w:w="6947" w:type="dxa"/>
            <w:shd w:val="clear" w:color="auto" w:fill="auto"/>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Boxes, cabinets or containers placed on the deck for equipment storage, to remove or collect capstans, extinguishers, fire hoses, waste, etc.</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All kinds of gaskets (e.g. for dome or hatch covers)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Cables for electrical equipment</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Hose assemblies for loading and unloading</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Extinguishers, hoses for deck cleaning, capstans, sampling equipment and bottles, etc.</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 xml:space="preserve">The mat under hose assemblies for loading and unloading </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55"/>
        </w:trPr>
        <w:tc>
          <w:tcPr>
            <w:tcW w:w="6947"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Mooring cables</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r w:rsidR="00E429E8" w:rsidRPr="001B66C8" w:rsidTr="001B66C8">
        <w:trPr>
          <w:trHeight w:val="270"/>
        </w:trPr>
        <w:tc>
          <w:tcPr>
            <w:tcW w:w="6947" w:type="dxa"/>
            <w:tcBorders>
              <w:bottom w:val="single" w:sz="12" w:space="0" w:color="auto"/>
            </w:tcBorders>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40"/>
              <w:rPr>
                <w:sz w:val="17"/>
              </w:rPr>
            </w:pPr>
            <w:r w:rsidRPr="001B66C8">
              <w:rPr>
                <w:sz w:val="17"/>
              </w:rPr>
              <w:t>Photo-optical copies of the certificate of approval according to 8.1.2.6 or 8.1.2.7</w:t>
            </w:r>
          </w:p>
        </w:tc>
        <w:tc>
          <w:tcPr>
            <w:tcW w:w="1353" w:type="dxa"/>
            <w:tcBorders>
              <w:bottom w:val="single" w:sz="12" w:space="0" w:color="auto"/>
            </w:tcBorders>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tcBorders>
              <w:bottom w:val="single" w:sz="12" w:space="0" w:color="auto"/>
            </w:tcBorders>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p>
        </w:tc>
        <w:tc>
          <w:tcPr>
            <w:tcW w:w="1353" w:type="dxa"/>
            <w:tcBorders>
              <w:bottom w:val="single" w:sz="12" w:space="0" w:color="auto"/>
            </w:tcBorders>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c>
          <w:tcPr>
            <w:tcW w:w="1353" w:type="dxa"/>
            <w:tcBorders>
              <w:bottom w:val="single" w:sz="12" w:space="0" w:color="auto"/>
            </w:tcBorders>
            <w:shd w:val="clear" w:color="auto" w:fill="auto"/>
            <w:noWrap/>
            <w:vAlign w:val="bottom"/>
            <w:hideMark/>
          </w:tcPr>
          <w:p w:rsidR="00E429E8" w:rsidRPr="001B66C8" w:rsidRDefault="00E429E8" w:rsidP="001B66C8">
            <w:pPr>
              <w:tabs>
                <w:tab w:val="left" w:pos="288"/>
                <w:tab w:val="left" w:pos="576"/>
                <w:tab w:val="left" w:pos="864"/>
                <w:tab w:val="left" w:pos="1152"/>
              </w:tabs>
              <w:spacing w:before="40" w:after="40" w:line="210" w:lineRule="exact"/>
              <w:ind w:right="113"/>
              <w:jc w:val="right"/>
              <w:rPr>
                <w:sz w:val="17"/>
              </w:rPr>
            </w:pPr>
            <w:r w:rsidRPr="001B66C8">
              <w:rPr>
                <w:sz w:val="17"/>
              </w:rPr>
              <w:t>X</w:t>
            </w:r>
          </w:p>
        </w:tc>
      </w:tr>
    </w:tbl>
    <w:p w:rsidR="002D01AB" w:rsidRDefault="002D01AB" w:rsidP="00F1709B">
      <w:pPr>
        <w:pStyle w:val="SingleTxt"/>
      </w:pPr>
    </w:p>
    <w:p w:rsidR="002D01AB" w:rsidRDefault="00ED1085" w:rsidP="00F1709B">
      <w:pPr>
        <w:pStyle w:val="SingleTxt"/>
        <w:sectPr w:rsidR="002D01AB" w:rsidSect="002D01AB">
          <w:headerReference w:type="even" r:id="rId15"/>
          <w:headerReference w:type="default" r:id="rId16"/>
          <w:footerReference w:type="even" r:id="rId17"/>
          <w:footerReference w:type="default" r:id="rId18"/>
          <w:endnotePr>
            <w:numFmt w:val="decimal"/>
          </w:endnotePr>
          <w:pgSz w:w="16834" w:h="11909" w:orient="landscape" w:code="1"/>
          <w:pgMar w:top="1195" w:right="1742" w:bottom="1195" w:left="1901" w:header="576" w:footer="1037" w:gutter="0"/>
          <w:cols w:space="720"/>
          <w:noEndnote/>
          <w:bidi/>
          <w:rtlGutter/>
          <w:docGrid w:linePitch="278"/>
        </w:sectPr>
      </w:pPr>
      <w:r>
        <w:rPr>
          <w:noProof/>
          <w:w w:val="100"/>
          <w:lang w:eastAsia="en-GB"/>
        </w:rPr>
        <mc:AlternateContent>
          <mc:Choice Requires="wps">
            <w:drawing>
              <wp:anchor distT="0" distB="0" distL="114300" distR="114300" simplePos="0" relativeHeight="251659264" behindDoc="1" locked="0" layoutInCell="1" allowOverlap="1">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4jwVut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p>
    <w:p w:rsidR="002D01AB" w:rsidRPr="00F1709B" w:rsidRDefault="002D01AB" w:rsidP="002D01AB">
      <w:pPr>
        <w:suppressAutoHyphens w:val="0"/>
        <w:spacing w:line="240" w:lineRule="auto"/>
      </w:pPr>
    </w:p>
    <w:sectPr w:rsidR="002D01AB" w:rsidRPr="00F1709B" w:rsidSect="00D21FB3">
      <w:headerReference w:type="even" r:id="rId19"/>
      <w:headerReference w:type="default" r:id="rId20"/>
      <w:footerReference w:type="even" r:id="rId21"/>
      <w:footerReference w:type="default" r:id="rId22"/>
      <w:endnotePr>
        <w:numFmt w:val="decimal"/>
      </w:endnotePr>
      <w:type w:val="continuous"/>
      <w:pgSz w:w="16834" w:h="11909" w:orient="landscape" w:code="1"/>
      <w:pgMar w:top="936" w:right="1742" w:bottom="936" w:left="1898"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A6" w:rsidRDefault="00CE34A6">
      <w:r>
        <w:separator/>
      </w:r>
    </w:p>
  </w:endnote>
  <w:endnote w:type="continuationSeparator" w:id="0">
    <w:p w:rsidR="00CE34A6" w:rsidRDefault="00CE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4071" w:rsidTr="00E04071">
      <w:trPr>
        <w:jc w:val="center"/>
      </w:trPr>
      <w:tc>
        <w:tcPr>
          <w:tcW w:w="5126" w:type="dxa"/>
          <w:shd w:val="clear" w:color="auto" w:fill="auto"/>
        </w:tcPr>
        <w:p w:rsidR="00E04071" w:rsidRPr="00E04071" w:rsidRDefault="00E04071" w:rsidP="00E040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c>
        <w:tcPr>
          <w:tcW w:w="5127" w:type="dxa"/>
          <w:shd w:val="clear" w:color="auto" w:fill="auto"/>
        </w:tcPr>
        <w:p w:rsidR="00E04071" w:rsidRPr="00E04071" w:rsidRDefault="00E04071" w:rsidP="00E04071">
          <w:pPr>
            <w:pStyle w:val="Footer"/>
            <w:rPr>
              <w:w w:val="103"/>
            </w:rPr>
          </w:pPr>
          <w:r>
            <w:rPr>
              <w:w w:val="103"/>
            </w:rPr>
            <w:fldChar w:fldCharType="begin"/>
          </w:r>
          <w:r>
            <w:rPr>
              <w:w w:val="103"/>
            </w:rPr>
            <w:instrText xml:space="preserve"> PAGE  \* Arabic  \* MERGEFORMAT </w:instrText>
          </w:r>
          <w:r>
            <w:rPr>
              <w:w w:val="103"/>
            </w:rPr>
            <w:fldChar w:fldCharType="separate"/>
          </w:r>
          <w:r w:rsidR="002525E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25E1">
            <w:rPr>
              <w:w w:val="103"/>
            </w:rPr>
            <w:t>2</w:t>
          </w:r>
          <w:r>
            <w:rPr>
              <w:w w:val="103"/>
            </w:rPr>
            <w:fldChar w:fldCharType="end"/>
          </w:r>
        </w:p>
      </w:tc>
    </w:tr>
  </w:tbl>
  <w:p w:rsidR="00E04071" w:rsidRPr="00E04071" w:rsidRDefault="00E04071" w:rsidP="00E04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4071" w:rsidTr="00E04071">
      <w:trPr>
        <w:jc w:val="center"/>
      </w:trPr>
      <w:tc>
        <w:tcPr>
          <w:tcW w:w="5126" w:type="dxa"/>
          <w:shd w:val="clear" w:color="auto" w:fill="auto"/>
        </w:tcPr>
        <w:p w:rsidR="00E04071" w:rsidRPr="00E04071" w:rsidRDefault="00E04071" w:rsidP="00E040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437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4374">
            <w:rPr>
              <w:w w:val="103"/>
            </w:rPr>
            <w:t>7</w:t>
          </w:r>
          <w:r>
            <w:rPr>
              <w:w w:val="103"/>
            </w:rPr>
            <w:fldChar w:fldCharType="end"/>
          </w:r>
        </w:p>
      </w:tc>
      <w:tc>
        <w:tcPr>
          <w:tcW w:w="5127" w:type="dxa"/>
          <w:shd w:val="clear" w:color="auto" w:fill="auto"/>
        </w:tcPr>
        <w:p w:rsidR="00E04071" w:rsidRPr="00E04071" w:rsidRDefault="00E04071" w:rsidP="00E040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r>
  </w:tbl>
  <w:p w:rsidR="00E04071" w:rsidRPr="00E04071" w:rsidRDefault="00E04071" w:rsidP="00E04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E04071" w:rsidTr="00E04071">
      <w:tc>
        <w:tcPr>
          <w:tcW w:w="3859" w:type="dxa"/>
        </w:tcPr>
        <w:p w:rsidR="00E04071" w:rsidRDefault="00E04071" w:rsidP="00A9192E">
          <w:pPr>
            <w:pStyle w:val="ReleaseDate"/>
          </w:pPr>
          <w:r>
            <w:rPr>
              <w:noProof/>
              <w:lang w:eastAsia="en-GB"/>
            </w:rPr>
            <w:drawing>
              <wp:anchor distT="0" distB="0" distL="114300" distR="114300" simplePos="0" relativeHeight="251658240" behindDoc="0" locked="0" layoutInCell="1" allowOverlap="1" wp14:anchorId="667E4A4C" wp14:editId="15F5393A">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GE.15-19353 (E)    201115    </w:t>
          </w:r>
          <w:r w:rsidR="00A9192E">
            <w:t>23</w:t>
          </w:r>
          <w:r>
            <w:t>1115</w:t>
          </w:r>
        </w:p>
        <w:p w:rsidR="00E04071" w:rsidRPr="00E04071" w:rsidRDefault="00E04071" w:rsidP="00E04071">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*1519353*</w:t>
          </w:r>
        </w:p>
      </w:tc>
      <w:tc>
        <w:tcPr>
          <w:tcW w:w="5127" w:type="dxa"/>
        </w:tcPr>
        <w:p w:rsidR="00E04071" w:rsidRDefault="00E04071" w:rsidP="00E04071">
          <w:pPr>
            <w:pStyle w:val="Footer"/>
            <w:jc w:val="right"/>
            <w:rPr>
              <w:b w:val="0"/>
              <w:sz w:val="20"/>
            </w:rPr>
          </w:pPr>
          <w:r>
            <w:rPr>
              <w:b w:val="0"/>
              <w:sz w:val="20"/>
              <w:lang w:val="en-GB" w:eastAsia="en-GB"/>
            </w:rPr>
            <w:drawing>
              <wp:inline distT="0" distB="0" distL="0" distR="0" wp14:anchorId="038BAA41" wp14:editId="200F42D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04071" w:rsidRPr="00E04071" w:rsidRDefault="00E04071" w:rsidP="00E04071">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D01AB" w:rsidRPr="002D01AB" w:rsidTr="002D01AB">
      <w:trPr>
        <w:cantSplit/>
        <w:trHeight w:val="4781"/>
      </w:trPr>
      <w:tc>
        <w:tcPr>
          <w:tcW w:w="13407" w:type="dxa"/>
          <w:shd w:val="clear" w:color="auto" w:fill="auto"/>
          <w:textDirection w:val="tbRl"/>
        </w:tcPr>
        <w:p w:rsidR="002D01AB" w:rsidRPr="002D01AB" w:rsidRDefault="002D01AB" w:rsidP="002D01A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2525E1">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25E1">
            <w:rPr>
              <w:w w:val="103"/>
            </w:rPr>
            <w:t>6</w:t>
          </w:r>
          <w:r>
            <w:rPr>
              <w:w w:val="103"/>
            </w:rPr>
            <w:fldChar w:fldCharType="end"/>
          </w:r>
        </w:p>
      </w:tc>
    </w:tr>
    <w:tr w:rsidR="002D01AB" w:rsidRPr="002D01AB" w:rsidTr="002D01AB">
      <w:trPr>
        <w:cantSplit/>
        <w:trHeight w:val="4781"/>
      </w:trPr>
      <w:tc>
        <w:tcPr>
          <w:tcW w:w="13407" w:type="dxa"/>
          <w:shd w:val="clear" w:color="auto" w:fill="auto"/>
          <w:textDirection w:val="tbRl"/>
        </w:tcPr>
        <w:p w:rsidR="002D01AB" w:rsidRPr="002D01AB" w:rsidRDefault="002D01AB" w:rsidP="002D01A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r>
  </w:tbl>
  <w:p w:rsidR="002D01AB" w:rsidRPr="002D01AB" w:rsidRDefault="002D01AB" w:rsidP="002D01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D01AB" w:rsidRPr="002D01AB" w:rsidTr="002D01AB">
      <w:trPr>
        <w:cantSplit/>
        <w:trHeight w:val="4781"/>
      </w:trPr>
      <w:tc>
        <w:tcPr>
          <w:tcW w:w="13407" w:type="dxa"/>
          <w:shd w:val="clear" w:color="auto" w:fill="auto"/>
          <w:textDirection w:val="tbRl"/>
        </w:tcPr>
        <w:p w:rsidR="002D01AB" w:rsidRPr="002D01AB" w:rsidRDefault="002D01AB" w:rsidP="002D01A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r>
    <w:tr w:rsidR="002D01AB" w:rsidRPr="002D01AB" w:rsidTr="002D01AB">
      <w:trPr>
        <w:cantSplit/>
        <w:trHeight w:val="4781"/>
      </w:trPr>
      <w:tc>
        <w:tcPr>
          <w:tcW w:w="13407" w:type="dxa"/>
          <w:shd w:val="clear" w:color="auto" w:fill="auto"/>
          <w:textDirection w:val="tbRl"/>
        </w:tcPr>
        <w:p w:rsidR="002D01AB" w:rsidRPr="002D01AB" w:rsidRDefault="002D01AB" w:rsidP="002D01A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2525E1">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25E1">
            <w:rPr>
              <w:w w:val="103"/>
            </w:rPr>
            <w:t>7</w:t>
          </w:r>
          <w:r>
            <w:rPr>
              <w:w w:val="103"/>
            </w:rPr>
            <w:fldChar w:fldCharType="end"/>
          </w:r>
        </w:p>
      </w:tc>
    </w:tr>
  </w:tbl>
  <w:p w:rsidR="002D01AB" w:rsidRPr="002D01AB" w:rsidRDefault="002D01AB" w:rsidP="002D01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D01AB" w:rsidTr="00E04071">
      <w:trPr>
        <w:jc w:val="center"/>
      </w:trPr>
      <w:tc>
        <w:tcPr>
          <w:tcW w:w="5126" w:type="dxa"/>
          <w:shd w:val="clear" w:color="auto" w:fill="auto"/>
        </w:tcPr>
        <w:p w:rsidR="002D01AB" w:rsidRPr="00E04071" w:rsidRDefault="002D01AB" w:rsidP="00E040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c>
        <w:tcPr>
          <w:tcW w:w="5127" w:type="dxa"/>
          <w:shd w:val="clear" w:color="auto" w:fill="auto"/>
        </w:tcPr>
        <w:p w:rsidR="002D01AB" w:rsidRPr="00E04071" w:rsidRDefault="002D01AB" w:rsidP="00E04071">
          <w:pPr>
            <w:pStyle w:val="Footer"/>
            <w:rPr>
              <w:w w:val="103"/>
            </w:rPr>
          </w:pPr>
          <w:r>
            <w:rPr>
              <w:w w:val="103"/>
            </w:rPr>
            <w:fldChar w:fldCharType="begin"/>
          </w:r>
          <w:r>
            <w:rPr>
              <w:w w:val="103"/>
            </w:rPr>
            <w:instrText xml:space="preserve"> PAGE  \* Arabic  \* MERGEFORMAT </w:instrText>
          </w:r>
          <w:r>
            <w:rPr>
              <w:w w:val="103"/>
            </w:rPr>
            <w:fldChar w:fldCharType="separate"/>
          </w:r>
          <w:r w:rsidR="0092437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4374">
            <w:rPr>
              <w:w w:val="103"/>
            </w:rPr>
            <w:t>7</w:t>
          </w:r>
          <w:r>
            <w:rPr>
              <w:w w:val="103"/>
            </w:rPr>
            <w:fldChar w:fldCharType="end"/>
          </w:r>
        </w:p>
      </w:tc>
    </w:tr>
  </w:tbl>
  <w:p w:rsidR="002D01AB" w:rsidRPr="00E04071" w:rsidRDefault="002D01AB" w:rsidP="00E040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D01AB" w:rsidTr="00E04071">
      <w:trPr>
        <w:jc w:val="center"/>
      </w:trPr>
      <w:tc>
        <w:tcPr>
          <w:tcW w:w="5126" w:type="dxa"/>
          <w:shd w:val="clear" w:color="auto" w:fill="auto"/>
        </w:tcPr>
        <w:p w:rsidR="002D01AB" w:rsidRPr="00E04071" w:rsidRDefault="002D01AB" w:rsidP="00E040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437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4374">
            <w:rPr>
              <w:w w:val="103"/>
            </w:rPr>
            <w:t>7</w:t>
          </w:r>
          <w:r>
            <w:rPr>
              <w:w w:val="103"/>
            </w:rPr>
            <w:fldChar w:fldCharType="end"/>
          </w:r>
        </w:p>
      </w:tc>
      <w:tc>
        <w:tcPr>
          <w:tcW w:w="5127" w:type="dxa"/>
          <w:shd w:val="clear" w:color="auto" w:fill="auto"/>
        </w:tcPr>
        <w:p w:rsidR="002D01AB" w:rsidRPr="00E04071" w:rsidRDefault="002D01AB" w:rsidP="00E040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4374">
            <w:rPr>
              <w:b w:val="0"/>
              <w:w w:val="103"/>
              <w:sz w:val="14"/>
            </w:rPr>
            <w:t>GE.15-19353</w:t>
          </w:r>
          <w:r>
            <w:rPr>
              <w:b w:val="0"/>
              <w:w w:val="103"/>
              <w:sz w:val="14"/>
            </w:rPr>
            <w:fldChar w:fldCharType="end"/>
          </w:r>
        </w:p>
      </w:tc>
    </w:tr>
  </w:tbl>
  <w:p w:rsidR="002D01AB" w:rsidRPr="00E04071" w:rsidRDefault="002D01AB" w:rsidP="00E0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A6" w:rsidRPr="00485F8B" w:rsidRDefault="00485F8B" w:rsidP="00485F8B">
      <w:pPr>
        <w:pStyle w:val="Footer"/>
        <w:spacing w:after="80"/>
        <w:ind w:left="792"/>
        <w:rPr>
          <w:sz w:val="16"/>
        </w:rPr>
      </w:pPr>
      <w:r w:rsidRPr="00485F8B">
        <w:rPr>
          <w:sz w:val="16"/>
        </w:rPr>
        <w:t>__________________</w:t>
      </w:r>
    </w:p>
  </w:footnote>
  <w:footnote w:type="continuationSeparator" w:id="0">
    <w:p w:rsidR="00CE34A6" w:rsidRPr="00485F8B" w:rsidRDefault="00485F8B" w:rsidP="00485F8B">
      <w:pPr>
        <w:pStyle w:val="Footer"/>
        <w:spacing w:after="80"/>
        <w:ind w:left="792"/>
        <w:rPr>
          <w:sz w:val="16"/>
        </w:rPr>
      </w:pPr>
      <w:r w:rsidRPr="00485F8B">
        <w:rPr>
          <w:sz w:val="16"/>
        </w:rPr>
        <w:t>__________________</w:t>
      </w:r>
    </w:p>
  </w:footnote>
  <w:footnote w:id="1">
    <w:p w:rsidR="00F1709B" w:rsidRPr="00E13C39" w:rsidRDefault="00F1709B" w:rsidP="00485F8B">
      <w:pPr>
        <w:pStyle w:val="FootnoteText"/>
        <w:tabs>
          <w:tab w:val="clear" w:pos="418"/>
          <w:tab w:val="right" w:pos="1195"/>
          <w:tab w:val="left" w:pos="1267"/>
          <w:tab w:val="left" w:pos="1742"/>
          <w:tab w:val="left" w:pos="2218"/>
          <w:tab w:val="left" w:pos="2693"/>
        </w:tabs>
        <w:ind w:left="1267" w:right="1260" w:hanging="432"/>
        <w:rPr>
          <w:sz w:val="16"/>
          <w:szCs w:val="16"/>
        </w:rPr>
      </w:pPr>
      <w:r>
        <w:rPr>
          <w:sz w:val="16"/>
        </w:rPr>
        <w:tab/>
      </w:r>
      <w:r>
        <w:rPr>
          <w:rStyle w:val="FootnoteReference"/>
          <w:sz w:val="16"/>
        </w:rPr>
        <w:footnoteRef/>
      </w:r>
      <w:r>
        <w:tab/>
      </w:r>
      <w:proofErr w:type="gramStart"/>
      <w:r>
        <w:t xml:space="preserve">Distributed in German by the Central Commission for the Navigation of the Rhine under the symbol </w:t>
      </w:r>
      <w:r w:rsidRPr="00F1709B">
        <w:t>CCNR-ZKR/ADN/WP.15/</w:t>
      </w:r>
      <w:r w:rsidRPr="004803CE">
        <w:t>AC</w:t>
      </w:r>
      <w:r w:rsidRPr="00F1709B">
        <w:t>.2/2016/22</w:t>
      </w:r>
      <w:r>
        <w:rPr>
          <w:sz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4071" w:rsidTr="00E04071">
      <w:trPr>
        <w:trHeight w:hRule="exact" w:val="864"/>
        <w:jc w:val="center"/>
      </w:trPr>
      <w:tc>
        <w:tcPr>
          <w:tcW w:w="4882" w:type="dxa"/>
          <w:shd w:val="clear" w:color="auto" w:fill="auto"/>
          <w:vAlign w:val="bottom"/>
        </w:tcPr>
        <w:p w:rsidR="00E04071" w:rsidRPr="00E04071" w:rsidRDefault="00E04071" w:rsidP="00E04071">
          <w:pPr>
            <w:pStyle w:val="Header"/>
            <w:spacing w:after="80"/>
            <w:rPr>
              <w:b/>
            </w:rPr>
          </w:pPr>
          <w:r>
            <w:rPr>
              <w:b/>
            </w:rPr>
            <w:fldChar w:fldCharType="begin"/>
          </w:r>
          <w:r>
            <w:rPr>
              <w:b/>
            </w:rPr>
            <w:instrText xml:space="preserve"> DOCVARIABLE "sss1" \* MERGEFORMAT </w:instrText>
          </w:r>
          <w:r>
            <w:rPr>
              <w:b/>
            </w:rPr>
            <w:fldChar w:fldCharType="separate"/>
          </w:r>
          <w:r w:rsidR="00924374">
            <w:rPr>
              <w:b/>
            </w:rPr>
            <w:t>ECE/TRANS/WP.15/AC.2/2016/22</w:t>
          </w:r>
          <w:r>
            <w:rPr>
              <w:b/>
            </w:rPr>
            <w:fldChar w:fldCharType="end"/>
          </w:r>
        </w:p>
      </w:tc>
      <w:tc>
        <w:tcPr>
          <w:tcW w:w="5127" w:type="dxa"/>
          <w:shd w:val="clear" w:color="auto" w:fill="auto"/>
          <w:vAlign w:val="bottom"/>
        </w:tcPr>
        <w:p w:rsidR="00E04071" w:rsidRDefault="00E04071" w:rsidP="00E04071">
          <w:pPr>
            <w:pStyle w:val="Header"/>
          </w:pPr>
        </w:p>
      </w:tc>
    </w:tr>
  </w:tbl>
  <w:p w:rsidR="00E04071" w:rsidRPr="00E04071" w:rsidRDefault="00E04071" w:rsidP="00E04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4071" w:rsidTr="00E04071">
      <w:trPr>
        <w:trHeight w:hRule="exact" w:val="864"/>
        <w:jc w:val="center"/>
      </w:trPr>
      <w:tc>
        <w:tcPr>
          <w:tcW w:w="4882" w:type="dxa"/>
          <w:shd w:val="clear" w:color="auto" w:fill="auto"/>
          <w:vAlign w:val="bottom"/>
        </w:tcPr>
        <w:p w:rsidR="00E04071" w:rsidRDefault="00E04071" w:rsidP="00E04071">
          <w:pPr>
            <w:pStyle w:val="Header"/>
          </w:pPr>
        </w:p>
      </w:tc>
      <w:tc>
        <w:tcPr>
          <w:tcW w:w="5127" w:type="dxa"/>
          <w:shd w:val="clear" w:color="auto" w:fill="auto"/>
          <w:vAlign w:val="bottom"/>
        </w:tcPr>
        <w:p w:rsidR="00E04071" w:rsidRPr="00E04071" w:rsidRDefault="00E04071" w:rsidP="00E04071">
          <w:pPr>
            <w:pStyle w:val="Header"/>
            <w:spacing w:after="80"/>
            <w:jc w:val="right"/>
            <w:rPr>
              <w:b/>
            </w:rPr>
          </w:pPr>
          <w:r>
            <w:rPr>
              <w:b/>
            </w:rPr>
            <w:fldChar w:fldCharType="begin"/>
          </w:r>
          <w:r>
            <w:rPr>
              <w:b/>
            </w:rPr>
            <w:instrText xml:space="preserve"> DOCVARIABLE "sss1" \* MERGEFORMAT </w:instrText>
          </w:r>
          <w:r>
            <w:rPr>
              <w:b/>
            </w:rPr>
            <w:fldChar w:fldCharType="separate"/>
          </w:r>
          <w:r w:rsidR="00924374">
            <w:rPr>
              <w:b/>
            </w:rPr>
            <w:t>ECE/TRANS/WP.15/AC.2/2016/22</w:t>
          </w:r>
          <w:r>
            <w:rPr>
              <w:b/>
            </w:rPr>
            <w:fldChar w:fldCharType="end"/>
          </w:r>
        </w:p>
      </w:tc>
    </w:tr>
  </w:tbl>
  <w:p w:rsidR="00E04071" w:rsidRPr="00E04071" w:rsidRDefault="00E04071" w:rsidP="00E04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04071" w:rsidTr="00E04071">
      <w:trPr>
        <w:trHeight w:hRule="exact" w:val="864"/>
      </w:trPr>
      <w:tc>
        <w:tcPr>
          <w:tcW w:w="1267" w:type="dxa"/>
          <w:tcBorders>
            <w:bottom w:val="single" w:sz="4" w:space="0" w:color="auto"/>
          </w:tcBorders>
          <w:shd w:val="clear" w:color="auto" w:fill="auto"/>
          <w:vAlign w:val="bottom"/>
        </w:tcPr>
        <w:p w:rsidR="00E04071" w:rsidRDefault="00E04071" w:rsidP="00E04071">
          <w:pPr>
            <w:pStyle w:val="Header"/>
            <w:spacing w:after="120"/>
          </w:pPr>
        </w:p>
      </w:tc>
      <w:tc>
        <w:tcPr>
          <w:tcW w:w="1872" w:type="dxa"/>
          <w:tcBorders>
            <w:bottom w:val="single" w:sz="4" w:space="0" w:color="auto"/>
          </w:tcBorders>
          <w:shd w:val="clear" w:color="auto" w:fill="auto"/>
          <w:vAlign w:val="bottom"/>
        </w:tcPr>
        <w:p w:rsidR="00E04071" w:rsidRPr="00E04071" w:rsidRDefault="00E04071" w:rsidP="00E0407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04071" w:rsidRDefault="00E04071" w:rsidP="00E04071">
          <w:pPr>
            <w:pStyle w:val="Header"/>
            <w:spacing w:after="120"/>
          </w:pPr>
        </w:p>
      </w:tc>
      <w:tc>
        <w:tcPr>
          <w:tcW w:w="6653" w:type="dxa"/>
          <w:gridSpan w:val="4"/>
          <w:tcBorders>
            <w:bottom w:val="single" w:sz="4" w:space="0" w:color="auto"/>
          </w:tcBorders>
          <w:shd w:val="clear" w:color="auto" w:fill="auto"/>
          <w:vAlign w:val="bottom"/>
        </w:tcPr>
        <w:p w:rsidR="00E04071" w:rsidRPr="00E04071" w:rsidRDefault="00E04071" w:rsidP="00E04071">
          <w:pPr>
            <w:spacing w:after="80" w:line="240" w:lineRule="auto"/>
            <w:jc w:val="right"/>
            <w:rPr>
              <w:position w:val="-4"/>
            </w:rPr>
          </w:pPr>
          <w:r>
            <w:rPr>
              <w:position w:val="-4"/>
              <w:sz w:val="40"/>
            </w:rPr>
            <w:t>ECE</w:t>
          </w:r>
          <w:r>
            <w:rPr>
              <w:position w:val="-4"/>
            </w:rPr>
            <w:t>/TRANS/WP.15/AC.2/2016/22</w:t>
          </w:r>
        </w:p>
      </w:tc>
    </w:tr>
    <w:tr w:rsidR="00E04071" w:rsidRPr="00E04071" w:rsidTr="00E04071">
      <w:trPr>
        <w:gridAfter w:val="1"/>
        <w:wAfter w:w="18" w:type="dxa"/>
        <w:trHeight w:hRule="exact" w:val="2880"/>
      </w:trPr>
      <w:tc>
        <w:tcPr>
          <w:tcW w:w="1267" w:type="dxa"/>
          <w:tcBorders>
            <w:top w:val="single" w:sz="4" w:space="0" w:color="auto"/>
            <w:bottom w:val="single" w:sz="12" w:space="0" w:color="auto"/>
          </w:tcBorders>
          <w:shd w:val="clear" w:color="auto" w:fill="auto"/>
        </w:tcPr>
        <w:p w:rsidR="00E04071" w:rsidRPr="00E04071" w:rsidRDefault="00E04071" w:rsidP="00E04071">
          <w:pPr>
            <w:pStyle w:val="Header"/>
            <w:spacing w:before="120"/>
            <w:jc w:val="center"/>
          </w:pPr>
          <w:r>
            <w:t xml:space="preserve"> </w:t>
          </w:r>
          <w:r>
            <w:rPr>
              <w:lang w:val="en-GB" w:eastAsia="en-GB"/>
            </w:rPr>
            <w:drawing>
              <wp:inline distT="0" distB="0" distL="0" distR="0" wp14:anchorId="0B7F3221" wp14:editId="29B2D2E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4071" w:rsidRPr="00E04071" w:rsidRDefault="00E04071" w:rsidP="00E04071">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E04071" w:rsidRPr="00E04071" w:rsidRDefault="00E04071" w:rsidP="00E04071">
          <w:pPr>
            <w:pStyle w:val="Header"/>
            <w:spacing w:before="109"/>
          </w:pPr>
        </w:p>
      </w:tc>
      <w:tc>
        <w:tcPr>
          <w:tcW w:w="3280" w:type="dxa"/>
          <w:tcBorders>
            <w:top w:val="single" w:sz="4" w:space="0" w:color="auto"/>
            <w:bottom w:val="single" w:sz="12" w:space="0" w:color="auto"/>
          </w:tcBorders>
          <w:shd w:val="clear" w:color="auto" w:fill="auto"/>
        </w:tcPr>
        <w:p w:rsidR="00E04071" w:rsidRDefault="00E04071" w:rsidP="00E04071">
          <w:pPr>
            <w:pStyle w:val="Distribution"/>
            <w:rPr>
              <w:color w:val="010000"/>
            </w:rPr>
          </w:pPr>
          <w:r>
            <w:rPr>
              <w:color w:val="010000"/>
            </w:rPr>
            <w:t>Distr.: General</w:t>
          </w:r>
        </w:p>
        <w:p w:rsidR="00E04071" w:rsidRDefault="00E04071" w:rsidP="00E04071">
          <w:pPr>
            <w:pStyle w:val="Publication"/>
            <w:rPr>
              <w:color w:val="010000"/>
            </w:rPr>
          </w:pPr>
          <w:r>
            <w:rPr>
              <w:color w:val="010000"/>
            </w:rPr>
            <w:t>6 November 2015</w:t>
          </w:r>
        </w:p>
        <w:p w:rsidR="00E04071" w:rsidRDefault="00E04071" w:rsidP="00E04071">
          <w:pPr>
            <w:rPr>
              <w:color w:val="010000"/>
            </w:rPr>
          </w:pPr>
          <w:r>
            <w:rPr>
              <w:color w:val="010000"/>
            </w:rPr>
            <w:t>English</w:t>
          </w:r>
        </w:p>
        <w:p w:rsidR="00E04071" w:rsidRDefault="00E04071" w:rsidP="00E04071">
          <w:pPr>
            <w:pStyle w:val="Original"/>
            <w:rPr>
              <w:color w:val="010000"/>
            </w:rPr>
          </w:pPr>
          <w:r>
            <w:rPr>
              <w:color w:val="010000"/>
            </w:rPr>
            <w:t>Original: French</w:t>
          </w:r>
        </w:p>
        <w:p w:rsidR="00E04071" w:rsidRPr="00E04071" w:rsidRDefault="00E04071" w:rsidP="00E04071"/>
      </w:tc>
    </w:tr>
  </w:tbl>
  <w:p w:rsidR="00E04071" w:rsidRPr="00E04071" w:rsidRDefault="00E04071" w:rsidP="00E0407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D01AB" w:rsidRPr="0062585F" w:rsidTr="002D01AB">
      <w:trPr>
        <w:cantSplit/>
        <w:trHeight w:val="4781"/>
      </w:trPr>
      <w:tc>
        <w:tcPr>
          <w:tcW w:w="13407" w:type="dxa"/>
          <w:shd w:val="clear" w:color="auto" w:fill="auto"/>
          <w:textDirection w:val="tbRl"/>
          <w:vAlign w:val="bottom"/>
        </w:tcPr>
        <w:p w:rsidR="002D01AB" w:rsidRPr="0062585F" w:rsidRDefault="002D01AB" w:rsidP="002D01AB">
          <w:pPr>
            <w:pStyle w:val="Header"/>
            <w:spacing w:line="240" w:lineRule="auto"/>
            <w:ind w:left="14" w:right="14"/>
            <w:rPr>
              <w:b/>
              <w:bCs/>
              <w:w w:val="103"/>
            </w:rPr>
          </w:pPr>
          <w:r w:rsidRPr="0062585F">
            <w:rPr>
              <w:b/>
              <w:bCs/>
              <w:w w:val="103"/>
            </w:rPr>
            <w:fldChar w:fldCharType="begin"/>
          </w:r>
          <w:r w:rsidRPr="0062585F">
            <w:rPr>
              <w:b/>
              <w:bCs/>
              <w:w w:val="103"/>
            </w:rPr>
            <w:instrText xml:space="preserve"> DOCVARIABLE "sss1" \* MERGEFORMAT </w:instrText>
          </w:r>
          <w:r w:rsidRPr="0062585F">
            <w:rPr>
              <w:b/>
              <w:bCs/>
              <w:w w:val="103"/>
            </w:rPr>
            <w:fldChar w:fldCharType="separate"/>
          </w:r>
          <w:r w:rsidR="00924374">
            <w:rPr>
              <w:b/>
              <w:bCs/>
              <w:w w:val="103"/>
            </w:rPr>
            <w:t>ECE/TRANS/WP.15/AC.2/2016/22</w:t>
          </w:r>
          <w:r w:rsidRPr="0062585F">
            <w:rPr>
              <w:b/>
              <w:bCs/>
              <w:w w:val="103"/>
            </w:rPr>
            <w:fldChar w:fldCharType="end"/>
          </w:r>
        </w:p>
      </w:tc>
    </w:tr>
    <w:tr w:rsidR="002D01AB" w:rsidRPr="0062585F" w:rsidTr="002D01AB">
      <w:trPr>
        <w:cantSplit/>
        <w:trHeight w:val="4781"/>
      </w:trPr>
      <w:tc>
        <w:tcPr>
          <w:tcW w:w="13407" w:type="dxa"/>
          <w:shd w:val="clear" w:color="auto" w:fill="auto"/>
          <w:textDirection w:val="tbRl"/>
          <w:vAlign w:val="bottom"/>
        </w:tcPr>
        <w:p w:rsidR="002D01AB" w:rsidRPr="0062585F" w:rsidRDefault="002D01AB" w:rsidP="002D01AB">
          <w:pPr>
            <w:pStyle w:val="Header"/>
            <w:spacing w:line="240" w:lineRule="auto"/>
            <w:ind w:left="14" w:right="14"/>
            <w:rPr>
              <w:b/>
              <w:bCs/>
              <w:w w:val="103"/>
            </w:rPr>
          </w:pPr>
        </w:p>
      </w:tc>
    </w:tr>
  </w:tbl>
  <w:p w:rsidR="002D01AB" w:rsidRPr="0062585F" w:rsidRDefault="002D01AB" w:rsidP="002D01AB">
    <w:pPr>
      <w:pStyle w:val="Header"/>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D01AB" w:rsidRPr="002D01AB" w:rsidTr="002D01AB">
      <w:trPr>
        <w:trHeight w:val="4925"/>
      </w:trPr>
      <w:tc>
        <w:tcPr>
          <w:tcW w:w="13407" w:type="dxa"/>
          <w:shd w:val="clear" w:color="auto" w:fill="auto"/>
          <w:vAlign w:val="bottom"/>
        </w:tcPr>
        <w:p w:rsidR="002D01AB" w:rsidRPr="002D01AB" w:rsidRDefault="002D01AB" w:rsidP="002D01AB">
          <w:pPr>
            <w:pStyle w:val="Header"/>
            <w:spacing w:line="240" w:lineRule="auto"/>
            <w:ind w:left="14" w:right="14"/>
            <w:jc w:val="right"/>
            <w:rPr>
              <w:b/>
              <w:bCs/>
              <w:w w:val="103"/>
              <w:szCs w:val="26"/>
            </w:rPr>
          </w:pPr>
        </w:p>
      </w:tc>
    </w:tr>
    <w:tr w:rsidR="002D01AB" w:rsidRPr="002D01AB" w:rsidTr="002D01AB">
      <w:trPr>
        <w:cantSplit/>
        <w:trHeight w:val="4925"/>
      </w:trPr>
      <w:tc>
        <w:tcPr>
          <w:tcW w:w="13407" w:type="dxa"/>
          <w:shd w:val="clear" w:color="auto" w:fill="auto"/>
          <w:textDirection w:val="tbRl"/>
          <w:vAlign w:val="bottom"/>
        </w:tcPr>
        <w:p w:rsidR="002D01AB" w:rsidRPr="002D01AB" w:rsidRDefault="002D01AB" w:rsidP="006D50B0">
          <w:pPr>
            <w:pStyle w:val="Header"/>
            <w:spacing w:line="240" w:lineRule="auto"/>
            <w:ind w:left="14" w:right="14"/>
            <w:jc w:val="right"/>
            <w:rPr>
              <w:b/>
              <w:bCs/>
              <w:w w:val="103"/>
              <w:szCs w:val="26"/>
            </w:rPr>
          </w:pPr>
          <w:r w:rsidRPr="002D01AB">
            <w:rPr>
              <w:b/>
              <w:bCs/>
              <w:w w:val="103"/>
              <w:szCs w:val="26"/>
            </w:rPr>
            <w:fldChar w:fldCharType="begin"/>
          </w:r>
          <w:r w:rsidRPr="002D01AB">
            <w:rPr>
              <w:b/>
              <w:bCs/>
              <w:w w:val="103"/>
              <w:szCs w:val="26"/>
            </w:rPr>
            <w:instrText xml:space="preserve"> DOCVARIABLE "sss1" \* MERGEFORMAT </w:instrText>
          </w:r>
          <w:r w:rsidRPr="002D01AB">
            <w:rPr>
              <w:b/>
              <w:bCs/>
              <w:w w:val="103"/>
              <w:szCs w:val="26"/>
            </w:rPr>
            <w:fldChar w:fldCharType="separate"/>
          </w:r>
          <w:r w:rsidR="00924374">
            <w:rPr>
              <w:b/>
              <w:bCs/>
              <w:w w:val="103"/>
              <w:szCs w:val="26"/>
            </w:rPr>
            <w:t>ECE/TRANS/WP.15/AC.2/2016/22</w:t>
          </w:r>
          <w:r w:rsidRPr="002D01AB">
            <w:rPr>
              <w:b/>
              <w:bCs/>
              <w:w w:val="103"/>
              <w:szCs w:val="26"/>
            </w:rPr>
            <w:fldChar w:fldCharType="end"/>
          </w:r>
        </w:p>
      </w:tc>
    </w:tr>
  </w:tbl>
  <w:p w:rsidR="002D01AB" w:rsidRPr="002D01AB" w:rsidRDefault="002D01AB" w:rsidP="002D0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D01AB" w:rsidTr="00E04071">
      <w:trPr>
        <w:trHeight w:hRule="exact" w:val="864"/>
        <w:jc w:val="center"/>
      </w:trPr>
      <w:tc>
        <w:tcPr>
          <w:tcW w:w="4882" w:type="dxa"/>
          <w:shd w:val="clear" w:color="auto" w:fill="auto"/>
          <w:vAlign w:val="bottom"/>
        </w:tcPr>
        <w:p w:rsidR="002D01AB" w:rsidRPr="00E04071" w:rsidRDefault="002D01AB" w:rsidP="00E04071">
          <w:pPr>
            <w:pStyle w:val="Header"/>
            <w:spacing w:after="80"/>
            <w:rPr>
              <w:b/>
            </w:rPr>
          </w:pPr>
          <w:r>
            <w:rPr>
              <w:b/>
            </w:rPr>
            <w:fldChar w:fldCharType="begin"/>
          </w:r>
          <w:r>
            <w:rPr>
              <w:b/>
            </w:rPr>
            <w:instrText xml:space="preserve"> DOCVARIABLE "sss1" \* MERGEFORMAT </w:instrText>
          </w:r>
          <w:r>
            <w:rPr>
              <w:b/>
            </w:rPr>
            <w:fldChar w:fldCharType="separate"/>
          </w:r>
          <w:r w:rsidR="00924374">
            <w:rPr>
              <w:b/>
            </w:rPr>
            <w:t>ECE/TRANS/WP.15/AC.2/2016/22</w:t>
          </w:r>
          <w:r>
            <w:rPr>
              <w:b/>
            </w:rPr>
            <w:fldChar w:fldCharType="end"/>
          </w:r>
        </w:p>
      </w:tc>
      <w:tc>
        <w:tcPr>
          <w:tcW w:w="5127" w:type="dxa"/>
          <w:shd w:val="clear" w:color="auto" w:fill="auto"/>
          <w:vAlign w:val="bottom"/>
        </w:tcPr>
        <w:p w:rsidR="002D01AB" w:rsidRDefault="002D01AB" w:rsidP="00E04071">
          <w:pPr>
            <w:pStyle w:val="Header"/>
          </w:pPr>
        </w:p>
      </w:tc>
    </w:tr>
  </w:tbl>
  <w:p w:rsidR="002D01AB" w:rsidRPr="00E04071" w:rsidRDefault="002D01AB" w:rsidP="00E04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D01AB" w:rsidTr="00E04071">
      <w:trPr>
        <w:trHeight w:hRule="exact" w:val="864"/>
        <w:jc w:val="center"/>
      </w:trPr>
      <w:tc>
        <w:tcPr>
          <w:tcW w:w="4882" w:type="dxa"/>
          <w:shd w:val="clear" w:color="auto" w:fill="auto"/>
          <w:vAlign w:val="bottom"/>
        </w:tcPr>
        <w:p w:rsidR="002D01AB" w:rsidRDefault="002D01AB" w:rsidP="00E04071">
          <w:pPr>
            <w:pStyle w:val="Header"/>
          </w:pPr>
        </w:p>
      </w:tc>
      <w:tc>
        <w:tcPr>
          <w:tcW w:w="5127" w:type="dxa"/>
          <w:shd w:val="clear" w:color="auto" w:fill="auto"/>
          <w:vAlign w:val="bottom"/>
        </w:tcPr>
        <w:p w:rsidR="002D01AB" w:rsidRPr="00E04071" w:rsidRDefault="002D01AB" w:rsidP="00E04071">
          <w:pPr>
            <w:pStyle w:val="Header"/>
            <w:spacing w:after="80"/>
            <w:jc w:val="right"/>
            <w:rPr>
              <w:b/>
            </w:rPr>
          </w:pPr>
          <w:r>
            <w:rPr>
              <w:b/>
            </w:rPr>
            <w:fldChar w:fldCharType="begin"/>
          </w:r>
          <w:r>
            <w:rPr>
              <w:b/>
            </w:rPr>
            <w:instrText xml:space="preserve"> DOCVARIABLE "sss1" \* MERGEFORMAT </w:instrText>
          </w:r>
          <w:r>
            <w:rPr>
              <w:b/>
            </w:rPr>
            <w:fldChar w:fldCharType="separate"/>
          </w:r>
          <w:r w:rsidR="00924374">
            <w:rPr>
              <w:b/>
            </w:rPr>
            <w:t>ECE/TRANS/WP.15/AC.2/2016/22</w:t>
          </w:r>
          <w:r>
            <w:rPr>
              <w:b/>
            </w:rPr>
            <w:fldChar w:fldCharType="end"/>
          </w:r>
        </w:p>
      </w:tc>
    </w:tr>
  </w:tbl>
  <w:p w:rsidR="002D01AB" w:rsidRPr="00E04071" w:rsidRDefault="002D01AB" w:rsidP="00E0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353*"/>
    <w:docVar w:name="CreationDt" w:val="11/20/2015 3:35: PM"/>
    <w:docVar w:name="DocCategory" w:val="Doc"/>
    <w:docVar w:name="DocType" w:val="Final"/>
    <w:docVar w:name="DutyStation" w:val="Geneva"/>
    <w:docVar w:name="FooterJN" w:val="GE.15-19353"/>
    <w:docVar w:name="jobn" w:val="GE.15-19353 (E)"/>
    <w:docVar w:name="jobnDT" w:val="GE.15-19353 (E)   201115"/>
    <w:docVar w:name="jobnDTDT" w:val="GE. 15-19353 (E)   201115   201115"/>
    <w:docVar w:name="JobNo" w:val="GE.1519353E"/>
    <w:docVar w:name="JobNo2" w:val="1525140E"/>
    <w:docVar w:name="LocalDrive" w:val="0"/>
    <w:docVar w:name="OandT" w:val="HLM"/>
    <w:docVar w:name="PaperSize" w:val="A4"/>
    <w:docVar w:name="sss1" w:val="ECE/TRANS/WP.15/AC.2/2016/22"/>
    <w:docVar w:name="sss2" w:val="-"/>
    <w:docVar w:name="Symbol1" w:val="ECE/TRANS/WP.15/AC.2/2016/22"/>
    <w:docVar w:name="Symbol2" w:val="-"/>
  </w:docVars>
  <w:rsids>
    <w:rsidRoot w:val="00CE34A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646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6969"/>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6C8"/>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E7F3E"/>
    <w:rsid w:val="001F2BDA"/>
    <w:rsid w:val="001F2E45"/>
    <w:rsid w:val="001F39BA"/>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25E1"/>
    <w:rsid w:val="00253D26"/>
    <w:rsid w:val="00254277"/>
    <w:rsid w:val="002549C4"/>
    <w:rsid w:val="00255264"/>
    <w:rsid w:val="00256A49"/>
    <w:rsid w:val="0025759D"/>
    <w:rsid w:val="00261D48"/>
    <w:rsid w:val="00261FDB"/>
    <w:rsid w:val="00264279"/>
    <w:rsid w:val="002665CB"/>
    <w:rsid w:val="00270583"/>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1AB"/>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64B7"/>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C7B61"/>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370DB"/>
    <w:rsid w:val="004411C5"/>
    <w:rsid w:val="00441580"/>
    <w:rsid w:val="00441EF4"/>
    <w:rsid w:val="004423AB"/>
    <w:rsid w:val="00443A4A"/>
    <w:rsid w:val="00444725"/>
    <w:rsid w:val="004472AD"/>
    <w:rsid w:val="00447DF5"/>
    <w:rsid w:val="004534DF"/>
    <w:rsid w:val="0045397A"/>
    <w:rsid w:val="00453E64"/>
    <w:rsid w:val="00455CD0"/>
    <w:rsid w:val="00457ADA"/>
    <w:rsid w:val="004677E2"/>
    <w:rsid w:val="00470EE0"/>
    <w:rsid w:val="00475672"/>
    <w:rsid w:val="0047572C"/>
    <w:rsid w:val="004774B3"/>
    <w:rsid w:val="00477F9F"/>
    <w:rsid w:val="004818A0"/>
    <w:rsid w:val="004831A5"/>
    <w:rsid w:val="00485B77"/>
    <w:rsid w:val="00485F8B"/>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894"/>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52C"/>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2585F"/>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50B0"/>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1E20"/>
    <w:rsid w:val="00762A8D"/>
    <w:rsid w:val="0076370D"/>
    <w:rsid w:val="0076482E"/>
    <w:rsid w:val="00764988"/>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374"/>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2026"/>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35CB"/>
    <w:rsid w:val="009F68B5"/>
    <w:rsid w:val="009F75F1"/>
    <w:rsid w:val="009F79AF"/>
    <w:rsid w:val="00A04347"/>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0384"/>
    <w:rsid w:val="00A719F9"/>
    <w:rsid w:val="00A71BB0"/>
    <w:rsid w:val="00A74979"/>
    <w:rsid w:val="00A7696A"/>
    <w:rsid w:val="00A769C4"/>
    <w:rsid w:val="00A77231"/>
    <w:rsid w:val="00A7736C"/>
    <w:rsid w:val="00A77FFB"/>
    <w:rsid w:val="00A81690"/>
    <w:rsid w:val="00A822E9"/>
    <w:rsid w:val="00A83C88"/>
    <w:rsid w:val="00A850B7"/>
    <w:rsid w:val="00A90C30"/>
    <w:rsid w:val="00A9192E"/>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9A4"/>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6A1F"/>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241"/>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5566"/>
    <w:rsid w:val="00CA605D"/>
    <w:rsid w:val="00CA72F7"/>
    <w:rsid w:val="00CB0E45"/>
    <w:rsid w:val="00CB1B5C"/>
    <w:rsid w:val="00CB2F01"/>
    <w:rsid w:val="00CB586B"/>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4A6"/>
    <w:rsid w:val="00CE3C21"/>
    <w:rsid w:val="00CF08B0"/>
    <w:rsid w:val="00CF2576"/>
    <w:rsid w:val="00CF5802"/>
    <w:rsid w:val="00CF734C"/>
    <w:rsid w:val="00D048A7"/>
    <w:rsid w:val="00D05C08"/>
    <w:rsid w:val="00D13BFB"/>
    <w:rsid w:val="00D151CD"/>
    <w:rsid w:val="00D16C00"/>
    <w:rsid w:val="00D20003"/>
    <w:rsid w:val="00D21FB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071"/>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29E8"/>
    <w:rsid w:val="00E43688"/>
    <w:rsid w:val="00E4452B"/>
    <w:rsid w:val="00E45616"/>
    <w:rsid w:val="00E456C6"/>
    <w:rsid w:val="00E46DC1"/>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85"/>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4C15"/>
    <w:rsid w:val="00F16A17"/>
    <w:rsid w:val="00F1709B"/>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3CDB"/>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4071"/>
    <w:pPr>
      <w:spacing w:line="240" w:lineRule="auto"/>
    </w:pPr>
  </w:style>
  <w:style w:type="character" w:customStyle="1" w:styleId="CommentTextChar">
    <w:name w:val="Comment Text Char"/>
    <w:basedOn w:val="DefaultParagraphFont"/>
    <w:link w:val="CommentText"/>
    <w:rsid w:val="00E04071"/>
    <w:rPr>
      <w:spacing w:val="4"/>
      <w:w w:val="103"/>
      <w:kern w:val="14"/>
      <w:lang w:val="en-GB"/>
    </w:rPr>
  </w:style>
  <w:style w:type="paragraph" w:styleId="CommentSubject">
    <w:name w:val="annotation subject"/>
    <w:basedOn w:val="CommentText"/>
    <w:next w:val="CommentText"/>
    <w:link w:val="CommentSubjectChar"/>
    <w:rsid w:val="00E04071"/>
    <w:rPr>
      <w:b/>
      <w:bCs/>
    </w:rPr>
  </w:style>
  <w:style w:type="character" w:customStyle="1" w:styleId="CommentSubjectChar">
    <w:name w:val="Comment Subject Char"/>
    <w:basedOn w:val="CommentTextChar"/>
    <w:link w:val="CommentSubject"/>
    <w:rsid w:val="00E04071"/>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4071"/>
    <w:pPr>
      <w:spacing w:line="240" w:lineRule="auto"/>
    </w:pPr>
  </w:style>
  <w:style w:type="character" w:customStyle="1" w:styleId="CommentTextChar">
    <w:name w:val="Comment Text Char"/>
    <w:basedOn w:val="DefaultParagraphFont"/>
    <w:link w:val="CommentText"/>
    <w:rsid w:val="00E04071"/>
    <w:rPr>
      <w:spacing w:val="4"/>
      <w:w w:val="103"/>
      <w:kern w:val="14"/>
      <w:lang w:val="en-GB"/>
    </w:rPr>
  </w:style>
  <w:style w:type="paragraph" w:styleId="CommentSubject">
    <w:name w:val="annotation subject"/>
    <w:basedOn w:val="CommentText"/>
    <w:next w:val="CommentText"/>
    <w:link w:val="CommentSubjectChar"/>
    <w:rsid w:val="00E04071"/>
    <w:rPr>
      <w:b/>
      <w:bCs/>
    </w:rPr>
  </w:style>
  <w:style w:type="character" w:customStyle="1" w:styleId="CommentSubjectChar">
    <w:name w:val="Comment Subject Char"/>
    <w:basedOn w:val="CommentTextChar"/>
    <w:link w:val="CommentSubject"/>
    <w:rsid w:val="00E04071"/>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646B-9412-4E32-B151-04D7320B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Morris Helen</dc:creator>
  <cp:lastModifiedBy>Caillot</cp:lastModifiedBy>
  <cp:revision>2</cp:revision>
  <cp:lastPrinted>2015-11-23T13:04:00Z</cp:lastPrinted>
  <dcterms:created xsi:type="dcterms:W3CDTF">2015-12-14T11:02:00Z</dcterms:created>
  <dcterms:modified xsi:type="dcterms:W3CDTF">2015-12-14T11:02:00Z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1519353</vt:lpwstr>
  </property>
  <property fmtid="{D5CDD505-2E9C-101B-9397-08002B2CF9AE}" pid="3" name="ODSRefJobNo">
    <vt:lpwstr>1525140E</vt:lpwstr>
  </property>
  <property fmtid="{D5CDD505-2E9C-101B-9397-08002B2CF9AE}" pid="4" name="Symbol1">
    <vt:lpwstr>ECE/TRANS/WP.15/AC.2/2016/22</vt:lpwstr>
  </property>
  <property fmtid="{D5CDD505-2E9C-101B-9397-08002B2CF9AE}" pid="5" name="Symbol2">
    <vt:lpwstr/>
  </property>
  <property fmtid="{D5CDD505-2E9C-101B-9397-08002B2CF9AE}" pid="6" name="Translator">
    <vt:lpwstr/>
  </property>
  <property fmtid="{D5CDD505-2E9C-101B-9397-08002B2CF9AE}" pid="7" name="Operator">
    <vt:lpwstr>HLM</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November 2015</vt:lpwstr>
  </property>
  <property fmtid="{D5CDD505-2E9C-101B-9397-08002B2CF9AE}" pid="12" name="Original">
    <vt:lpwstr>French</vt:lpwstr>
  </property>
  <property fmtid="{D5CDD505-2E9C-101B-9397-08002B2CF9AE}" pid="13" name="Release Date">
    <vt:lpwstr>201115</vt:lpwstr>
  </property>
</Properties>
</file>