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4" w:rsidRPr="002E0EE4" w:rsidRDefault="002E0EE4" w:rsidP="002E0EE4">
      <w:pPr>
        <w:suppressAutoHyphens w:val="0"/>
        <w:spacing w:line="240" w:lineRule="auto"/>
        <w:ind w:left="5387" w:right="-286"/>
        <w:outlineLvl w:val="0"/>
        <w:rPr>
          <w:rFonts w:ascii="Arial" w:hAnsi="Arial"/>
          <w:lang w:val="fr-FR" w:bidi="fr-FR"/>
        </w:rPr>
      </w:pPr>
      <w:r w:rsidRPr="002E0EE4">
        <w:rPr>
          <w:noProof/>
          <w:snapToGrid/>
          <w:lang w:val="fr-FR"/>
        </w:rPr>
        <w:drawing>
          <wp:anchor distT="0" distB="0" distL="114300" distR="114300" simplePos="0" relativeHeight="251659776" behindDoc="0" locked="0" layoutInCell="1" allowOverlap="1" wp14:anchorId="2FFC22A7" wp14:editId="76CA2227">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EE4">
        <w:rPr>
          <w:rFonts w:ascii="Arial" w:eastAsia="Arial" w:hAnsi="Arial" w:cs="Arial"/>
          <w:bCs/>
          <w:snapToGrid/>
          <w:szCs w:val="24"/>
          <w:lang w:val="fr-FR" w:eastAsia="de-DE"/>
        </w:rPr>
        <w:t>CCNR-ZKR/ADN/WP.15/AC.2/2016/</w:t>
      </w:r>
      <w:r w:rsidR="000E247A">
        <w:rPr>
          <w:rFonts w:ascii="Arial" w:eastAsia="Arial" w:hAnsi="Arial" w:cs="Arial"/>
          <w:bCs/>
          <w:snapToGrid/>
          <w:szCs w:val="24"/>
          <w:lang w:val="fr-FR" w:eastAsia="de-DE"/>
        </w:rPr>
        <w:t>18</w:t>
      </w:r>
    </w:p>
    <w:p w:rsidR="002E0EE4" w:rsidRPr="002E0EE4" w:rsidRDefault="002E0EE4" w:rsidP="002E0EE4">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2E0EE4" w:rsidRPr="002E0EE4" w:rsidRDefault="00982B50" w:rsidP="002E0EE4">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3</w:t>
      </w:r>
      <w:r w:rsidR="002E0EE4" w:rsidRPr="002E0EE4">
        <w:rPr>
          <w:rFonts w:ascii="Arial" w:eastAsia="Arial" w:hAnsi="Arial" w:cs="Arial"/>
          <w:snapToGrid/>
          <w:szCs w:val="24"/>
          <w:lang w:val="de-DE" w:eastAsia="de-DE"/>
        </w:rPr>
        <w:t xml:space="preserve">. </w:t>
      </w:r>
      <w:r>
        <w:rPr>
          <w:rFonts w:ascii="Arial" w:eastAsia="Arial" w:hAnsi="Arial" w:cs="Arial"/>
          <w:snapToGrid/>
          <w:szCs w:val="24"/>
          <w:lang w:val="de-DE" w:eastAsia="de-DE"/>
        </w:rPr>
        <w:t>November</w:t>
      </w:r>
      <w:r w:rsidR="002E0EE4" w:rsidRPr="002E0EE4">
        <w:rPr>
          <w:rFonts w:ascii="Arial" w:eastAsia="Arial" w:hAnsi="Arial" w:cs="Arial"/>
          <w:snapToGrid/>
          <w:szCs w:val="24"/>
          <w:lang w:val="de-DE" w:eastAsia="de-DE"/>
        </w:rPr>
        <w:t xml:space="preserve"> 2015</w:t>
      </w:r>
    </w:p>
    <w:p w:rsidR="002E0EE4" w:rsidRPr="002E0EE4" w:rsidRDefault="002E0EE4" w:rsidP="002E0EE4">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2E0EE4" w:rsidRPr="002E0EE4" w:rsidRDefault="002E0EE4" w:rsidP="002E0EE4">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2E0EE4" w:rsidRPr="002E0EE4" w:rsidRDefault="002E0EE4" w:rsidP="002E0EE4">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(2</w:t>
      </w:r>
      <w:r>
        <w:rPr>
          <w:rFonts w:ascii="Arial" w:hAnsi="Arial"/>
          <w:sz w:val="16"/>
          <w:szCs w:val="24"/>
          <w:lang w:val="de-DE"/>
        </w:rPr>
        <w:t>8</w:t>
      </w:r>
      <w:r w:rsidRPr="002E0EE4">
        <w:rPr>
          <w:rFonts w:ascii="Arial" w:hAnsi="Arial"/>
          <w:sz w:val="16"/>
          <w:szCs w:val="24"/>
          <w:lang w:val="de-DE"/>
        </w:rPr>
        <w:t xml:space="preserve">. </w:t>
      </w:r>
      <w:r w:rsidRPr="002E0EE4">
        <w:rPr>
          <w:rFonts w:ascii="Arial" w:hAnsi="Arial"/>
          <w:noProof/>
          <w:sz w:val="16"/>
          <w:szCs w:val="24"/>
          <w:lang w:val="de-DE"/>
        </w:rPr>
        <w:t>Tagung, Genf, 25. bis 29. Januar 2016)</w:t>
      </w:r>
    </w:p>
    <w:p w:rsidR="002E0EE4" w:rsidRDefault="002E0EE4" w:rsidP="002E0EE4">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982B50">
        <w:rPr>
          <w:rFonts w:ascii="Arial" w:hAnsi="Arial" w:cs="Arial"/>
          <w:snapToGrid/>
          <w:sz w:val="16"/>
          <w:szCs w:val="16"/>
          <w:lang w:val="de-DE" w:eastAsia="en-US"/>
        </w:rPr>
        <w:t>5 b</w:t>
      </w:r>
      <w:r w:rsidRPr="002E0EE4">
        <w:rPr>
          <w:rFonts w:ascii="Arial" w:hAnsi="Arial" w:cs="Arial"/>
          <w:snapToGrid/>
          <w:sz w:val="16"/>
          <w:szCs w:val="16"/>
          <w:lang w:val="de-DE" w:eastAsia="en-US"/>
        </w:rPr>
        <w:t>) zur vorläufigen Tagesordnung</w:t>
      </w:r>
    </w:p>
    <w:p w:rsidR="00D06F78" w:rsidRPr="00D06F78" w:rsidRDefault="00D06F78" w:rsidP="00D06F78">
      <w:pPr>
        <w:tabs>
          <w:tab w:val="left" w:pos="2977"/>
        </w:tabs>
        <w:suppressAutoHyphens w:val="0"/>
        <w:spacing w:line="240" w:lineRule="auto"/>
        <w:ind w:left="3969" w:right="-2"/>
        <w:rPr>
          <w:rFonts w:ascii="Arial" w:hAnsi="Arial" w:cs="Arial"/>
          <w:b/>
          <w:sz w:val="16"/>
          <w:szCs w:val="16"/>
          <w:lang w:val="de-DE"/>
        </w:rPr>
      </w:pPr>
      <w:r w:rsidRPr="00D06F78">
        <w:rPr>
          <w:rFonts w:ascii="Arial" w:hAnsi="Arial" w:cs="Arial"/>
          <w:b/>
          <w:sz w:val="16"/>
          <w:szCs w:val="16"/>
          <w:lang w:val="de-DE"/>
        </w:rPr>
        <w:t>Vorschläge für Änderungen der dem ADN beigefügten Verordnung</w:t>
      </w:r>
    </w:p>
    <w:p w:rsidR="00D06F78" w:rsidRPr="00D06F78" w:rsidRDefault="00D06F78" w:rsidP="00D06F78">
      <w:pPr>
        <w:tabs>
          <w:tab w:val="left" w:pos="2977"/>
        </w:tabs>
        <w:suppressAutoHyphens w:val="0"/>
        <w:spacing w:line="240" w:lineRule="auto"/>
        <w:ind w:left="3969" w:right="-2"/>
        <w:rPr>
          <w:rFonts w:ascii="Arial" w:hAnsi="Arial" w:cs="Arial"/>
          <w:b/>
          <w:sz w:val="16"/>
          <w:szCs w:val="16"/>
          <w:lang w:val="de-DE"/>
        </w:rPr>
      </w:pPr>
      <w:r w:rsidRPr="00D06F78">
        <w:rPr>
          <w:rFonts w:ascii="Arial" w:hAnsi="Arial" w:cs="Arial"/>
          <w:b/>
          <w:sz w:val="16"/>
          <w:szCs w:val="16"/>
          <w:lang w:val="de-DE"/>
        </w:rPr>
        <w:t>Weitere Änderungsvorschläge</w:t>
      </w:r>
    </w:p>
    <w:p w:rsidR="00787CE3" w:rsidRPr="00787CE3" w:rsidRDefault="00787CE3" w:rsidP="00787CE3">
      <w:pPr>
        <w:suppressAutoHyphens w:val="0"/>
        <w:spacing w:line="240" w:lineRule="auto"/>
        <w:rPr>
          <w:rFonts w:ascii="Arial" w:hAnsi="Arial"/>
          <w:szCs w:val="24"/>
          <w:lang w:val="de-DE"/>
        </w:rPr>
      </w:pPr>
    </w:p>
    <w:p w:rsidR="00787CE3" w:rsidRPr="00787CE3" w:rsidRDefault="00787CE3" w:rsidP="00F557DC">
      <w:pPr>
        <w:keepNext/>
        <w:keepLines/>
        <w:tabs>
          <w:tab w:val="right" w:pos="851"/>
        </w:tabs>
        <w:spacing w:before="360" w:after="240" w:line="300" w:lineRule="exact"/>
        <w:ind w:left="1134" w:right="567" w:hanging="1134"/>
        <w:rPr>
          <w:b/>
          <w:snapToGrid/>
          <w:sz w:val="28"/>
          <w:lang w:val="de-DE" w:eastAsia="en-US"/>
        </w:rPr>
      </w:pPr>
      <w:r w:rsidRPr="00787CE3">
        <w:rPr>
          <w:snapToGrid/>
          <w:sz w:val="28"/>
          <w:lang w:val="de-DE" w:eastAsia="en-US"/>
        </w:rPr>
        <w:tab/>
      </w:r>
      <w:r w:rsidRPr="00787CE3">
        <w:rPr>
          <w:snapToGrid/>
          <w:sz w:val="28"/>
          <w:lang w:val="de-DE" w:eastAsia="en-US"/>
        </w:rPr>
        <w:tab/>
      </w:r>
      <w:r w:rsidR="000F2981" w:rsidRPr="0016237E">
        <w:rPr>
          <w:b/>
          <w:bCs/>
          <w:snapToGrid/>
          <w:sz w:val="28"/>
          <w:szCs w:val="24"/>
          <w:lang w:val="de-DE"/>
        </w:rPr>
        <w:t xml:space="preserve">Abschnitt 1.4.3 ADN, Pflichten des </w:t>
      </w:r>
      <w:proofErr w:type="spellStart"/>
      <w:r w:rsidR="000F2981" w:rsidRPr="0016237E">
        <w:rPr>
          <w:b/>
          <w:bCs/>
          <w:snapToGrid/>
          <w:sz w:val="28"/>
          <w:szCs w:val="24"/>
          <w:lang w:val="de-DE"/>
        </w:rPr>
        <w:t>Befüllers</w:t>
      </w:r>
      <w:proofErr w:type="spellEnd"/>
      <w:r w:rsidR="000F2981" w:rsidRPr="0016237E">
        <w:rPr>
          <w:b/>
          <w:bCs/>
          <w:snapToGrid/>
          <w:sz w:val="28"/>
          <w:szCs w:val="24"/>
          <w:lang w:val="de-DE"/>
        </w:rPr>
        <w:t xml:space="preserve"> und des Entladers</w:t>
      </w:r>
    </w:p>
    <w:p w:rsidR="00787CE3" w:rsidRPr="00787CE3" w:rsidRDefault="00787CE3" w:rsidP="00787CE3">
      <w:pPr>
        <w:keepNext/>
        <w:keepLines/>
        <w:tabs>
          <w:tab w:val="right" w:pos="851"/>
        </w:tabs>
        <w:spacing w:before="360" w:after="240" w:line="270" w:lineRule="exact"/>
        <w:ind w:left="1134" w:right="1134" w:hanging="1134"/>
        <w:rPr>
          <w:b/>
          <w:snapToGrid/>
          <w:sz w:val="24"/>
          <w:lang w:val="de-DE" w:eastAsia="en-US"/>
        </w:rPr>
      </w:pPr>
      <w:r w:rsidRPr="00787CE3">
        <w:rPr>
          <w:b/>
          <w:snapToGrid/>
          <w:sz w:val="24"/>
          <w:lang w:val="de-DE" w:eastAsia="en-US"/>
        </w:rPr>
        <w:tab/>
      </w:r>
      <w:r w:rsidRPr="00787CE3">
        <w:rPr>
          <w:b/>
          <w:snapToGrid/>
          <w:sz w:val="24"/>
          <w:lang w:val="de-DE" w:eastAsia="en-US"/>
        </w:rPr>
        <w:tab/>
        <w:t>Vorgelegt von Deutschland,</w:t>
      </w:r>
      <w:r w:rsidRPr="00787CE3">
        <w:rPr>
          <w:b/>
          <w:snapToGrid/>
          <w:sz w:val="24"/>
          <w:vertAlign w:val="superscript"/>
          <w:lang w:val="de-DE" w:eastAsia="en-US"/>
        </w:rPr>
        <w:footnoteReference w:id="2"/>
      </w:r>
    </w:p>
    <w:p w:rsidR="0016237E" w:rsidRPr="0016237E" w:rsidRDefault="0016237E" w:rsidP="000F2981">
      <w:pPr>
        <w:widowControl w:val="0"/>
        <w:suppressAutoHyphens w:val="0"/>
        <w:overflowPunct w:val="0"/>
        <w:autoSpaceDE w:val="0"/>
        <w:autoSpaceDN w:val="0"/>
        <w:adjustRightInd w:val="0"/>
        <w:ind w:left="1134" w:hanging="1134"/>
        <w:jc w:val="both"/>
        <w:textAlignment w:val="baseline"/>
        <w:rPr>
          <w:snapToGrid/>
          <w:lang w:val="de-D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16237E" w:rsidRPr="0016237E" w:rsidTr="0089694E">
        <w:trPr>
          <w:jc w:val="center"/>
        </w:trPr>
        <w:tc>
          <w:tcPr>
            <w:tcW w:w="2330" w:type="dxa"/>
          </w:tcPr>
          <w:p w:rsidR="0016237E" w:rsidRPr="0016237E" w:rsidRDefault="0016237E" w:rsidP="000F2981">
            <w:pPr>
              <w:widowControl w:val="0"/>
              <w:tabs>
                <w:tab w:val="left" w:pos="284"/>
              </w:tabs>
              <w:suppressAutoHyphens w:val="0"/>
              <w:overflowPunct w:val="0"/>
              <w:autoSpaceDE w:val="0"/>
              <w:autoSpaceDN w:val="0"/>
              <w:adjustRightInd w:val="0"/>
              <w:spacing w:before="60" w:after="60"/>
              <w:ind w:left="1134" w:hanging="1134"/>
              <w:jc w:val="both"/>
              <w:textAlignment w:val="baseline"/>
              <w:rPr>
                <w:snapToGrid/>
                <w:lang w:val="de-DE" w:eastAsia="en-US"/>
              </w:rPr>
            </w:pPr>
            <w:r w:rsidRPr="0016237E">
              <w:rPr>
                <w:rFonts w:eastAsia="Arial"/>
                <w:i/>
                <w:snapToGrid/>
                <w:sz w:val="24"/>
                <w:lang w:val="de-DE" w:eastAsia="en-US"/>
              </w:rPr>
              <w:t>Zusammenfassung</w:t>
            </w:r>
          </w:p>
        </w:tc>
        <w:tc>
          <w:tcPr>
            <w:tcW w:w="7309" w:type="dxa"/>
          </w:tcPr>
          <w:p w:rsidR="0016237E" w:rsidRPr="0016237E" w:rsidRDefault="0016237E" w:rsidP="000F2981">
            <w:pPr>
              <w:widowControl w:val="0"/>
              <w:suppressAutoHyphens w:val="0"/>
              <w:overflowPunct w:val="0"/>
              <w:autoSpaceDE w:val="0"/>
              <w:autoSpaceDN w:val="0"/>
              <w:adjustRightInd w:val="0"/>
              <w:spacing w:before="60" w:after="60"/>
              <w:ind w:left="1134" w:hanging="1134"/>
              <w:jc w:val="both"/>
              <w:textAlignment w:val="baseline"/>
              <w:rPr>
                <w:snapToGrid/>
                <w:lang w:val="de-DE" w:eastAsia="en-US"/>
              </w:rPr>
            </w:pPr>
          </w:p>
        </w:tc>
      </w:tr>
      <w:tr w:rsidR="0016237E" w:rsidRPr="00FB6683" w:rsidTr="0089694E">
        <w:trPr>
          <w:jc w:val="center"/>
        </w:trPr>
        <w:tc>
          <w:tcPr>
            <w:tcW w:w="2330" w:type="dxa"/>
          </w:tcPr>
          <w:p w:rsidR="0016237E" w:rsidRPr="0016237E" w:rsidRDefault="0016237E" w:rsidP="000F2981">
            <w:pPr>
              <w:widowControl w:val="0"/>
              <w:tabs>
                <w:tab w:val="left" w:pos="284"/>
              </w:tabs>
              <w:suppressAutoHyphens w:val="0"/>
              <w:overflowPunct w:val="0"/>
              <w:autoSpaceDE w:val="0"/>
              <w:autoSpaceDN w:val="0"/>
              <w:adjustRightInd w:val="0"/>
              <w:spacing w:before="60" w:after="60"/>
              <w:ind w:left="1134" w:hanging="1134"/>
              <w:textAlignment w:val="baseline"/>
              <w:rPr>
                <w:b/>
                <w:snapToGrid/>
                <w:lang w:val="de-DE" w:eastAsia="en-US"/>
              </w:rPr>
            </w:pPr>
            <w:r w:rsidRPr="0016237E">
              <w:rPr>
                <w:b/>
                <w:snapToGrid/>
                <w:lang w:val="de-DE" w:eastAsia="en-US"/>
              </w:rPr>
              <w:t>Analytische</w:t>
            </w:r>
          </w:p>
          <w:p w:rsidR="0016237E" w:rsidRPr="0016237E" w:rsidRDefault="0016237E" w:rsidP="000F2981">
            <w:pPr>
              <w:widowControl w:val="0"/>
              <w:tabs>
                <w:tab w:val="left" w:pos="284"/>
              </w:tabs>
              <w:suppressAutoHyphens w:val="0"/>
              <w:overflowPunct w:val="0"/>
              <w:autoSpaceDE w:val="0"/>
              <w:autoSpaceDN w:val="0"/>
              <w:adjustRightInd w:val="0"/>
              <w:spacing w:before="60" w:after="60"/>
              <w:ind w:left="1134" w:hanging="1134"/>
              <w:textAlignment w:val="baseline"/>
              <w:rPr>
                <w:snapToGrid/>
                <w:lang w:val="de-DE" w:eastAsia="en-US"/>
              </w:rPr>
            </w:pPr>
            <w:r w:rsidRPr="0016237E">
              <w:rPr>
                <w:b/>
                <w:snapToGrid/>
                <w:lang w:val="de-DE" w:eastAsia="en-US"/>
              </w:rPr>
              <w:t>Zusammenfassung:</w:t>
            </w:r>
          </w:p>
        </w:tc>
        <w:tc>
          <w:tcPr>
            <w:tcW w:w="7309" w:type="dxa"/>
          </w:tcPr>
          <w:p w:rsidR="0016237E" w:rsidRPr="0016237E" w:rsidRDefault="0016237E" w:rsidP="00D06F78">
            <w:pPr>
              <w:widowControl w:val="0"/>
              <w:suppressAutoHyphens w:val="0"/>
              <w:overflowPunct w:val="0"/>
              <w:autoSpaceDE w:val="0"/>
              <w:autoSpaceDN w:val="0"/>
              <w:adjustRightInd w:val="0"/>
              <w:spacing w:before="60" w:after="60"/>
              <w:ind w:left="11"/>
              <w:jc w:val="both"/>
              <w:textAlignment w:val="baseline"/>
              <w:rPr>
                <w:snapToGrid/>
                <w:lang w:val="de-DE" w:eastAsia="en-US"/>
              </w:rPr>
            </w:pPr>
            <w:r w:rsidRPr="0016237E">
              <w:rPr>
                <w:rFonts w:cs="Arial"/>
                <w:snapToGrid/>
                <w:sz w:val="22"/>
                <w:szCs w:val="18"/>
                <w:lang w:val="de-DE"/>
              </w:rPr>
              <w:t>Die Vorschriften bezüglich der Berechnung und Beachtung der in den Absätzen 9.3.2.25.9 und 9.3.3.25.9</w:t>
            </w:r>
            <w:r w:rsidRPr="0016237E">
              <w:rPr>
                <w:rFonts w:ascii="Arial" w:hAnsi="Arial"/>
                <w:snapToGrid/>
                <w:sz w:val="24"/>
                <w:szCs w:val="18"/>
                <w:lang w:val="de-DE"/>
              </w:rPr>
              <w:t xml:space="preserve"> </w:t>
            </w:r>
            <w:r w:rsidRPr="0016237E">
              <w:rPr>
                <w:rFonts w:cs="Arial"/>
                <w:snapToGrid/>
                <w:sz w:val="22"/>
                <w:szCs w:val="18"/>
                <w:lang w:val="de-DE"/>
              </w:rPr>
              <w:t>beschriebenen zulässigen Lade- und Löschraten sind ungenau und zu unbestimmt formuliert.</w:t>
            </w:r>
          </w:p>
        </w:tc>
      </w:tr>
      <w:tr w:rsidR="0016237E" w:rsidRPr="00FB6683" w:rsidTr="0089694E">
        <w:trPr>
          <w:jc w:val="center"/>
        </w:trPr>
        <w:tc>
          <w:tcPr>
            <w:tcW w:w="2330" w:type="dxa"/>
          </w:tcPr>
          <w:p w:rsidR="0016237E" w:rsidRPr="0016237E" w:rsidRDefault="0016237E" w:rsidP="000F2981">
            <w:pPr>
              <w:widowControl w:val="0"/>
              <w:tabs>
                <w:tab w:val="left" w:pos="284"/>
              </w:tabs>
              <w:suppressAutoHyphens w:val="0"/>
              <w:overflowPunct w:val="0"/>
              <w:autoSpaceDE w:val="0"/>
              <w:autoSpaceDN w:val="0"/>
              <w:adjustRightInd w:val="0"/>
              <w:spacing w:before="60" w:after="60"/>
              <w:ind w:left="1134" w:hanging="1134"/>
              <w:textAlignment w:val="baseline"/>
              <w:rPr>
                <w:b/>
                <w:snapToGrid/>
                <w:lang w:val="de-DE" w:eastAsia="en-US"/>
              </w:rPr>
            </w:pPr>
            <w:r w:rsidRPr="0016237E">
              <w:rPr>
                <w:b/>
                <w:snapToGrid/>
                <w:lang w:val="de-DE" w:eastAsia="en-US"/>
              </w:rPr>
              <w:t>Zu ergreifende</w:t>
            </w:r>
          </w:p>
          <w:p w:rsidR="0016237E" w:rsidRPr="0016237E" w:rsidRDefault="0016237E" w:rsidP="000F2981">
            <w:pPr>
              <w:widowControl w:val="0"/>
              <w:tabs>
                <w:tab w:val="left" w:pos="284"/>
              </w:tabs>
              <w:suppressAutoHyphens w:val="0"/>
              <w:overflowPunct w:val="0"/>
              <w:autoSpaceDE w:val="0"/>
              <w:autoSpaceDN w:val="0"/>
              <w:adjustRightInd w:val="0"/>
              <w:spacing w:before="60" w:after="60"/>
              <w:ind w:left="1134" w:hanging="1134"/>
              <w:textAlignment w:val="baseline"/>
              <w:rPr>
                <w:b/>
                <w:snapToGrid/>
                <w:lang w:val="de-DE" w:eastAsia="en-US"/>
              </w:rPr>
            </w:pPr>
            <w:r w:rsidRPr="0016237E">
              <w:rPr>
                <w:b/>
                <w:snapToGrid/>
                <w:lang w:val="de-DE" w:eastAsia="en-US"/>
              </w:rPr>
              <w:t>Maßnahme:</w:t>
            </w:r>
          </w:p>
        </w:tc>
        <w:tc>
          <w:tcPr>
            <w:tcW w:w="7309" w:type="dxa"/>
          </w:tcPr>
          <w:p w:rsidR="0016237E" w:rsidRPr="0016237E" w:rsidRDefault="0016237E" w:rsidP="000F2981">
            <w:pPr>
              <w:widowControl w:val="0"/>
              <w:suppressAutoHyphens w:val="0"/>
              <w:overflowPunct w:val="0"/>
              <w:autoSpaceDE w:val="0"/>
              <w:autoSpaceDN w:val="0"/>
              <w:adjustRightInd w:val="0"/>
              <w:spacing w:before="60" w:after="60"/>
              <w:ind w:left="11"/>
              <w:jc w:val="both"/>
              <w:textAlignment w:val="baseline"/>
              <w:rPr>
                <w:rFonts w:cs="Arial"/>
                <w:snapToGrid/>
                <w:sz w:val="22"/>
                <w:szCs w:val="18"/>
                <w:lang w:val="de-DE"/>
              </w:rPr>
            </w:pPr>
            <w:r w:rsidRPr="0016237E">
              <w:rPr>
                <w:rFonts w:cs="Arial"/>
                <w:snapToGrid/>
                <w:sz w:val="22"/>
                <w:szCs w:val="18"/>
                <w:lang w:val="de-DE"/>
              </w:rPr>
              <w:t xml:space="preserve">Änderung der Pflichten in Bezug auf die Beachtung der Lade- und Löschrate in Unterabschnitt 1.4.3.3 für den </w:t>
            </w:r>
            <w:proofErr w:type="spellStart"/>
            <w:r w:rsidRPr="0016237E">
              <w:rPr>
                <w:rFonts w:cs="Arial"/>
                <w:snapToGrid/>
                <w:sz w:val="22"/>
                <w:szCs w:val="18"/>
                <w:lang w:val="de-DE"/>
              </w:rPr>
              <w:t>Befüller</w:t>
            </w:r>
            <w:proofErr w:type="spellEnd"/>
            <w:r w:rsidRPr="0016237E">
              <w:rPr>
                <w:rFonts w:cs="Arial"/>
                <w:snapToGrid/>
                <w:sz w:val="22"/>
                <w:szCs w:val="18"/>
                <w:lang w:val="de-DE"/>
              </w:rPr>
              <w:t xml:space="preserve"> und Absatz 1.4.3.7.1 für den Entlader;</w:t>
            </w:r>
          </w:p>
          <w:p w:rsidR="0016237E" w:rsidRPr="0016237E" w:rsidRDefault="0016237E" w:rsidP="000F2981">
            <w:pPr>
              <w:widowControl w:val="0"/>
              <w:suppressAutoHyphens w:val="0"/>
              <w:overflowPunct w:val="0"/>
              <w:autoSpaceDE w:val="0"/>
              <w:autoSpaceDN w:val="0"/>
              <w:adjustRightInd w:val="0"/>
              <w:spacing w:before="60" w:after="60"/>
              <w:ind w:left="11"/>
              <w:jc w:val="both"/>
              <w:textAlignment w:val="baseline"/>
              <w:rPr>
                <w:rFonts w:cs="Arial"/>
                <w:snapToGrid/>
                <w:sz w:val="22"/>
                <w:szCs w:val="18"/>
                <w:lang w:val="de-DE"/>
              </w:rPr>
            </w:pPr>
            <w:r w:rsidRPr="0016237E">
              <w:rPr>
                <w:rFonts w:cs="Arial"/>
                <w:snapToGrid/>
                <w:sz w:val="22"/>
                <w:szCs w:val="18"/>
                <w:lang w:val="de-DE"/>
              </w:rPr>
              <w:t>Änderung der Angaben im Zulassungszeugnis für Tankschiffe;</w:t>
            </w:r>
          </w:p>
          <w:p w:rsidR="0016237E" w:rsidRPr="0016237E" w:rsidRDefault="0016237E" w:rsidP="000F2981">
            <w:pPr>
              <w:widowControl w:val="0"/>
              <w:suppressAutoHyphens w:val="0"/>
              <w:overflowPunct w:val="0"/>
              <w:autoSpaceDE w:val="0"/>
              <w:autoSpaceDN w:val="0"/>
              <w:adjustRightInd w:val="0"/>
              <w:spacing w:before="60" w:after="60"/>
              <w:ind w:left="11"/>
              <w:jc w:val="both"/>
              <w:textAlignment w:val="baseline"/>
              <w:rPr>
                <w:snapToGrid/>
                <w:lang w:val="de-DE" w:eastAsia="en-US"/>
              </w:rPr>
            </w:pPr>
            <w:r w:rsidRPr="0016237E">
              <w:rPr>
                <w:rFonts w:cs="Arial"/>
                <w:snapToGrid/>
                <w:sz w:val="22"/>
                <w:szCs w:val="18"/>
                <w:lang w:val="de-DE"/>
              </w:rPr>
              <w:t xml:space="preserve">Festlegung, wer die Instruktion über die zulässigen Lade- und Löschraten zu erstellen hat. </w:t>
            </w:r>
          </w:p>
        </w:tc>
      </w:tr>
      <w:tr w:rsidR="0016237E" w:rsidRPr="0016237E" w:rsidTr="0089694E">
        <w:trPr>
          <w:jc w:val="center"/>
        </w:trPr>
        <w:tc>
          <w:tcPr>
            <w:tcW w:w="2330" w:type="dxa"/>
          </w:tcPr>
          <w:p w:rsidR="0016237E" w:rsidRPr="0016237E" w:rsidRDefault="0016237E" w:rsidP="000F2981">
            <w:pPr>
              <w:widowControl w:val="0"/>
              <w:tabs>
                <w:tab w:val="left" w:pos="284"/>
              </w:tabs>
              <w:suppressAutoHyphens w:val="0"/>
              <w:overflowPunct w:val="0"/>
              <w:autoSpaceDE w:val="0"/>
              <w:autoSpaceDN w:val="0"/>
              <w:adjustRightInd w:val="0"/>
              <w:spacing w:before="60" w:after="60"/>
              <w:ind w:left="1134" w:hanging="1134"/>
              <w:textAlignment w:val="baseline"/>
              <w:rPr>
                <w:b/>
                <w:snapToGrid/>
                <w:lang w:val="de-DE" w:eastAsia="en-US"/>
              </w:rPr>
            </w:pPr>
            <w:r w:rsidRPr="0016237E">
              <w:rPr>
                <w:b/>
                <w:snapToGrid/>
                <w:lang w:val="de-DE" w:eastAsia="en-US"/>
              </w:rPr>
              <w:t xml:space="preserve">Verbundene </w:t>
            </w:r>
            <w:r w:rsidRPr="0016237E">
              <w:rPr>
                <w:b/>
                <w:snapToGrid/>
                <w:lang w:val="de-DE" w:eastAsia="en-US"/>
              </w:rPr>
              <w:tab/>
              <w:t>Dokumente:</w:t>
            </w:r>
          </w:p>
        </w:tc>
        <w:tc>
          <w:tcPr>
            <w:tcW w:w="7309" w:type="dxa"/>
          </w:tcPr>
          <w:p w:rsidR="0016237E" w:rsidRPr="0016237E" w:rsidRDefault="0016237E" w:rsidP="000F2981">
            <w:pPr>
              <w:widowControl w:val="0"/>
              <w:suppressAutoHyphens w:val="0"/>
              <w:overflowPunct w:val="0"/>
              <w:autoSpaceDE w:val="0"/>
              <w:autoSpaceDN w:val="0"/>
              <w:adjustRightInd w:val="0"/>
              <w:spacing w:before="60" w:after="60"/>
              <w:ind w:left="1134" w:hanging="1134"/>
              <w:textAlignment w:val="baseline"/>
              <w:rPr>
                <w:snapToGrid/>
                <w:lang w:val="de-DE" w:eastAsia="en-US"/>
              </w:rPr>
            </w:pPr>
            <w:r w:rsidRPr="0016237E">
              <w:rPr>
                <w:snapToGrid/>
                <w:lang w:val="de-DE" w:eastAsia="en-US"/>
              </w:rPr>
              <w:t>Keine</w:t>
            </w:r>
          </w:p>
        </w:tc>
      </w:tr>
    </w:tbl>
    <w:p w:rsidR="0016237E" w:rsidRDefault="0016237E" w:rsidP="000F2981">
      <w:pPr>
        <w:widowControl w:val="0"/>
        <w:tabs>
          <w:tab w:val="left" w:pos="567"/>
        </w:tabs>
        <w:suppressAutoHyphens w:val="0"/>
        <w:overflowPunct w:val="0"/>
        <w:autoSpaceDE w:val="0"/>
        <w:autoSpaceDN w:val="0"/>
        <w:adjustRightInd w:val="0"/>
        <w:ind w:left="1134" w:hanging="1134"/>
        <w:jc w:val="both"/>
        <w:textAlignment w:val="baseline"/>
        <w:rPr>
          <w:rFonts w:ascii="Arial" w:hAnsi="Arial"/>
          <w:b/>
          <w:snapToGrid/>
          <w:sz w:val="24"/>
          <w:szCs w:val="18"/>
          <w:lang w:val="de-DE"/>
        </w:rPr>
      </w:pPr>
    </w:p>
    <w:p w:rsidR="005A685F" w:rsidRDefault="005A685F">
      <w:pPr>
        <w:suppressAutoHyphens w:val="0"/>
        <w:spacing w:line="240" w:lineRule="auto"/>
        <w:rPr>
          <w:b/>
          <w:snapToGrid/>
          <w:sz w:val="24"/>
          <w:szCs w:val="24"/>
          <w:lang w:val="de-DE"/>
        </w:rPr>
      </w:pPr>
    </w:p>
    <w:p w:rsidR="0016237E" w:rsidRPr="0016237E" w:rsidRDefault="0016237E" w:rsidP="000F2981">
      <w:pPr>
        <w:widowControl w:val="0"/>
        <w:tabs>
          <w:tab w:val="left" w:pos="567"/>
        </w:tabs>
        <w:suppressAutoHyphens w:val="0"/>
        <w:overflowPunct w:val="0"/>
        <w:autoSpaceDE w:val="0"/>
        <w:autoSpaceDN w:val="0"/>
        <w:adjustRightInd w:val="0"/>
        <w:ind w:left="1134" w:hanging="1134"/>
        <w:jc w:val="both"/>
        <w:textAlignment w:val="baseline"/>
        <w:rPr>
          <w:b/>
          <w:snapToGrid/>
          <w:sz w:val="24"/>
          <w:szCs w:val="24"/>
          <w:lang w:val="de-DE"/>
        </w:rPr>
      </w:pPr>
      <w:r w:rsidRPr="0016237E">
        <w:rPr>
          <w:b/>
          <w:snapToGrid/>
          <w:sz w:val="24"/>
          <w:szCs w:val="24"/>
          <w:lang w:val="de-DE"/>
        </w:rPr>
        <w:t>Einleitung</w:t>
      </w:r>
    </w:p>
    <w:p w:rsidR="0016237E" w:rsidRPr="0016237E" w:rsidRDefault="0016237E" w:rsidP="000F2981">
      <w:pPr>
        <w:widowControl w:val="0"/>
        <w:tabs>
          <w:tab w:val="left" w:pos="567"/>
        </w:tabs>
        <w:suppressAutoHyphens w:val="0"/>
        <w:overflowPunct w:val="0"/>
        <w:autoSpaceDE w:val="0"/>
        <w:autoSpaceDN w:val="0"/>
        <w:adjustRightInd w:val="0"/>
        <w:ind w:left="1134" w:hanging="1134"/>
        <w:jc w:val="both"/>
        <w:textAlignment w:val="baseline"/>
        <w:rPr>
          <w:b/>
          <w:snapToGrid/>
          <w:sz w:val="22"/>
          <w:szCs w:val="22"/>
          <w:lang w:val="de-DE"/>
        </w:rPr>
      </w:pPr>
    </w:p>
    <w:p w:rsidR="0016237E" w:rsidRPr="0016237E" w:rsidRDefault="0016237E" w:rsidP="000F2981">
      <w:pPr>
        <w:widowControl w:val="0"/>
        <w:tabs>
          <w:tab w:val="left" w:pos="567"/>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1.</w:t>
      </w:r>
      <w:r w:rsidRPr="0016237E">
        <w:rPr>
          <w:snapToGrid/>
          <w:sz w:val="22"/>
          <w:szCs w:val="22"/>
          <w:lang w:val="de-DE"/>
        </w:rPr>
        <w:tab/>
        <w:t xml:space="preserve">Die Absätze 9.3.2.25.9 und 9.3.3.25.9 legen fest, dass bei Tankschiffen der Typen C und N die zulässigen Lade- und Löschraten berechnet werden müssen. Die maximal zulässigen Lade- und Löschraten pro </w:t>
      </w:r>
      <w:proofErr w:type="spellStart"/>
      <w:r w:rsidRPr="0016237E">
        <w:rPr>
          <w:snapToGrid/>
          <w:sz w:val="22"/>
          <w:szCs w:val="22"/>
          <w:lang w:val="de-DE"/>
        </w:rPr>
        <w:t>Ladetank</w:t>
      </w:r>
      <w:proofErr w:type="spellEnd"/>
      <w:r w:rsidRPr="0016237E">
        <w:rPr>
          <w:snapToGrid/>
          <w:sz w:val="22"/>
          <w:szCs w:val="22"/>
          <w:lang w:val="de-DE"/>
        </w:rPr>
        <w:t xml:space="preserve"> oder pro Ladetankgruppe sind in einer Instruktion an Bord mitzuführen (siehe auch Unterabschnitt 8.1.2.3 Buchstabe i).</w:t>
      </w:r>
    </w:p>
    <w:p w:rsidR="0016237E" w:rsidRPr="0016237E" w:rsidRDefault="0016237E" w:rsidP="000F2981">
      <w:pPr>
        <w:widowControl w:val="0"/>
        <w:tabs>
          <w:tab w:val="left" w:pos="567"/>
        </w:tabs>
        <w:suppressAutoHyphens w:val="0"/>
        <w:overflowPunct w:val="0"/>
        <w:autoSpaceDE w:val="0"/>
        <w:autoSpaceDN w:val="0"/>
        <w:adjustRightInd w:val="0"/>
        <w:ind w:left="1134" w:hanging="1134"/>
        <w:jc w:val="both"/>
        <w:textAlignment w:val="baseline"/>
        <w:rPr>
          <w:snapToGrid/>
          <w:sz w:val="22"/>
          <w:szCs w:val="22"/>
          <w:lang w:val="de-DE"/>
        </w:rPr>
      </w:pPr>
    </w:p>
    <w:p w:rsidR="0016237E" w:rsidRPr="0016237E" w:rsidRDefault="0016237E" w:rsidP="000F2981">
      <w:pPr>
        <w:widowControl w:val="0"/>
        <w:tabs>
          <w:tab w:val="left" w:pos="567"/>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2.</w:t>
      </w:r>
      <w:r w:rsidRPr="0016237E">
        <w:rPr>
          <w:snapToGrid/>
          <w:sz w:val="22"/>
          <w:szCs w:val="22"/>
          <w:lang w:val="de-DE"/>
        </w:rPr>
        <w:tab/>
        <w:t xml:space="preserve">In Unterabschnitt 1.4.3.3, Buchstabe s) wird der </w:t>
      </w:r>
      <w:proofErr w:type="spellStart"/>
      <w:r w:rsidRPr="0016237E">
        <w:rPr>
          <w:snapToGrid/>
          <w:sz w:val="22"/>
          <w:szCs w:val="22"/>
          <w:lang w:val="de-DE"/>
        </w:rPr>
        <w:t>Befüller</w:t>
      </w:r>
      <w:proofErr w:type="spellEnd"/>
      <w:r w:rsidRPr="0016237E">
        <w:rPr>
          <w:snapToGrid/>
          <w:sz w:val="22"/>
          <w:szCs w:val="22"/>
          <w:lang w:val="de-DE"/>
        </w:rPr>
        <w:t>, in Absatz 1.4.3.7.1 Buchstabe j) wird der Entlader verpflichtet, die „Ladeinstruktion“ zu beachten. Dieser Ausdruck entspricht nicht dem Wortlaut der Bauvorschriften in den Absätzen 9.3.2.25.9 und 9.3.3.25.9 und ist missverständlich.</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5A685F" w:rsidRDefault="005A685F">
      <w:pPr>
        <w:suppressAutoHyphens w:val="0"/>
        <w:spacing w:line="240" w:lineRule="auto"/>
        <w:rPr>
          <w:snapToGrid/>
          <w:sz w:val="22"/>
          <w:szCs w:val="22"/>
          <w:lang w:val="de-DE"/>
        </w:rPr>
      </w:pPr>
      <w:r>
        <w:rPr>
          <w:snapToGrid/>
          <w:sz w:val="22"/>
          <w:szCs w:val="22"/>
          <w:lang w:val="de-DE"/>
        </w:rPr>
        <w:br w:type="page"/>
      </w:r>
    </w:p>
    <w:p w:rsidR="0016237E" w:rsidRPr="000F2981" w:rsidRDefault="0016237E"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lastRenderedPageBreak/>
        <w:t>3.</w:t>
      </w:r>
      <w:r w:rsidRPr="0016237E">
        <w:rPr>
          <w:snapToGrid/>
          <w:sz w:val="22"/>
          <w:szCs w:val="22"/>
          <w:lang w:val="de-DE"/>
        </w:rPr>
        <w:tab/>
        <w:t xml:space="preserve">In Absatz 1.4.3.7.1 </w:t>
      </w:r>
      <w:r w:rsidR="00D34FA9">
        <w:rPr>
          <w:snapToGrid/>
          <w:sz w:val="22"/>
          <w:szCs w:val="22"/>
          <w:lang w:val="de-DE"/>
        </w:rPr>
        <w:t>j</w:t>
      </w:r>
      <w:r w:rsidRPr="0016237E">
        <w:rPr>
          <w:snapToGrid/>
          <w:sz w:val="22"/>
          <w:szCs w:val="22"/>
          <w:lang w:val="de-DE"/>
        </w:rPr>
        <w:t xml:space="preserve">) wird der Entlader verpflichtet, die Einhaltung der </w:t>
      </w:r>
      <w:proofErr w:type="spellStart"/>
      <w:r w:rsidRPr="00AA7C1B">
        <w:rPr>
          <w:b/>
          <w:snapToGrid/>
          <w:sz w:val="22"/>
          <w:szCs w:val="22"/>
          <w:lang w:val="de-DE"/>
        </w:rPr>
        <w:t>Lade</w:t>
      </w:r>
      <w:bookmarkStart w:id="0" w:name="_GoBack"/>
      <w:r w:rsidRPr="00AA7C1B">
        <w:rPr>
          <w:snapToGrid/>
          <w:sz w:val="22"/>
          <w:szCs w:val="22"/>
          <w:lang w:val="de-DE"/>
        </w:rPr>
        <w:t>rate</w:t>
      </w:r>
      <w:bookmarkEnd w:id="0"/>
      <w:proofErr w:type="spellEnd"/>
      <w:r w:rsidRPr="0016237E">
        <w:rPr>
          <w:snapToGrid/>
          <w:sz w:val="22"/>
          <w:szCs w:val="22"/>
          <w:lang w:val="de-DE"/>
        </w:rPr>
        <w:t xml:space="preserve"> sicherzustellen. Dies kann er nicht tun, weil er das Schiff </w:t>
      </w:r>
      <w:r w:rsidRPr="0016237E">
        <w:rPr>
          <w:b/>
          <w:snapToGrid/>
          <w:sz w:val="22"/>
          <w:szCs w:val="22"/>
          <w:lang w:val="de-DE"/>
        </w:rPr>
        <w:t>entlädt (löscht)</w:t>
      </w:r>
      <w:r w:rsidRPr="0016237E">
        <w:rPr>
          <w:snapToGrid/>
          <w:sz w:val="22"/>
          <w:szCs w:val="22"/>
          <w:lang w:val="de-DE"/>
        </w:rPr>
        <w:t xml:space="preserve"> und nicht belädt.</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16237E" w:rsidRPr="000F2981" w:rsidRDefault="0016237E"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4.</w:t>
      </w:r>
      <w:r w:rsidRPr="0016237E">
        <w:rPr>
          <w:snapToGrid/>
          <w:sz w:val="22"/>
          <w:szCs w:val="22"/>
          <w:lang w:val="de-DE"/>
        </w:rPr>
        <w:tab/>
        <w:t>In Unterabschnitt 8.1.2.3 i) wird zutreffend von der „Instruktion für die Lade- und Löschrate“ gesprochen.</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16237E" w:rsidRPr="000F2981" w:rsidRDefault="0016237E"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5.</w:t>
      </w:r>
      <w:r w:rsidRPr="0016237E">
        <w:rPr>
          <w:snapToGrid/>
          <w:sz w:val="22"/>
          <w:szCs w:val="22"/>
          <w:lang w:val="de-DE"/>
        </w:rPr>
        <w:tab/>
        <w:t>Im Muster des Zulassungszeugnisses für Tankschiffe (Unterabschnitt 8.6.1.3) wird unter Punkt</w:t>
      </w:r>
      <w:r w:rsidR="000F2981">
        <w:rPr>
          <w:snapToGrid/>
          <w:sz w:val="22"/>
          <w:szCs w:val="22"/>
          <w:lang w:val="de-DE"/>
        </w:rPr>
        <w:t> </w:t>
      </w:r>
      <w:r w:rsidRPr="0016237E">
        <w:rPr>
          <w:snapToGrid/>
          <w:sz w:val="22"/>
          <w:szCs w:val="22"/>
          <w:lang w:val="de-DE"/>
        </w:rPr>
        <w:t>10. unzutreffend und zu einschränkend nur von der „</w:t>
      </w:r>
      <w:proofErr w:type="spellStart"/>
      <w:r w:rsidRPr="0016237E">
        <w:rPr>
          <w:snapToGrid/>
          <w:sz w:val="22"/>
          <w:szCs w:val="22"/>
          <w:lang w:val="de-DE"/>
        </w:rPr>
        <w:t>Laderate</w:t>
      </w:r>
      <w:proofErr w:type="spellEnd"/>
      <w:r w:rsidRPr="0016237E">
        <w:rPr>
          <w:snapToGrid/>
          <w:sz w:val="22"/>
          <w:szCs w:val="22"/>
          <w:lang w:val="de-DE"/>
        </w:rPr>
        <w:t>“ und ebenfalls von einer „Ladeinstruktion“ gesprochen.</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16237E" w:rsidRPr="000F2981" w:rsidRDefault="0016237E"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6.</w:t>
      </w:r>
      <w:r w:rsidRPr="0016237E">
        <w:rPr>
          <w:snapToGrid/>
          <w:sz w:val="22"/>
          <w:szCs w:val="22"/>
          <w:lang w:val="de-DE"/>
        </w:rPr>
        <w:tab/>
        <w:t>In den Absätzen 9.3.2.25.9 und 9.3.3.25.9 ist nicht bestimmt, wer für den richtigen Inhalt der Instruktion über die zulässigen Lade- und Löschraten verantwortlich ist.</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16237E" w:rsidRPr="0016237E" w:rsidRDefault="0016237E"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7.</w:t>
      </w:r>
      <w:r w:rsidRPr="0016237E">
        <w:rPr>
          <w:snapToGrid/>
          <w:sz w:val="22"/>
          <w:szCs w:val="22"/>
          <w:lang w:val="de-DE"/>
        </w:rPr>
        <w:tab/>
        <w:t>Der Sicherheitsausschuss hat in seiner 27. Sitzung diese Unstimmigkeiten im Prinzip bestätigt und die deutsche Delegation gebeten, für die nächste Sitzung ein Arbeitsdokument vorzulegen.</w:t>
      </w:r>
    </w:p>
    <w:p w:rsidR="0016237E" w:rsidRDefault="0016237E"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snapToGrid/>
          <w:sz w:val="22"/>
          <w:szCs w:val="22"/>
          <w:lang w:val="de-DE"/>
        </w:rPr>
      </w:pPr>
    </w:p>
    <w:p w:rsidR="0016237E" w:rsidRPr="0016237E" w:rsidRDefault="0016237E"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b/>
          <w:snapToGrid/>
          <w:sz w:val="24"/>
          <w:szCs w:val="24"/>
          <w:lang w:val="de-DE"/>
        </w:rPr>
      </w:pPr>
      <w:r w:rsidRPr="0016237E">
        <w:rPr>
          <w:b/>
          <w:snapToGrid/>
          <w:sz w:val="24"/>
          <w:szCs w:val="24"/>
          <w:lang w:val="de-DE"/>
        </w:rPr>
        <w:t>Antrag</w:t>
      </w:r>
    </w:p>
    <w:p w:rsidR="0016237E" w:rsidRPr="0016237E" w:rsidRDefault="0016237E"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snapToGrid/>
          <w:sz w:val="22"/>
          <w:szCs w:val="22"/>
          <w:lang w:val="de-DE"/>
        </w:rPr>
      </w:pPr>
    </w:p>
    <w:p w:rsidR="0016237E" w:rsidRPr="0016237E" w:rsidRDefault="0016237E"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snapToGrid/>
          <w:sz w:val="22"/>
          <w:szCs w:val="22"/>
          <w:lang w:val="de-DE"/>
        </w:rPr>
      </w:pPr>
      <w:r w:rsidRPr="0016237E">
        <w:rPr>
          <w:snapToGrid/>
          <w:sz w:val="22"/>
          <w:szCs w:val="22"/>
          <w:lang w:val="de-DE"/>
        </w:rPr>
        <w:t>8.</w:t>
      </w:r>
      <w:r w:rsidRPr="0016237E">
        <w:rPr>
          <w:snapToGrid/>
          <w:sz w:val="22"/>
          <w:szCs w:val="22"/>
          <w:lang w:val="de-DE"/>
        </w:rPr>
        <w:tab/>
        <w:t>In Unterabschnitt 1.4.3.3 (</w:t>
      </w:r>
      <w:proofErr w:type="spellStart"/>
      <w:r w:rsidRPr="0016237E">
        <w:rPr>
          <w:snapToGrid/>
          <w:sz w:val="22"/>
          <w:szCs w:val="22"/>
          <w:lang w:val="de-DE"/>
        </w:rPr>
        <w:t>Befüller</w:t>
      </w:r>
      <w:proofErr w:type="spellEnd"/>
      <w:r w:rsidRPr="0016237E">
        <w:rPr>
          <w:snapToGrid/>
          <w:sz w:val="22"/>
          <w:szCs w:val="22"/>
          <w:lang w:val="de-DE"/>
        </w:rPr>
        <w:t>) den Buchstaben s) wie folgt ändern:</w:t>
      </w:r>
    </w:p>
    <w:p w:rsidR="0016237E" w:rsidRPr="0016237E" w:rsidRDefault="0016237E" w:rsidP="000F2981">
      <w:pPr>
        <w:widowControl w:val="0"/>
        <w:tabs>
          <w:tab w:val="left" w:pos="1418"/>
        </w:tabs>
        <w:suppressAutoHyphens w:val="0"/>
        <w:overflowPunct w:val="0"/>
        <w:autoSpaceDE w:val="0"/>
        <w:autoSpaceDN w:val="0"/>
        <w:adjustRightInd w:val="0"/>
        <w:ind w:left="1134" w:hanging="567"/>
        <w:jc w:val="both"/>
        <w:textAlignment w:val="baseline"/>
        <w:rPr>
          <w:snapToGrid/>
          <w:sz w:val="22"/>
          <w:szCs w:val="22"/>
          <w:lang w:val="de-DE"/>
        </w:rPr>
      </w:pPr>
      <w:r w:rsidRPr="0016237E">
        <w:rPr>
          <w:snapToGrid/>
          <w:sz w:val="22"/>
          <w:szCs w:val="22"/>
          <w:lang w:val="de-DE"/>
        </w:rPr>
        <w:t>„s)</w:t>
      </w:r>
      <w:r w:rsidRPr="0016237E">
        <w:rPr>
          <w:snapToGrid/>
          <w:sz w:val="22"/>
          <w:szCs w:val="22"/>
          <w:lang w:val="de-DE"/>
        </w:rPr>
        <w:tab/>
        <w:t xml:space="preserve">hat sicherzustellen dass die </w:t>
      </w:r>
      <w:proofErr w:type="spellStart"/>
      <w:r w:rsidRPr="0016237E">
        <w:rPr>
          <w:snapToGrid/>
          <w:sz w:val="22"/>
          <w:szCs w:val="22"/>
          <w:lang w:val="de-DE"/>
        </w:rPr>
        <w:t>Laderate</w:t>
      </w:r>
      <w:proofErr w:type="spellEnd"/>
      <w:r w:rsidRPr="0016237E">
        <w:rPr>
          <w:snapToGrid/>
          <w:sz w:val="22"/>
          <w:szCs w:val="22"/>
          <w:lang w:val="de-DE"/>
        </w:rPr>
        <w:t xml:space="preserve"> in Übereinstimmung mit der </w:t>
      </w:r>
      <w:r w:rsidRPr="0016237E">
        <w:rPr>
          <w:strike/>
          <w:snapToGrid/>
          <w:sz w:val="22"/>
          <w:szCs w:val="22"/>
          <w:lang w:val="de-DE"/>
        </w:rPr>
        <w:t>Ladeinstruktion</w:t>
      </w:r>
      <w:r w:rsidRPr="0016237E">
        <w:rPr>
          <w:snapToGrid/>
          <w:sz w:val="22"/>
          <w:szCs w:val="22"/>
          <w:lang w:val="de-DE"/>
        </w:rPr>
        <w:t xml:space="preserve"> </w:t>
      </w:r>
      <w:r w:rsidRPr="0016237E">
        <w:rPr>
          <w:snapToGrid/>
          <w:sz w:val="22"/>
          <w:szCs w:val="22"/>
          <w:u w:val="single"/>
          <w:lang w:val="de-DE"/>
        </w:rPr>
        <w:t>Instruktion für die Lade- und Löschraten</w:t>
      </w:r>
      <w:r w:rsidRPr="0016237E">
        <w:rPr>
          <w:snapToGrid/>
          <w:sz w:val="22"/>
          <w:szCs w:val="22"/>
          <w:lang w:val="de-DE"/>
        </w:rPr>
        <w:t xml:space="preserve"> nach Absatz 9.3.2.25.9 oder 9.3.3.25.9 ist und der Druck an der Übergabestelle der </w:t>
      </w:r>
      <w:r w:rsidR="0051427A" w:rsidRPr="00FB6683">
        <w:rPr>
          <w:snapToGrid/>
          <w:sz w:val="22"/>
          <w:szCs w:val="22"/>
          <w:lang w:val="de-DE"/>
        </w:rPr>
        <w:t>Gasrückfuhr- oder Gasabfuhrleitung</w:t>
      </w:r>
      <w:r w:rsidR="00FB6683" w:rsidRPr="00FB6683">
        <w:rPr>
          <w:snapToGrid/>
          <w:sz w:val="22"/>
          <w:szCs w:val="22"/>
          <w:lang w:val="de-DE"/>
        </w:rPr>
        <w:t xml:space="preserve"> </w:t>
      </w:r>
      <w:r w:rsidRPr="0016237E">
        <w:rPr>
          <w:snapToGrid/>
          <w:sz w:val="22"/>
          <w:szCs w:val="22"/>
          <w:lang w:val="de-DE"/>
        </w:rPr>
        <w:t>den Öffnungsdruck des Hochgeschwindigkeitsventils nicht übersteigt.“.</w:t>
      </w:r>
    </w:p>
    <w:p w:rsidR="0016237E" w:rsidRPr="00FB6683" w:rsidRDefault="0016237E" w:rsidP="000F2981">
      <w:pPr>
        <w:widowControl w:val="0"/>
        <w:suppressAutoHyphens w:val="0"/>
        <w:overflowPunct w:val="0"/>
        <w:autoSpaceDE w:val="0"/>
        <w:autoSpaceDN w:val="0"/>
        <w:adjustRightInd w:val="0"/>
        <w:ind w:left="1134" w:hanging="1134"/>
        <w:jc w:val="both"/>
        <w:textAlignment w:val="baseline"/>
        <w:rPr>
          <w:snapToGrid/>
          <w:sz w:val="22"/>
          <w:szCs w:val="22"/>
          <w:lang w:val="de-DE"/>
        </w:rPr>
      </w:pPr>
    </w:p>
    <w:p w:rsidR="000F2981" w:rsidRPr="0016237E" w:rsidRDefault="000F2981" w:rsidP="000F2981">
      <w:pPr>
        <w:widowControl w:val="0"/>
        <w:suppressAutoHyphens w:val="0"/>
        <w:overflowPunct w:val="0"/>
        <w:autoSpaceDE w:val="0"/>
        <w:autoSpaceDN w:val="0"/>
        <w:adjustRightInd w:val="0"/>
        <w:ind w:left="1134" w:hanging="1134"/>
        <w:jc w:val="both"/>
        <w:textAlignment w:val="baseline"/>
        <w:rPr>
          <w:i/>
          <w:snapToGrid/>
          <w:sz w:val="22"/>
          <w:szCs w:val="22"/>
          <w:lang w:val="de-DE"/>
        </w:rPr>
      </w:pPr>
    </w:p>
    <w:p w:rsidR="0016237E" w:rsidRPr="0016237E" w:rsidRDefault="00D34FA9"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snapToGrid/>
          <w:sz w:val="22"/>
          <w:szCs w:val="22"/>
          <w:lang w:val="de-DE"/>
        </w:rPr>
      </w:pPr>
      <w:r>
        <w:rPr>
          <w:snapToGrid/>
          <w:sz w:val="22"/>
          <w:szCs w:val="22"/>
          <w:lang w:val="de-DE"/>
        </w:rPr>
        <w:t>9</w:t>
      </w:r>
      <w:r w:rsidR="0016237E" w:rsidRPr="0016237E">
        <w:rPr>
          <w:snapToGrid/>
          <w:sz w:val="22"/>
          <w:szCs w:val="22"/>
          <w:lang w:val="de-DE"/>
        </w:rPr>
        <w:t>.</w:t>
      </w:r>
      <w:r w:rsidR="0016237E" w:rsidRPr="0016237E">
        <w:rPr>
          <w:snapToGrid/>
          <w:sz w:val="22"/>
          <w:szCs w:val="22"/>
          <w:lang w:val="de-DE"/>
        </w:rPr>
        <w:tab/>
        <w:t>In Absatz 1.4.3.7.1 den Buchstaben j) wie folgt ändern:</w:t>
      </w:r>
    </w:p>
    <w:p w:rsidR="0016237E" w:rsidRPr="0016237E" w:rsidRDefault="0016237E" w:rsidP="000F2981">
      <w:pPr>
        <w:widowControl w:val="0"/>
        <w:tabs>
          <w:tab w:val="left" w:pos="851"/>
        </w:tabs>
        <w:suppressAutoHyphens w:val="0"/>
        <w:overflowPunct w:val="0"/>
        <w:autoSpaceDE w:val="0"/>
        <w:autoSpaceDN w:val="0"/>
        <w:adjustRightInd w:val="0"/>
        <w:ind w:left="851" w:hanging="284"/>
        <w:jc w:val="both"/>
        <w:textAlignment w:val="baseline"/>
        <w:rPr>
          <w:snapToGrid/>
          <w:sz w:val="22"/>
          <w:szCs w:val="22"/>
          <w:lang w:val="de-DE"/>
        </w:rPr>
      </w:pPr>
    </w:p>
    <w:p w:rsidR="0016237E" w:rsidRPr="0016237E" w:rsidRDefault="0016237E" w:rsidP="000F2981">
      <w:pPr>
        <w:widowControl w:val="0"/>
        <w:suppressAutoHyphens w:val="0"/>
        <w:overflowPunct w:val="0"/>
        <w:autoSpaceDE w:val="0"/>
        <w:autoSpaceDN w:val="0"/>
        <w:adjustRightInd w:val="0"/>
        <w:ind w:left="1134" w:hanging="567"/>
        <w:jc w:val="both"/>
        <w:textAlignment w:val="baseline"/>
        <w:rPr>
          <w:snapToGrid/>
          <w:sz w:val="22"/>
          <w:szCs w:val="22"/>
          <w:lang w:val="de-DE"/>
        </w:rPr>
      </w:pPr>
      <w:r w:rsidRPr="0016237E">
        <w:rPr>
          <w:snapToGrid/>
          <w:sz w:val="22"/>
          <w:szCs w:val="22"/>
          <w:lang w:val="de-DE"/>
        </w:rPr>
        <w:t>„j)</w:t>
      </w:r>
      <w:r w:rsidRPr="0016237E">
        <w:rPr>
          <w:snapToGrid/>
          <w:sz w:val="22"/>
          <w:szCs w:val="22"/>
          <w:lang w:val="de-DE"/>
        </w:rPr>
        <w:tab/>
        <w:t xml:space="preserve">hat sicherzustellen, dass die </w:t>
      </w:r>
      <w:proofErr w:type="spellStart"/>
      <w:r w:rsidRPr="0016237E">
        <w:rPr>
          <w:strike/>
          <w:snapToGrid/>
          <w:sz w:val="22"/>
          <w:szCs w:val="22"/>
          <w:lang w:val="de-DE"/>
        </w:rPr>
        <w:t>Laderate</w:t>
      </w:r>
      <w:proofErr w:type="spellEnd"/>
      <w:r w:rsidRPr="0016237E">
        <w:rPr>
          <w:snapToGrid/>
          <w:sz w:val="22"/>
          <w:szCs w:val="22"/>
          <w:lang w:val="de-DE"/>
        </w:rPr>
        <w:t xml:space="preserve"> </w:t>
      </w:r>
      <w:r w:rsidRPr="0016237E">
        <w:rPr>
          <w:snapToGrid/>
          <w:sz w:val="22"/>
          <w:szCs w:val="22"/>
          <w:u w:val="single"/>
          <w:lang w:val="de-DE"/>
        </w:rPr>
        <w:t>Löschrate</w:t>
      </w:r>
      <w:r w:rsidRPr="0016237E">
        <w:rPr>
          <w:snapToGrid/>
          <w:sz w:val="22"/>
          <w:szCs w:val="22"/>
          <w:lang w:val="de-DE"/>
        </w:rPr>
        <w:t xml:space="preserve"> in Übereinstimmung mit der </w:t>
      </w:r>
      <w:r w:rsidRPr="0016237E">
        <w:rPr>
          <w:strike/>
          <w:snapToGrid/>
          <w:sz w:val="22"/>
          <w:szCs w:val="22"/>
          <w:lang w:val="de-DE"/>
        </w:rPr>
        <w:t>Ladeinstruktion</w:t>
      </w:r>
      <w:r w:rsidRPr="0016237E">
        <w:rPr>
          <w:snapToGrid/>
          <w:sz w:val="22"/>
          <w:szCs w:val="22"/>
          <w:lang w:val="de-DE"/>
        </w:rPr>
        <w:t xml:space="preserve"> </w:t>
      </w:r>
      <w:r w:rsidRPr="0016237E">
        <w:rPr>
          <w:snapToGrid/>
          <w:sz w:val="22"/>
          <w:szCs w:val="22"/>
          <w:u w:val="single"/>
          <w:lang w:val="de-DE"/>
        </w:rPr>
        <w:t>Instruktion für die Lade- und Löschraten</w:t>
      </w:r>
      <w:r w:rsidRPr="0016237E">
        <w:rPr>
          <w:snapToGrid/>
          <w:sz w:val="22"/>
          <w:szCs w:val="22"/>
          <w:lang w:val="de-DE"/>
        </w:rPr>
        <w:t xml:space="preserve"> nach Absatz 9.3.2.25.9 oder 9.3.3.25.9 ist und der Druck an der Übergabestelle der </w:t>
      </w:r>
      <w:r w:rsidR="0051427A" w:rsidRPr="00FB6683">
        <w:rPr>
          <w:snapToGrid/>
          <w:sz w:val="22"/>
          <w:szCs w:val="22"/>
          <w:lang w:val="de-DE"/>
        </w:rPr>
        <w:t>der Gasrückfuhr- oder Gasabfuhrleitung</w:t>
      </w:r>
      <w:r w:rsidR="00FB6683" w:rsidRPr="00FB6683">
        <w:rPr>
          <w:snapToGrid/>
          <w:sz w:val="22"/>
          <w:szCs w:val="22"/>
          <w:lang w:val="de-DE"/>
        </w:rPr>
        <w:t xml:space="preserve"> </w:t>
      </w:r>
      <w:r w:rsidRPr="0016237E">
        <w:rPr>
          <w:snapToGrid/>
          <w:sz w:val="22"/>
          <w:szCs w:val="22"/>
          <w:lang w:val="de-DE"/>
        </w:rPr>
        <w:t>den Öffnungsdruck des Hochgeschwindigkeitsventils nicht übersteigt;“.</w:t>
      </w:r>
    </w:p>
    <w:p w:rsidR="0016237E" w:rsidRDefault="0016237E" w:rsidP="000F2981">
      <w:pPr>
        <w:widowControl w:val="0"/>
        <w:suppressAutoHyphens w:val="0"/>
        <w:overflowPunct w:val="0"/>
        <w:autoSpaceDE w:val="0"/>
        <w:autoSpaceDN w:val="0"/>
        <w:adjustRightInd w:val="0"/>
        <w:ind w:left="1418" w:hanging="284"/>
        <w:jc w:val="both"/>
        <w:textAlignment w:val="baseline"/>
        <w:rPr>
          <w:i/>
          <w:snapToGrid/>
          <w:sz w:val="22"/>
          <w:szCs w:val="22"/>
          <w:lang w:val="de-DE"/>
        </w:rPr>
      </w:pPr>
    </w:p>
    <w:p w:rsidR="000F2981" w:rsidRPr="0016237E" w:rsidRDefault="000F2981" w:rsidP="000F2981">
      <w:pPr>
        <w:widowControl w:val="0"/>
        <w:suppressAutoHyphens w:val="0"/>
        <w:overflowPunct w:val="0"/>
        <w:autoSpaceDE w:val="0"/>
        <w:autoSpaceDN w:val="0"/>
        <w:adjustRightInd w:val="0"/>
        <w:ind w:left="1418" w:hanging="284"/>
        <w:jc w:val="both"/>
        <w:textAlignment w:val="baseline"/>
        <w:rPr>
          <w:i/>
          <w:snapToGrid/>
          <w:sz w:val="22"/>
          <w:szCs w:val="22"/>
          <w:lang w:val="de-DE"/>
        </w:rPr>
      </w:pPr>
    </w:p>
    <w:p w:rsidR="0016237E" w:rsidRPr="0016237E" w:rsidRDefault="00D34FA9" w:rsidP="000F2981">
      <w:pPr>
        <w:widowControl w:val="0"/>
        <w:tabs>
          <w:tab w:val="left" w:pos="567"/>
          <w:tab w:val="left" w:pos="1418"/>
        </w:tabs>
        <w:suppressAutoHyphens w:val="0"/>
        <w:overflowPunct w:val="0"/>
        <w:autoSpaceDE w:val="0"/>
        <w:autoSpaceDN w:val="0"/>
        <w:adjustRightInd w:val="0"/>
        <w:ind w:left="567" w:hanging="567"/>
        <w:jc w:val="both"/>
        <w:textAlignment w:val="baseline"/>
        <w:rPr>
          <w:snapToGrid/>
          <w:sz w:val="22"/>
          <w:szCs w:val="22"/>
          <w:lang w:val="de-DE"/>
        </w:rPr>
      </w:pPr>
      <w:r>
        <w:rPr>
          <w:snapToGrid/>
          <w:sz w:val="22"/>
          <w:szCs w:val="22"/>
          <w:lang w:val="de-DE"/>
        </w:rPr>
        <w:t>10</w:t>
      </w:r>
      <w:r w:rsidR="0016237E" w:rsidRPr="0016237E">
        <w:rPr>
          <w:snapToGrid/>
          <w:sz w:val="22"/>
          <w:szCs w:val="22"/>
          <w:lang w:val="de-DE"/>
        </w:rPr>
        <w:t>.</w:t>
      </w:r>
      <w:r w:rsidR="0016237E" w:rsidRPr="0016237E">
        <w:rPr>
          <w:snapToGrid/>
          <w:sz w:val="22"/>
          <w:szCs w:val="22"/>
          <w:lang w:val="de-DE"/>
        </w:rPr>
        <w:tab/>
        <w:t>In Unterabschnitt 8.6.1.3 Nummer 10 des Musters des Zulassungszeugnisses „Tankschiffe“ wie folgt ändern:</w:t>
      </w:r>
    </w:p>
    <w:p w:rsidR="0016237E" w:rsidRPr="0016237E" w:rsidRDefault="0016237E" w:rsidP="000F2981">
      <w:pPr>
        <w:widowControl w:val="0"/>
        <w:suppressAutoHyphens w:val="0"/>
        <w:overflowPunct w:val="0"/>
        <w:autoSpaceDE w:val="0"/>
        <w:autoSpaceDN w:val="0"/>
        <w:adjustRightInd w:val="0"/>
        <w:ind w:left="1134" w:hanging="1134"/>
        <w:jc w:val="both"/>
        <w:textAlignment w:val="baseline"/>
        <w:rPr>
          <w:b/>
          <w:snapToGrid/>
          <w:sz w:val="22"/>
          <w:szCs w:val="22"/>
          <w:lang w:val="de-DE"/>
        </w:rPr>
      </w:pPr>
    </w:p>
    <w:p w:rsidR="0016237E" w:rsidRPr="0016237E" w:rsidRDefault="0016237E" w:rsidP="000F2981">
      <w:pPr>
        <w:widowControl w:val="0"/>
        <w:tabs>
          <w:tab w:val="left" w:pos="5103"/>
          <w:tab w:val="left" w:pos="5954"/>
        </w:tabs>
        <w:suppressAutoHyphens w:val="0"/>
        <w:overflowPunct w:val="0"/>
        <w:autoSpaceDE w:val="0"/>
        <w:autoSpaceDN w:val="0"/>
        <w:adjustRightInd w:val="0"/>
        <w:ind w:left="567"/>
        <w:jc w:val="both"/>
        <w:textAlignment w:val="baseline"/>
        <w:rPr>
          <w:snapToGrid/>
          <w:sz w:val="22"/>
          <w:szCs w:val="22"/>
          <w:lang w:val="de-DE"/>
        </w:rPr>
      </w:pPr>
      <w:r w:rsidRPr="0016237E">
        <w:rPr>
          <w:snapToGrid/>
          <w:sz w:val="22"/>
          <w:szCs w:val="22"/>
          <w:lang w:val="de-DE"/>
        </w:rPr>
        <w:t>10. Lade</w:t>
      </w:r>
      <w:r w:rsidRPr="0016237E">
        <w:rPr>
          <w:snapToGrid/>
          <w:sz w:val="22"/>
          <w:szCs w:val="22"/>
          <w:u w:val="single"/>
          <w:lang w:val="de-DE"/>
        </w:rPr>
        <w:t>-/Lösch</w:t>
      </w:r>
      <w:r w:rsidRPr="0016237E">
        <w:rPr>
          <w:snapToGrid/>
          <w:sz w:val="22"/>
          <w:szCs w:val="22"/>
          <w:lang w:val="de-DE"/>
        </w:rPr>
        <w:t>rate:</w:t>
      </w:r>
      <w:r w:rsidRPr="0016237E">
        <w:rPr>
          <w:snapToGrid/>
          <w:sz w:val="22"/>
          <w:szCs w:val="22"/>
          <w:lang w:val="de-DE"/>
        </w:rPr>
        <w:tab/>
        <w:t>............... m</w:t>
      </w:r>
      <w:r w:rsidRPr="0016237E">
        <w:rPr>
          <w:snapToGrid/>
          <w:sz w:val="22"/>
          <w:szCs w:val="22"/>
          <w:vertAlign w:val="superscript"/>
          <w:lang w:val="de-DE"/>
        </w:rPr>
        <w:t>3</w:t>
      </w:r>
      <w:r w:rsidRPr="0016237E">
        <w:rPr>
          <w:snapToGrid/>
          <w:sz w:val="22"/>
          <w:szCs w:val="22"/>
          <w:lang w:val="de-DE"/>
        </w:rPr>
        <w:t>/h</w:t>
      </w:r>
      <w:r w:rsidRPr="0016237E">
        <w:rPr>
          <w:snapToGrid/>
          <w:sz w:val="22"/>
          <w:szCs w:val="22"/>
          <w:vertAlign w:val="superscript"/>
          <w:lang w:val="de-DE"/>
        </w:rPr>
        <w:t>1)</w:t>
      </w:r>
      <w:r w:rsidRPr="0016237E">
        <w:rPr>
          <w:snapToGrid/>
          <w:sz w:val="22"/>
          <w:szCs w:val="22"/>
          <w:lang w:val="de-DE"/>
        </w:rPr>
        <w:t xml:space="preserve"> oder </w:t>
      </w:r>
    </w:p>
    <w:p w:rsidR="0016237E" w:rsidRPr="0016237E" w:rsidRDefault="0016237E" w:rsidP="000F2981">
      <w:pPr>
        <w:widowControl w:val="0"/>
        <w:tabs>
          <w:tab w:val="left" w:pos="1773"/>
          <w:tab w:val="left" w:pos="5103"/>
          <w:tab w:val="left" w:pos="5954"/>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ab/>
      </w:r>
      <w:r w:rsidRPr="0016237E">
        <w:rPr>
          <w:snapToGrid/>
          <w:sz w:val="22"/>
          <w:szCs w:val="22"/>
          <w:lang w:val="de-DE"/>
        </w:rPr>
        <w:tab/>
        <w:t>siehe Lade</w:t>
      </w:r>
      <w:r w:rsidRPr="0016237E">
        <w:rPr>
          <w:snapToGrid/>
          <w:sz w:val="22"/>
          <w:szCs w:val="22"/>
          <w:u w:val="single"/>
          <w:lang w:val="de-DE"/>
        </w:rPr>
        <w:t>-/Lösch</w:t>
      </w:r>
      <w:r w:rsidRPr="0016237E">
        <w:rPr>
          <w:snapToGrid/>
          <w:sz w:val="22"/>
          <w:szCs w:val="22"/>
          <w:lang w:val="de-DE"/>
        </w:rPr>
        <w:t>instruktion</w:t>
      </w:r>
      <w:r w:rsidRPr="0016237E">
        <w:rPr>
          <w:snapToGrid/>
          <w:sz w:val="22"/>
          <w:szCs w:val="22"/>
          <w:vertAlign w:val="superscript"/>
          <w:lang w:val="de-DE"/>
        </w:rPr>
        <w:t>1)</w:t>
      </w:r>
    </w:p>
    <w:p w:rsidR="0016237E" w:rsidRPr="0016237E" w:rsidRDefault="0016237E" w:rsidP="000F2981">
      <w:pPr>
        <w:widowControl w:val="0"/>
        <w:tabs>
          <w:tab w:val="left" w:pos="1418"/>
        </w:tabs>
        <w:suppressAutoHyphens w:val="0"/>
        <w:overflowPunct w:val="0"/>
        <w:autoSpaceDE w:val="0"/>
        <w:autoSpaceDN w:val="0"/>
        <w:adjustRightInd w:val="0"/>
        <w:ind w:left="1134" w:hanging="1134"/>
        <w:jc w:val="both"/>
        <w:textAlignment w:val="baseline"/>
        <w:rPr>
          <w:snapToGrid/>
          <w:sz w:val="22"/>
          <w:szCs w:val="22"/>
          <w:lang w:val="de-DE"/>
        </w:rPr>
      </w:pPr>
    </w:p>
    <w:p w:rsidR="0016237E" w:rsidRPr="0016237E" w:rsidRDefault="00D34FA9" w:rsidP="000F2981">
      <w:pPr>
        <w:widowControl w:val="0"/>
        <w:tabs>
          <w:tab w:val="left" w:pos="1418"/>
        </w:tabs>
        <w:suppressAutoHyphens w:val="0"/>
        <w:overflowPunct w:val="0"/>
        <w:autoSpaceDE w:val="0"/>
        <w:autoSpaceDN w:val="0"/>
        <w:adjustRightInd w:val="0"/>
        <w:ind w:left="567" w:hanging="567"/>
        <w:jc w:val="both"/>
        <w:textAlignment w:val="baseline"/>
        <w:rPr>
          <w:snapToGrid/>
          <w:sz w:val="22"/>
          <w:szCs w:val="22"/>
          <w:lang w:val="de-DE"/>
        </w:rPr>
      </w:pPr>
      <w:r>
        <w:rPr>
          <w:snapToGrid/>
          <w:sz w:val="22"/>
          <w:szCs w:val="22"/>
          <w:lang w:val="de-DE"/>
        </w:rPr>
        <w:t>11</w:t>
      </w:r>
      <w:r w:rsidR="0016237E" w:rsidRPr="0016237E">
        <w:rPr>
          <w:snapToGrid/>
          <w:sz w:val="22"/>
          <w:szCs w:val="22"/>
          <w:lang w:val="de-DE"/>
        </w:rPr>
        <w:t>.</w:t>
      </w:r>
      <w:r w:rsidR="0016237E" w:rsidRPr="0016237E">
        <w:rPr>
          <w:snapToGrid/>
          <w:sz w:val="22"/>
          <w:szCs w:val="22"/>
          <w:lang w:val="de-DE"/>
        </w:rPr>
        <w:tab/>
        <w:t>In Unterabschnitt 8.6.1.4 Nummer 10 des Musters des vorläufigen Zulassungszeugnisses „Tankschiffe“ wie folgt ändern:</w:t>
      </w:r>
    </w:p>
    <w:p w:rsidR="0016237E" w:rsidRPr="0016237E" w:rsidRDefault="0016237E" w:rsidP="000F2981">
      <w:pPr>
        <w:widowControl w:val="0"/>
        <w:suppressAutoHyphens w:val="0"/>
        <w:overflowPunct w:val="0"/>
        <w:autoSpaceDE w:val="0"/>
        <w:autoSpaceDN w:val="0"/>
        <w:adjustRightInd w:val="0"/>
        <w:ind w:left="1134" w:hanging="1134"/>
        <w:jc w:val="both"/>
        <w:textAlignment w:val="baseline"/>
        <w:rPr>
          <w:b/>
          <w:snapToGrid/>
          <w:sz w:val="22"/>
          <w:szCs w:val="22"/>
          <w:lang w:val="de-DE"/>
        </w:rPr>
      </w:pPr>
    </w:p>
    <w:p w:rsidR="000F2981" w:rsidRPr="0016237E" w:rsidRDefault="000F2981" w:rsidP="000F2981">
      <w:pPr>
        <w:widowControl w:val="0"/>
        <w:tabs>
          <w:tab w:val="left" w:pos="5103"/>
          <w:tab w:val="left" w:pos="5954"/>
        </w:tabs>
        <w:suppressAutoHyphens w:val="0"/>
        <w:overflowPunct w:val="0"/>
        <w:autoSpaceDE w:val="0"/>
        <w:autoSpaceDN w:val="0"/>
        <w:adjustRightInd w:val="0"/>
        <w:ind w:left="567"/>
        <w:jc w:val="both"/>
        <w:textAlignment w:val="baseline"/>
        <w:rPr>
          <w:snapToGrid/>
          <w:sz w:val="22"/>
          <w:szCs w:val="22"/>
          <w:lang w:val="de-DE"/>
        </w:rPr>
      </w:pPr>
      <w:r w:rsidRPr="0016237E">
        <w:rPr>
          <w:snapToGrid/>
          <w:sz w:val="22"/>
          <w:szCs w:val="22"/>
          <w:lang w:val="de-DE"/>
        </w:rPr>
        <w:t>10. Lade</w:t>
      </w:r>
      <w:r w:rsidRPr="0016237E">
        <w:rPr>
          <w:snapToGrid/>
          <w:sz w:val="22"/>
          <w:szCs w:val="22"/>
          <w:u w:val="single"/>
          <w:lang w:val="de-DE"/>
        </w:rPr>
        <w:t>-/Lösch</w:t>
      </w:r>
      <w:r w:rsidRPr="0016237E">
        <w:rPr>
          <w:snapToGrid/>
          <w:sz w:val="22"/>
          <w:szCs w:val="22"/>
          <w:lang w:val="de-DE"/>
        </w:rPr>
        <w:t>rate:</w:t>
      </w:r>
      <w:r w:rsidRPr="0016237E">
        <w:rPr>
          <w:snapToGrid/>
          <w:sz w:val="22"/>
          <w:szCs w:val="22"/>
          <w:lang w:val="de-DE"/>
        </w:rPr>
        <w:tab/>
        <w:t>............... m</w:t>
      </w:r>
      <w:r w:rsidRPr="0016237E">
        <w:rPr>
          <w:snapToGrid/>
          <w:sz w:val="22"/>
          <w:szCs w:val="22"/>
          <w:vertAlign w:val="superscript"/>
          <w:lang w:val="de-DE"/>
        </w:rPr>
        <w:t>3</w:t>
      </w:r>
      <w:r w:rsidRPr="0016237E">
        <w:rPr>
          <w:snapToGrid/>
          <w:sz w:val="22"/>
          <w:szCs w:val="22"/>
          <w:lang w:val="de-DE"/>
        </w:rPr>
        <w:t>/h</w:t>
      </w:r>
      <w:r w:rsidRPr="0016237E">
        <w:rPr>
          <w:snapToGrid/>
          <w:sz w:val="22"/>
          <w:szCs w:val="22"/>
          <w:vertAlign w:val="superscript"/>
          <w:lang w:val="de-DE"/>
        </w:rPr>
        <w:t>1)</w:t>
      </w:r>
      <w:r w:rsidRPr="0016237E">
        <w:rPr>
          <w:snapToGrid/>
          <w:sz w:val="22"/>
          <w:szCs w:val="22"/>
          <w:lang w:val="de-DE"/>
        </w:rPr>
        <w:t xml:space="preserve"> oder </w:t>
      </w:r>
    </w:p>
    <w:p w:rsidR="000F2981" w:rsidRPr="0016237E" w:rsidRDefault="000F2981" w:rsidP="000F2981">
      <w:pPr>
        <w:widowControl w:val="0"/>
        <w:tabs>
          <w:tab w:val="left" w:pos="1773"/>
          <w:tab w:val="left" w:pos="5103"/>
          <w:tab w:val="left" w:pos="5954"/>
        </w:tabs>
        <w:suppressAutoHyphens w:val="0"/>
        <w:overflowPunct w:val="0"/>
        <w:autoSpaceDE w:val="0"/>
        <w:autoSpaceDN w:val="0"/>
        <w:adjustRightInd w:val="0"/>
        <w:jc w:val="both"/>
        <w:textAlignment w:val="baseline"/>
        <w:rPr>
          <w:snapToGrid/>
          <w:sz w:val="22"/>
          <w:szCs w:val="22"/>
          <w:lang w:val="de-DE"/>
        </w:rPr>
      </w:pPr>
      <w:r w:rsidRPr="0016237E">
        <w:rPr>
          <w:snapToGrid/>
          <w:sz w:val="22"/>
          <w:szCs w:val="22"/>
          <w:lang w:val="de-DE"/>
        </w:rPr>
        <w:tab/>
      </w:r>
      <w:r w:rsidRPr="0016237E">
        <w:rPr>
          <w:snapToGrid/>
          <w:sz w:val="22"/>
          <w:szCs w:val="22"/>
          <w:lang w:val="de-DE"/>
        </w:rPr>
        <w:tab/>
        <w:t>siehe Lade</w:t>
      </w:r>
      <w:r w:rsidRPr="0016237E">
        <w:rPr>
          <w:snapToGrid/>
          <w:sz w:val="22"/>
          <w:szCs w:val="22"/>
          <w:u w:val="single"/>
          <w:lang w:val="de-DE"/>
        </w:rPr>
        <w:t>-/Lösch</w:t>
      </w:r>
      <w:r w:rsidRPr="0016237E">
        <w:rPr>
          <w:snapToGrid/>
          <w:sz w:val="22"/>
          <w:szCs w:val="22"/>
          <w:lang w:val="de-DE"/>
        </w:rPr>
        <w:t>instruktion</w:t>
      </w:r>
      <w:r w:rsidRPr="0016237E">
        <w:rPr>
          <w:snapToGrid/>
          <w:sz w:val="22"/>
          <w:szCs w:val="22"/>
          <w:vertAlign w:val="superscript"/>
          <w:lang w:val="de-DE"/>
        </w:rPr>
        <w:t>1)</w:t>
      </w:r>
    </w:p>
    <w:p w:rsidR="000F2981" w:rsidRPr="0016237E" w:rsidRDefault="000F2981" w:rsidP="000F2981">
      <w:pPr>
        <w:widowControl w:val="0"/>
        <w:suppressAutoHyphens w:val="0"/>
        <w:overflowPunct w:val="0"/>
        <w:autoSpaceDE w:val="0"/>
        <w:autoSpaceDN w:val="0"/>
        <w:adjustRightInd w:val="0"/>
        <w:ind w:left="567" w:hanging="567"/>
        <w:jc w:val="both"/>
        <w:textAlignment w:val="baseline"/>
        <w:rPr>
          <w:b/>
          <w:snapToGrid/>
          <w:sz w:val="22"/>
          <w:szCs w:val="22"/>
          <w:lang w:val="de-DE"/>
        </w:rPr>
      </w:pPr>
    </w:p>
    <w:p w:rsidR="0016237E" w:rsidRPr="0016237E" w:rsidRDefault="00D34FA9" w:rsidP="000F2981">
      <w:pPr>
        <w:widowControl w:val="0"/>
        <w:tabs>
          <w:tab w:val="left" w:pos="1418"/>
        </w:tabs>
        <w:suppressAutoHyphens w:val="0"/>
        <w:overflowPunct w:val="0"/>
        <w:autoSpaceDE w:val="0"/>
        <w:autoSpaceDN w:val="0"/>
        <w:adjustRightInd w:val="0"/>
        <w:ind w:left="567" w:hanging="567"/>
        <w:jc w:val="both"/>
        <w:textAlignment w:val="baseline"/>
        <w:rPr>
          <w:snapToGrid/>
          <w:sz w:val="22"/>
          <w:szCs w:val="22"/>
          <w:lang w:val="de-DE"/>
        </w:rPr>
      </w:pPr>
      <w:r>
        <w:rPr>
          <w:snapToGrid/>
          <w:sz w:val="22"/>
          <w:szCs w:val="22"/>
          <w:lang w:val="de-DE"/>
        </w:rPr>
        <w:lastRenderedPageBreak/>
        <w:t>12</w:t>
      </w:r>
      <w:r w:rsidR="0016237E" w:rsidRPr="0016237E">
        <w:rPr>
          <w:snapToGrid/>
          <w:sz w:val="22"/>
          <w:szCs w:val="22"/>
          <w:lang w:val="de-DE"/>
        </w:rPr>
        <w:t>.</w:t>
      </w:r>
      <w:r w:rsidR="0016237E" w:rsidRPr="0016237E">
        <w:rPr>
          <w:snapToGrid/>
          <w:sz w:val="22"/>
          <w:szCs w:val="22"/>
          <w:lang w:val="de-DE"/>
        </w:rPr>
        <w:tab/>
        <w:t xml:space="preserve">In den Absätzen 9.3.2.25.9 und 9.3.3.25.9 jeweils den letzten Satz wie folgt ändern: </w:t>
      </w:r>
    </w:p>
    <w:p w:rsidR="0016237E" w:rsidRPr="0016237E" w:rsidRDefault="0016237E" w:rsidP="000F2981">
      <w:pPr>
        <w:widowControl w:val="0"/>
        <w:suppressAutoHyphens w:val="0"/>
        <w:overflowPunct w:val="0"/>
        <w:autoSpaceDE w:val="0"/>
        <w:autoSpaceDN w:val="0"/>
        <w:adjustRightInd w:val="0"/>
        <w:ind w:left="567" w:hanging="2"/>
        <w:jc w:val="both"/>
        <w:textAlignment w:val="baseline"/>
        <w:rPr>
          <w:snapToGrid/>
          <w:sz w:val="22"/>
          <w:szCs w:val="22"/>
          <w:lang w:val="de-DE"/>
        </w:rPr>
      </w:pPr>
      <w:r w:rsidRPr="0016237E">
        <w:rPr>
          <w:snapToGrid/>
          <w:sz w:val="22"/>
          <w:szCs w:val="22"/>
          <w:lang w:val="de-DE"/>
        </w:rPr>
        <w:t xml:space="preserve">Die maximal zulässige Lade- und Löschrate pro </w:t>
      </w:r>
      <w:proofErr w:type="spellStart"/>
      <w:r w:rsidRPr="0016237E">
        <w:rPr>
          <w:snapToGrid/>
          <w:sz w:val="22"/>
          <w:szCs w:val="22"/>
          <w:lang w:val="de-DE"/>
        </w:rPr>
        <w:t>Ladetank</w:t>
      </w:r>
      <w:proofErr w:type="spellEnd"/>
      <w:r w:rsidRPr="0016237E">
        <w:rPr>
          <w:snapToGrid/>
          <w:sz w:val="22"/>
          <w:szCs w:val="22"/>
          <w:lang w:val="de-DE"/>
        </w:rPr>
        <w:t xml:space="preserve"> oder pro Ladetankgruppe sind in einer </w:t>
      </w:r>
      <w:r w:rsidRPr="0016237E">
        <w:rPr>
          <w:snapToGrid/>
          <w:sz w:val="22"/>
          <w:szCs w:val="22"/>
          <w:u w:val="single"/>
          <w:lang w:val="de-DE"/>
        </w:rPr>
        <w:t xml:space="preserve">von der anerkannten Klassifikationsgesellschaft, die das Schiff klassifiziert hat, </w:t>
      </w:r>
      <w:proofErr w:type="gramStart"/>
      <w:r w:rsidRPr="0016237E">
        <w:rPr>
          <w:snapToGrid/>
          <w:sz w:val="22"/>
          <w:szCs w:val="22"/>
          <w:u w:val="single"/>
          <w:lang w:val="de-DE"/>
        </w:rPr>
        <w:t>genehmigten</w:t>
      </w:r>
      <w:proofErr w:type="gramEnd"/>
      <w:r w:rsidRPr="0016237E">
        <w:rPr>
          <w:snapToGrid/>
          <w:sz w:val="22"/>
          <w:szCs w:val="22"/>
          <w:lang w:val="de-DE"/>
        </w:rPr>
        <w:t xml:space="preserve"> Instruktion an Bord mitzuführen.</w:t>
      </w:r>
    </w:p>
    <w:p w:rsidR="0016237E" w:rsidRDefault="0016237E" w:rsidP="000F2981">
      <w:pPr>
        <w:widowControl w:val="0"/>
        <w:tabs>
          <w:tab w:val="left" w:pos="1418"/>
        </w:tabs>
        <w:suppressAutoHyphens w:val="0"/>
        <w:overflowPunct w:val="0"/>
        <w:autoSpaceDE w:val="0"/>
        <w:autoSpaceDN w:val="0"/>
        <w:adjustRightInd w:val="0"/>
        <w:ind w:left="1134" w:hanging="1134"/>
        <w:jc w:val="both"/>
        <w:textAlignment w:val="baseline"/>
        <w:rPr>
          <w:b/>
          <w:snapToGrid/>
          <w:sz w:val="22"/>
          <w:szCs w:val="22"/>
          <w:lang w:val="de-DE"/>
        </w:rPr>
      </w:pPr>
    </w:p>
    <w:p w:rsidR="000F2981" w:rsidRPr="0016237E" w:rsidRDefault="000F2981" w:rsidP="000F2981">
      <w:pPr>
        <w:widowControl w:val="0"/>
        <w:tabs>
          <w:tab w:val="left" w:pos="1418"/>
        </w:tabs>
        <w:suppressAutoHyphens w:val="0"/>
        <w:overflowPunct w:val="0"/>
        <w:autoSpaceDE w:val="0"/>
        <w:autoSpaceDN w:val="0"/>
        <w:adjustRightInd w:val="0"/>
        <w:ind w:left="1134" w:hanging="1134"/>
        <w:jc w:val="both"/>
        <w:textAlignment w:val="baseline"/>
        <w:rPr>
          <w:b/>
          <w:snapToGrid/>
          <w:sz w:val="22"/>
          <w:szCs w:val="22"/>
          <w:lang w:val="de-DE"/>
        </w:rPr>
      </w:pPr>
    </w:p>
    <w:p w:rsidR="0016237E" w:rsidRPr="000F2981" w:rsidRDefault="0016237E" w:rsidP="000F2981">
      <w:pPr>
        <w:widowControl w:val="0"/>
        <w:tabs>
          <w:tab w:val="left" w:pos="1418"/>
        </w:tabs>
        <w:suppressAutoHyphens w:val="0"/>
        <w:overflowPunct w:val="0"/>
        <w:autoSpaceDE w:val="0"/>
        <w:autoSpaceDN w:val="0"/>
        <w:adjustRightInd w:val="0"/>
        <w:ind w:left="1134" w:hanging="1134"/>
        <w:jc w:val="both"/>
        <w:textAlignment w:val="baseline"/>
        <w:rPr>
          <w:b/>
          <w:snapToGrid/>
          <w:sz w:val="24"/>
          <w:szCs w:val="24"/>
          <w:lang w:val="de-DE"/>
        </w:rPr>
      </w:pPr>
      <w:r w:rsidRPr="0016237E">
        <w:rPr>
          <w:b/>
          <w:snapToGrid/>
          <w:sz w:val="24"/>
          <w:szCs w:val="24"/>
          <w:lang w:val="de-DE"/>
        </w:rPr>
        <w:t>Begründung</w:t>
      </w:r>
    </w:p>
    <w:p w:rsidR="000F2981" w:rsidRPr="0016237E" w:rsidRDefault="000F2981" w:rsidP="000F2981">
      <w:pPr>
        <w:widowControl w:val="0"/>
        <w:tabs>
          <w:tab w:val="left" w:pos="1418"/>
        </w:tabs>
        <w:suppressAutoHyphens w:val="0"/>
        <w:overflowPunct w:val="0"/>
        <w:autoSpaceDE w:val="0"/>
        <w:autoSpaceDN w:val="0"/>
        <w:adjustRightInd w:val="0"/>
        <w:ind w:left="1134" w:hanging="1134"/>
        <w:jc w:val="both"/>
        <w:textAlignment w:val="baseline"/>
        <w:rPr>
          <w:b/>
          <w:snapToGrid/>
          <w:sz w:val="22"/>
          <w:szCs w:val="22"/>
          <w:lang w:val="de-DE"/>
        </w:rPr>
      </w:pPr>
    </w:p>
    <w:p w:rsidR="0016237E" w:rsidRPr="000F2981" w:rsidRDefault="00D34FA9"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Pr>
          <w:snapToGrid/>
          <w:sz w:val="22"/>
          <w:szCs w:val="22"/>
          <w:lang w:val="de-DE"/>
        </w:rPr>
        <w:t>13</w:t>
      </w:r>
      <w:r w:rsidR="0016237E" w:rsidRPr="0016237E">
        <w:rPr>
          <w:snapToGrid/>
          <w:sz w:val="22"/>
          <w:szCs w:val="22"/>
          <w:lang w:val="de-DE"/>
        </w:rPr>
        <w:t>.</w:t>
      </w:r>
      <w:r w:rsidR="0016237E" w:rsidRPr="0016237E">
        <w:rPr>
          <w:snapToGrid/>
          <w:sz w:val="22"/>
          <w:szCs w:val="22"/>
          <w:lang w:val="de-DE"/>
        </w:rPr>
        <w:tab/>
        <w:t xml:space="preserve">Durch die Änderungen unter </w:t>
      </w:r>
      <w:r>
        <w:rPr>
          <w:snapToGrid/>
          <w:sz w:val="22"/>
          <w:szCs w:val="22"/>
          <w:lang w:val="de-DE"/>
        </w:rPr>
        <w:t>8</w:t>
      </w:r>
      <w:r w:rsidR="0016237E" w:rsidRPr="0016237E">
        <w:rPr>
          <w:snapToGrid/>
          <w:sz w:val="22"/>
          <w:szCs w:val="22"/>
          <w:lang w:val="de-DE"/>
        </w:rPr>
        <w:t xml:space="preserve">. wird die Pflicht des </w:t>
      </w:r>
      <w:proofErr w:type="spellStart"/>
      <w:r w:rsidR="0016237E" w:rsidRPr="0016237E">
        <w:rPr>
          <w:snapToGrid/>
          <w:sz w:val="22"/>
          <w:szCs w:val="22"/>
          <w:lang w:val="de-DE"/>
        </w:rPr>
        <w:t>Befüllers</w:t>
      </w:r>
      <w:proofErr w:type="spellEnd"/>
      <w:r w:rsidR="0016237E" w:rsidRPr="0016237E">
        <w:rPr>
          <w:snapToGrid/>
          <w:sz w:val="22"/>
          <w:szCs w:val="22"/>
          <w:lang w:val="de-DE"/>
        </w:rPr>
        <w:t xml:space="preserve"> genauer und eindeutig beschrieben, welche Instruktion er zu beachten hat.</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16237E" w:rsidRPr="000F2981" w:rsidRDefault="00D34FA9"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Pr>
          <w:snapToGrid/>
          <w:sz w:val="22"/>
          <w:szCs w:val="22"/>
          <w:lang w:val="de-DE"/>
        </w:rPr>
        <w:t>14</w:t>
      </w:r>
      <w:r w:rsidR="0016237E" w:rsidRPr="0016237E">
        <w:rPr>
          <w:snapToGrid/>
          <w:sz w:val="22"/>
          <w:szCs w:val="22"/>
          <w:lang w:val="de-DE"/>
        </w:rPr>
        <w:t>.</w:t>
      </w:r>
      <w:r w:rsidR="0016237E" w:rsidRPr="0016237E">
        <w:rPr>
          <w:snapToGrid/>
          <w:sz w:val="22"/>
          <w:szCs w:val="22"/>
          <w:lang w:val="de-DE"/>
        </w:rPr>
        <w:tab/>
        <w:t xml:space="preserve">Durch die Änderung unter </w:t>
      </w:r>
      <w:r>
        <w:rPr>
          <w:snapToGrid/>
          <w:sz w:val="22"/>
          <w:szCs w:val="22"/>
          <w:lang w:val="de-DE"/>
        </w:rPr>
        <w:t>9</w:t>
      </w:r>
      <w:r w:rsidR="0016237E" w:rsidRPr="0016237E">
        <w:rPr>
          <w:snapToGrid/>
          <w:sz w:val="22"/>
          <w:szCs w:val="22"/>
          <w:lang w:val="de-DE"/>
        </w:rPr>
        <w:t>. wird bei den Pflichten des Entladers eine falsche Bezugnahme auf das Beladen beseitigt und genauer und eindeutig beschrieben, welche Instruktion er zu beachten hat.</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16237E" w:rsidRPr="000F2981" w:rsidRDefault="00D34FA9"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Pr>
          <w:snapToGrid/>
          <w:sz w:val="22"/>
          <w:szCs w:val="22"/>
          <w:lang w:val="de-DE"/>
        </w:rPr>
        <w:t>15</w:t>
      </w:r>
      <w:r w:rsidR="0016237E" w:rsidRPr="0016237E">
        <w:rPr>
          <w:snapToGrid/>
          <w:sz w:val="22"/>
          <w:szCs w:val="22"/>
          <w:lang w:val="de-DE"/>
        </w:rPr>
        <w:t>.</w:t>
      </w:r>
      <w:r w:rsidR="0016237E" w:rsidRPr="0016237E">
        <w:rPr>
          <w:snapToGrid/>
          <w:sz w:val="22"/>
          <w:szCs w:val="22"/>
          <w:lang w:val="de-DE"/>
        </w:rPr>
        <w:tab/>
        <w:t xml:space="preserve">Durch die Änderungen unter </w:t>
      </w:r>
      <w:r>
        <w:rPr>
          <w:snapToGrid/>
          <w:sz w:val="22"/>
          <w:szCs w:val="22"/>
          <w:lang w:val="de-DE"/>
        </w:rPr>
        <w:t>10</w:t>
      </w:r>
      <w:r w:rsidR="0016237E" w:rsidRPr="0016237E">
        <w:rPr>
          <w:snapToGrid/>
          <w:sz w:val="22"/>
          <w:szCs w:val="22"/>
          <w:lang w:val="de-DE"/>
        </w:rPr>
        <w:t xml:space="preserve">. und </w:t>
      </w:r>
      <w:r>
        <w:rPr>
          <w:snapToGrid/>
          <w:sz w:val="22"/>
          <w:szCs w:val="22"/>
          <w:lang w:val="de-DE"/>
        </w:rPr>
        <w:t>11</w:t>
      </w:r>
      <w:r w:rsidR="0016237E" w:rsidRPr="0016237E">
        <w:rPr>
          <w:snapToGrid/>
          <w:sz w:val="22"/>
          <w:szCs w:val="22"/>
          <w:lang w:val="de-DE"/>
        </w:rPr>
        <w:t xml:space="preserve">. wird im Text des Zulassungszeugnisses und des vorläufigen Zulassungszeugnisses die unbegründete Einschränkung auf die nur für das Entladen gültige </w:t>
      </w:r>
      <w:proofErr w:type="spellStart"/>
      <w:r w:rsidR="0016237E" w:rsidRPr="0016237E">
        <w:rPr>
          <w:snapToGrid/>
          <w:sz w:val="22"/>
          <w:szCs w:val="22"/>
          <w:lang w:val="de-DE"/>
        </w:rPr>
        <w:t>Laderate</w:t>
      </w:r>
      <w:proofErr w:type="spellEnd"/>
      <w:r w:rsidR="0016237E" w:rsidRPr="0016237E">
        <w:rPr>
          <w:snapToGrid/>
          <w:sz w:val="22"/>
          <w:szCs w:val="22"/>
          <w:lang w:val="de-DE"/>
        </w:rPr>
        <w:t xml:space="preserve"> beseitigt und die genaue Bezeichnung der Instruktion aus den Bauvorschriften übernommen.</w:t>
      </w:r>
    </w:p>
    <w:p w:rsidR="000F2981"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p>
    <w:p w:rsidR="0016237E" w:rsidRPr="0016237E" w:rsidRDefault="00D34FA9"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Pr>
          <w:snapToGrid/>
          <w:sz w:val="22"/>
          <w:szCs w:val="22"/>
          <w:lang w:val="de-DE"/>
        </w:rPr>
        <w:t>16</w:t>
      </w:r>
      <w:r w:rsidR="0016237E" w:rsidRPr="0016237E">
        <w:rPr>
          <w:snapToGrid/>
          <w:sz w:val="22"/>
          <w:szCs w:val="22"/>
          <w:lang w:val="de-DE"/>
        </w:rPr>
        <w:t>.</w:t>
      </w:r>
      <w:r w:rsidR="0016237E" w:rsidRPr="0016237E">
        <w:rPr>
          <w:snapToGrid/>
          <w:sz w:val="22"/>
          <w:szCs w:val="22"/>
          <w:lang w:val="de-DE"/>
        </w:rPr>
        <w:tab/>
        <w:t xml:space="preserve">Durch die Änderung unter </w:t>
      </w:r>
      <w:r>
        <w:rPr>
          <w:snapToGrid/>
          <w:sz w:val="22"/>
          <w:szCs w:val="22"/>
          <w:lang w:val="de-DE"/>
        </w:rPr>
        <w:t>11</w:t>
      </w:r>
      <w:r w:rsidR="0016237E" w:rsidRPr="0016237E">
        <w:rPr>
          <w:snapToGrid/>
          <w:sz w:val="22"/>
          <w:szCs w:val="22"/>
          <w:lang w:val="de-DE"/>
        </w:rPr>
        <w:t>. wird erstmalig beschrieben und klargestellt, wer für den technisch richtigen Inhalt der Lade- und Löschinstruktion verantwortlich ist. Dies muss die Klassifikationsgesellschaft, die das Schiff klassifiziert hat sein, weil sie auch die Konstruktion der Ladetanks und der zugehörigen Leitungen im Rahmen des Untersuchungsverfahrens nach ADN und ihrer eignen Bauvorschriften abnimmt.</w:t>
      </w:r>
    </w:p>
    <w:p w:rsidR="0016237E" w:rsidRPr="000F2981" w:rsidRDefault="0016237E"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b/>
          <w:snapToGrid/>
          <w:sz w:val="22"/>
          <w:szCs w:val="22"/>
          <w:lang w:val="de-DE"/>
        </w:rPr>
      </w:pPr>
    </w:p>
    <w:p w:rsidR="000F2981" w:rsidRPr="0016237E" w:rsidRDefault="000F2981"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b/>
          <w:snapToGrid/>
          <w:sz w:val="22"/>
          <w:szCs w:val="22"/>
          <w:lang w:val="de-DE"/>
        </w:rPr>
      </w:pPr>
    </w:p>
    <w:p w:rsidR="0016237E" w:rsidRPr="000F2981" w:rsidRDefault="0016237E"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b/>
          <w:snapToGrid/>
          <w:sz w:val="24"/>
          <w:szCs w:val="24"/>
          <w:lang w:val="de-DE"/>
        </w:rPr>
      </w:pPr>
      <w:r w:rsidRPr="0016237E">
        <w:rPr>
          <w:b/>
          <w:snapToGrid/>
          <w:sz w:val="24"/>
          <w:szCs w:val="24"/>
          <w:lang w:val="de-DE"/>
        </w:rPr>
        <w:t>Sicherheit</w:t>
      </w:r>
    </w:p>
    <w:p w:rsidR="000F2981" w:rsidRPr="0016237E" w:rsidRDefault="000F2981"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b/>
          <w:snapToGrid/>
          <w:sz w:val="22"/>
          <w:szCs w:val="22"/>
          <w:lang w:val="de-DE"/>
        </w:rPr>
      </w:pPr>
    </w:p>
    <w:p w:rsidR="0016237E" w:rsidRPr="0016237E" w:rsidRDefault="00D34FA9"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Pr>
          <w:snapToGrid/>
          <w:sz w:val="22"/>
          <w:szCs w:val="22"/>
          <w:lang w:val="de-DE"/>
        </w:rPr>
        <w:t>17</w:t>
      </w:r>
      <w:r w:rsidR="0016237E" w:rsidRPr="0016237E">
        <w:rPr>
          <w:snapToGrid/>
          <w:sz w:val="22"/>
          <w:szCs w:val="22"/>
          <w:lang w:val="de-DE"/>
        </w:rPr>
        <w:t>.</w:t>
      </w:r>
      <w:r w:rsidR="0016237E" w:rsidRPr="0016237E">
        <w:rPr>
          <w:snapToGrid/>
          <w:sz w:val="22"/>
          <w:szCs w:val="22"/>
          <w:lang w:val="de-DE"/>
        </w:rPr>
        <w:tab/>
        <w:t>Die Sicherheit der Beförderung wird verbessert, weil unklare, einer Fehlinterpretation zugängliche Bestimmungen verbessert und dadurch technische Fehlerquellen für das Laden und Löschen beseitigt werden.</w:t>
      </w:r>
    </w:p>
    <w:p w:rsidR="0016237E" w:rsidRPr="000F2981" w:rsidRDefault="0016237E" w:rsidP="000F2981">
      <w:pPr>
        <w:widowControl w:val="0"/>
        <w:tabs>
          <w:tab w:val="left" w:pos="567"/>
          <w:tab w:val="left" w:pos="1418"/>
        </w:tabs>
        <w:suppressAutoHyphens w:val="0"/>
        <w:overflowPunct w:val="0"/>
        <w:autoSpaceDE w:val="0"/>
        <w:autoSpaceDN w:val="0"/>
        <w:adjustRightInd w:val="0"/>
        <w:ind w:left="1134" w:hanging="1134"/>
        <w:jc w:val="both"/>
        <w:textAlignment w:val="baseline"/>
        <w:rPr>
          <w:snapToGrid/>
          <w:sz w:val="22"/>
          <w:szCs w:val="22"/>
          <w:lang w:val="de-DE"/>
        </w:rPr>
      </w:pPr>
    </w:p>
    <w:p w:rsidR="000F2981" w:rsidRPr="0016237E" w:rsidRDefault="000F2981" w:rsidP="000F2981">
      <w:pPr>
        <w:widowControl w:val="0"/>
        <w:tabs>
          <w:tab w:val="left" w:pos="1418"/>
        </w:tabs>
        <w:suppressAutoHyphens w:val="0"/>
        <w:overflowPunct w:val="0"/>
        <w:autoSpaceDE w:val="0"/>
        <w:autoSpaceDN w:val="0"/>
        <w:adjustRightInd w:val="0"/>
        <w:ind w:left="1134" w:hanging="1134"/>
        <w:jc w:val="both"/>
        <w:textAlignment w:val="baseline"/>
        <w:rPr>
          <w:snapToGrid/>
          <w:sz w:val="22"/>
          <w:szCs w:val="22"/>
          <w:lang w:val="de-DE"/>
        </w:rPr>
      </w:pPr>
    </w:p>
    <w:p w:rsidR="0016237E" w:rsidRPr="0016237E" w:rsidRDefault="0016237E" w:rsidP="000F2981">
      <w:pPr>
        <w:widowControl w:val="0"/>
        <w:tabs>
          <w:tab w:val="left" w:pos="1418"/>
        </w:tabs>
        <w:suppressAutoHyphens w:val="0"/>
        <w:overflowPunct w:val="0"/>
        <w:autoSpaceDE w:val="0"/>
        <w:autoSpaceDN w:val="0"/>
        <w:adjustRightInd w:val="0"/>
        <w:ind w:left="1134" w:hanging="1134"/>
        <w:jc w:val="both"/>
        <w:textAlignment w:val="baseline"/>
        <w:rPr>
          <w:b/>
          <w:snapToGrid/>
          <w:sz w:val="24"/>
          <w:szCs w:val="24"/>
          <w:lang w:val="de-DE"/>
        </w:rPr>
      </w:pPr>
      <w:r w:rsidRPr="0016237E">
        <w:rPr>
          <w:b/>
          <w:snapToGrid/>
          <w:sz w:val="24"/>
          <w:szCs w:val="24"/>
          <w:lang w:val="de-DE"/>
        </w:rPr>
        <w:t>Umsetzbarkeit</w:t>
      </w:r>
    </w:p>
    <w:p w:rsidR="000F2981" w:rsidRPr="000F2981" w:rsidRDefault="000F2981" w:rsidP="000F2981">
      <w:pPr>
        <w:widowControl w:val="0"/>
        <w:tabs>
          <w:tab w:val="left" w:pos="1418"/>
        </w:tabs>
        <w:suppressAutoHyphens w:val="0"/>
        <w:overflowPunct w:val="0"/>
        <w:autoSpaceDE w:val="0"/>
        <w:autoSpaceDN w:val="0"/>
        <w:adjustRightInd w:val="0"/>
        <w:jc w:val="both"/>
        <w:textAlignment w:val="baseline"/>
        <w:rPr>
          <w:snapToGrid/>
          <w:sz w:val="22"/>
          <w:szCs w:val="22"/>
          <w:lang w:val="de-DE"/>
        </w:rPr>
      </w:pPr>
    </w:p>
    <w:p w:rsidR="0016237E" w:rsidRPr="0016237E" w:rsidRDefault="00D34FA9" w:rsidP="000F2981">
      <w:pPr>
        <w:widowControl w:val="0"/>
        <w:tabs>
          <w:tab w:val="left" w:pos="567"/>
          <w:tab w:val="left" w:pos="1418"/>
        </w:tabs>
        <w:suppressAutoHyphens w:val="0"/>
        <w:overflowPunct w:val="0"/>
        <w:autoSpaceDE w:val="0"/>
        <w:autoSpaceDN w:val="0"/>
        <w:adjustRightInd w:val="0"/>
        <w:jc w:val="both"/>
        <w:textAlignment w:val="baseline"/>
        <w:rPr>
          <w:snapToGrid/>
          <w:sz w:val="22"/>
          <w:szCs w:val="22"/>
          <w:lang w:val="de-DE"/>
        </w:rPr>
      </w:pPr>
      <w:r>
        <w:rPr>
          <w:snapToGrid/>
          <w:sz w:val="22"/>
          <w:szCs w:val="22"/>
          <w:lang w:val="de-DE"/>
        </w:rPr>
        <w:t>18</w:t>
      </w:r>
      <w:r w:rsidR="0016237E" w:rsidRPr="0016237E">
        <w:rPr>
          <w:snapToGrid/>
          <w:sz w:val="22"/>
          <w:szCs w:val="22"/>
          <w:lang w:val="de-DE"/>
        </w:rPr>
        <w:t>.</w:t>
      </w:r>
      <w:r w:rsidR="0016237E" w:rsidRPr="0016237E">
        <w:rPr>
          <w:snapToGrid/>
          <w:sz w:val="22"/>
          <w:szCs w:val="22"/>
          <w:lang w:val="de-DE"/>
        </w:rPr>
        <w:tab/>
        <w:t>Es sind keine baulichen Veränderungen an Schiff oder Ausrüstung erforderlich. Das Personal der betroffenen Unternehmen kann in einfacher Weise über die beim Laden und Löschen zu beachtende Änderung informiert werden. Die Genehmigung der Lade- und Löschinstruktion entspricht der heute geübten Praxis.</w:t>
      </w:r>
    </w:p>
    <w:p w:rsidR="0016237E" w:rsidRPr="0016237E" w:rsidRDefault="0016237E" w:rsidP="000F2981">
      <w:pPr>
        <w:widowControl w:val="0"/>
        <w:tabs>
          <w:tab w:val="left" w:pos="1418"/>
        </w:tabs>
        <w:suppressAutoHyphens w:val="0"/>
        <w:overflowPunct w:val="0"/>
        <w:autoSpaceDE w:val="0"/>
        <w:autoSpaceDN w:val="0"/>
        <w:adjustRightInd w:val="0"/>
        <w:ind w:left="1134" w:hanging="1134"/>
        <w:jc w:val="both"/>
        <w:textAlignment w:val="baseline"/>
        <w:rPr>
          <w:snapToGrid/>
          <w:sz w:val="22"/>
          <w:szCs w:val="22"/>
          <w:lang w:val="de-DE"/>
        </w:rPr>
      </w:pPr>
    </w:p>
    <w:p w:rsidR="000F2981" w:rsidRPr="00792806" w:rsidRDefault="00787CE3">
      <w:pPr>
        <w:ind w:left="1134" w:right="1134"/>
        <w:jc w:val="center"/>
        <w:rPr>
          <w:u w:val="single"/>
          <w:lang w:val="fr-FR"/>
        </w:rPr>
      </w:pPr>
      <w:r w:rsidRPr="000F2981">
        <w:rPr>
          <w:sz w:val="22"/>
          <w:szCs w:val="22"/>
          <w:lang w:val="fr-FR"/>
        </w:rPr>
        <w:t>***</w:t>
      </w:r>
    </w:p>
    <w:sectPr w:rsidR="000F2981" w:rsidRPr="00792806" w:rsidSect="00C35F27">
      <w:headerReference w:type="even" r:id="rId10"/>
      <w:headerReference w:type="default" r:id="rId11"/>
      <w:footerReference w:type="even" r:id="rId12"/>
      <w:footerReference w:type="default" r:id="rId13"/>
      <w:pgSz w:w="11907" w:h="16839" w:code="9"/>
      <w:pgMar w:top="1701" w:right="1134" w:bottom="2268"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FE" w:rsidRDefault="00E951FE">
      <w:pPr>
        <w:rPr>
          <w:szCs w:val="24"/>
        </w:rPr>
      </w:pPr>
    </w:p>
  </w:endnote>
  <w:endnote w:type="continuationSeparator" w:id="0">
    <w:p w:rsidR="00E951FE" w:rsidRDefault="00E951FE">
      <w:pPr>
        <w:rPr>
          <w:szCs w:val="24"/>
        </w:rPr>
      </w:pPr>
    </w:p>
  </w:endnote>
  <w:endnote w:type="continuationNotice" w:id="1">
    <w:p w:rsidR="00E951FE" w:rsidRDefault="00E951F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FE0BD6">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760E3C">
      <w:rPr>
        <w:rFonts w:ascii="Arial" w:hAnsi="Arial"/>
        <w:noProof/>
        <w:snapToGrid/>
        <w:sz w:val="12"/>
        <w:szCs w:val="24"/>
        <w:lang w:val="fr-FR"/>
      </w:rPr>
      <w:t>6</w:t>
    </w:r>
    <w:r w:rsidRPr="00F73CA8">
      <w:rPr>
        <w:rFonts w:ascii="Arial" w:hAnsi="Arial"/>
        <w:noProof/>
        <w:snapToGrid/>
        <w:sz w:val="12"/>
        <w:szCs w:val="24"/>
        <w:lang w:val="fr-FR"/>
      </w:rPr>
      <w:t>_</w:t>
    </w:r>
    <w:r w:rsidR="001466ED">
      <w:rPr>
        <w:rFonts w:ascii="Arial" w:hAnsi="Arial"/>
        <w:noProof/>
        <w:snapToGrid/>
        <w:sz w:val="12"/>
        <w:szCs w:val="24"/>
        <w:lang w:val="fr-FR"/>
      </w:rPr>
      <w:t>18</w:t>
    </w:r>
    <w:r w:rsidRPr="00F73CA8">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951A0F">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3B4590">
      <w:rPr>
        <w:rFonts w:ascii="Arial" w:hAnsi="Arial"/>
        <w:noProof/>
        <w:snapToGrid/>
        <w:sz w:val="12"/>
        <w:szCs w:val="24"/>
        <w:lang w:val="fr-FR"/>
      </w:rPr>
      <w:t>6</w:t>
    </w:r>
    <w:r w:rsidRPr="00F73CA8">
      <w:rPr>
        <w:rFonts w:ascii="Arial" w:hAnsi="Arial"/>
        <w:noProof/>
        <w:snapToGrid/>
        <w:sz w:val="12"/>
        <w:szCs w:val="24"/>
        <w:lang w:val="fr-FR"/>
      </w:rPr>
      <w:t>_</w:t>
    </w:r>
    <w:r w:rsidR="00FB6683">
      <w:rPr>
        <w:rFonts w:ascii="Arial" w:hAnsi="Arial"/>
        <w:noProof/>
        <w:snapToGrid/>
        <w:sz w:val="12"/>
        <w:szCs w:val="24"/>
        <w:lang w:val="fr-FR"/>
      </w:rPr>
      <w:t>18</w:t>
    </w:r>
    <w:r w:rsidRPr="00F73CA8">
      <w:rPr>
        <w:rFonts w:ascii="Arial" w:hAnsi="Arial"/>
        <w:noProof/>
        <w:snapToGrid/>
        <w:sz w:val="12"/>
        <w:szCs w:val="24"/>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FE" w:rsidRDefault="00E951FE">
      <w:pPr>
        <w:tabs>
          <w:tab w:val="right" w:pos="2155"/>
        </w:tabs>
        <w:spacing w:after="80"/>
        <w:ind w:left="680"/>
        <w:rPr>
          <w:szCs w:val="24"/>
          <w:u w:val="single"/>
        </w:rPr>
      </w:pPr>
      <w:r>
        <w:rPr>
          <w:szCs w:val="24"/>
          <w:u w:val="single"/>
        </w:rPr>
        <w:tab/>
      </w:r>
    </w:p>
  </w:footnote>
  <w:footnote w:type="continuationSeparator" w:id="0">
    <w:p w:rsidR="00E951FE" w:rsidRDefault="00E951FE">
      <w:pPr>
        <w:tabs>
          <w:tab w:val="left" w:pos="2155"/>
        </w:tabs>
        <w:spacing w:after="80"/>
        <w:ind w:left="680"/>
        <w:rPr>
          <w:szCs w:val="24"/>
          <w:u w:val="single"/>
        </w:rPr>
      </w:pPr>
      <w:r>
        <w:rPr>
          <w:szCs w:val="24"/>
          <w:u w:val="single"/>
        </w:rPr>
        <w:tab/>
      </w:r>
    </w:p>
  </w:footnote>
  <w:footnote w:type="continuationNotice" w:id="1">
    <w:p w:rsidR="00E951FE" w:rsidRDefault="00E951FE">
      <w:pPr>
        <w:rPr>
          <w:szCs w:val="24"/>
        </w:rPr>
      </w:pPr>
    </w:p>
  </w:footnote>
  <w:footnote w:id="2">
    <w:p w:rsidR="00787CE3" w:rsidRPr="005F667A" w:rsidRDefault="00787CE3" w:rsidP="00787CE3">
      <w:pPr>
        <w:pStyle w:val="Notedebasdepage"/>
        <w:ind w:left="284" w:hanging="284"/>
        <w:rPr>
          <w:sz w:val="16"/>
          <w:szCs w:val="16"/>
          <w:lang w:val="de-DE"/>
        </w:rPr>
      </w:pPr>
      <w:r w:rsidRPr="0061638E">
        <w:rPr>
          <w:rStyle w:val="Appelnotedebasdep"/>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sidR="00D06F78">
        <w:rPr>
          <w:sz w:val="16"/>
          <w:szCs w:val="16"/>
          <w:lang w:val="de-DE"/>
        </w:rPr>
        <w:t>18</w:t>
      </w:r>
      <w:r w:rsidRPr="005F667A">
        <w:rPr>
          <w:sz w:val="16"/>
          <w:szCs w:val="16"/>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4A4DB1" w:rsidRDefault="003E2153" w:rsidP="00B54817">
    <w:pPr>
      <w:pStyle w:val="En-tte"/>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sidR="003B4590">
      <w:rPr>
        <w:rFonts w:ascii="Arial" w:hAnsi="Arial"/>
        <w:b w:val="0"/>
        <w:sz w:val="16"/>
        <w:szCs w:val="16"/>
        <w:lang w:val="fr-FR"/>
      </w:rPr>
      <w:t>6</w:t>
    </w:r>
    <w:r w:rsidR="004A4DB1" w:rsidRPr="004A4DB1">
      <w:rPr>
        <w:rFonts w:ascii="Arial" w:hAnsi="Arial"/>
        <w:b w:val="0"/>
        <w:sz w:val="16"/>
        <w:szCs w:val="16"/>
        <w:lang w:val="fr-FR"/>
      </w:rPr>
      <w:t>/</w:t>
    </w:r>
    <w:r w:rsidR="00FB6683">
      <w:rPr>
        <w:rFonts w:ascii="Arial" w:hAnsi="Arial"/>
        <w:b w:val="0"/>
        <w:sz w:val="16"/>
        <w:szCs w:val="16"/>
        <w:lang w:val="fr-FR"/>
      </w:rPr>
      <w:t>18</w:t>
    </w:r>
  </w:p>
  <w:p w:rsidR="003E2153" w:rsidRDefault="003E2153" w:rsidP="00B54817">
    <w:pPr>
      <w:pStyle w:val="En-tte"/>
      <w:pBdr>
        <w:bottom w:val="none" w:sz="0" w:space="0" w:color="auto"/>
      </w:pBdr>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AA7C1B">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B4590" w:rsidRDefault="003E2153" w:rsidP="00951A0F">
    <w:pPr>
      <w:pStyle w:val="En-tte"/>
      <w:pBdr>
        <w:bottom w:val="none" w:sz="0" w:space="0" w:color="auto"/>
      </w:pBdr>
      <w:jc w:val="right"/>
      <w:rPr>
        <w:rFonts w:ascii="Arial" w:hAnsi="Arial"/>
        <w:b w:val="0"/>
        <w:sz w:val="16"/>
        <w:szCs w:val="16"/>
        <w:lang w:val="fr-FR"/>
      </w:rPr>
    </w:pPr>
    <w:r w:rsidRPr="003B4590">
      <w:rPr>
        <w:rFonts w:ascii="Arial" w:hAnsi="Arial"/>
        <w:b w:val="0"/>
        <w:sz w:val="16"/>
        <w:szCs w:val="16"/>
        <w:lang w:val="fr-FR"/>
      </w:rPr>
      <w:t>CCNR-ZKR/ADN/WP.15/AC.2/201</w:t>
    </w:r>
    <w:r w:rsidR="003B4590" w:rsidRPr="003B4590">
      <w:rPr>
        <w:rFonts w:ascii="Arial" w:hAnsi="Arial"/>
        <w:b w:val="0"/>
        <w:sz w:val="16"/>
        <w:szCs w:val="16"/>
        <w:lang w:val="fr-FR"/>
      </w:rPr>
      <w:t>6</w:t>
    </w:r>
    <w:r w:rsidRPr="003B4590">
      <w:rPr>
        <w:rFonts w:ascii="Arial" w:hAnsi="Arial"/>
        <w:b w:val="0"/>
        <w:sz w:val="16"/>
        <w:szCs w:val="16"/>
        <w:lang w:val="fr-FR"/>
      </w:rPr>
      <w:t>/</w:t>
    </w:r>
    <w:r w:rsidR="001466ED">
      <w:rPr>
        <w:rFonts w:ascii="Arial" w:hAnsi="Arial"/>
        <w:b w:val="0"/>
        <w:sz w:val="16"/>
        <w:szCs w:val="16"/>
        <w:lang w:val="fr-FR"/>
      </w:rPr>
      <w:t>18</w:t>
    </w:r>
  </w:p>
  <w:p w:rsidR="003E2153" w:rsidRDefault="003E2153" w:rsidP="00951A0F">
    <w:pPr>
      <w:pStyle w:val="En-tte"/>
      <w:pBdr>
        <w:bottom w:val="none" w:sz="0" w:space="0" w:color="auto"/>
      </w:pBdr>
      <w:jc w:val="right"/>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AA7C1B">
      <w:rPr>
        <w:rFonts w:ascii="Arial" w:hAnsi="Arial"/>
        <w:b w:val="0"/>
        <w:noProof/>
        <w:sz w:val="16"/>
        <w:szCs w:val="16"/>
      </w:rPr>
      <w:t>3</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5">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7">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19">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2">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3">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4">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3">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4">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7F386E"/>
    <w:multiLevelType w:val="hybridMultilevel"/>
    <w:tmpl w:val="6D0CF72A"/>
    <w:lvl w:ilvl="0" w:tplc="5D260B50">
      <w:start w:val="1"/>
      <w:numFmt w:val="upperRoman"/>
      <w:pStyle w:val="Listepuces"/>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6">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9"/>
  </w:num>
  <w:num w:numId="4">
    <w:abstractNumId w:val="6"/>
  </w:num>
  <w:num w:numId="5">
    <w:abstractNumId w:val="34"/>
  </w:num>
  <w:num w:numId="6">
    <w:abstractNumId w:val="4"/>
  </w:num>
  <w:num w:numId="7">
    <w:abstractNumId w:val="7"/>
  </w:num>
  <w:num w:numId="8">
    <w:abstractNumId w:val="21"/>
  </w:num>
  <w:num w:numId="9">
    <w:abstractNumId w:val="12"/>
  </w:num>
  <w:num w:numId="10">
    <w:abstractNumId w:val="8"/>
  </w:num>
  <w:num w:numId="11">
    <w:abstractNumId w:val="23"/>
  </w:num>
  <w:num w:numId="12">
    <w:abstractNumId w:val="5"/>
  </w:num>
  <w:num w:numId="13">
    <w:abstractNumId w:val="32"/>
  </w:num>
  <w:num w:numId="14">
    <w:abstractNumId w:val="9"/>
  </w:num>
  <w:num w:numId="15">
    <w:abstractNumId w:val="36"/>
  </w:num>
  <w:num w:numId="16">
    <w:abstractNumId w:val="30"/>
  </w:num>
  <w:num w:numId="17">
    <w:abstractNumId w:val="20"/>
  </w:num>
  <w:num w:numId="18">
    <w:abstractNumId w:val="14"/>
  </w:num>
  <w:num w:numId="19">
    <w:abstractNumId w:val="22"/>
  </w:num>
  <w:num w:numId="20">
    <w:abstractNumId w:val="10"/>
  </w:num>
  <w:num w:numId="21">
    <w:abstractNumId w:val="27"/>
  </w:num>
  <w:num w:numId="22">
    <w:abstractNumId w:val="35"/>
  </w:num>
  <w:num w:numId="23">
    <w:abstractNumId w:val="28"/>
  </w:num>
  <w:num w:numId="24">
    <w:abstractNumId w:val="17"/>
  </w:num>
  <w:num w:numId="25">
    <w:abstractNumId w:val="26"/>
  </w:num>
  <w:num w:numId="26">
    <w:abstractNumId w:val="16"/>
  </w:num>
  <w:num w:numId="27">
    <w:abstractNumId w:val="15"/>
  </w:num>
  <w:num w:numId="28">
    <w:abstractNumId w:val="31"/>
  </w:num>
  <w:num w:numId="29">
    <w:abstractNumId w:val="18"/>
  </w:num>
  <w:num w:numId="30">
    <w:abstractNumId w:val="25"/>
  </w:num>
  <w:num w:numId="31">
    <w:abstractNumId w:val="19"/>
  </w:num>
  <w:num w:numId="32">
    <w:abstractNumId w:val="24"/>
  </w:num>
  <w:num w:numId="33">
    <w:abstractNumId w:val="3"/>
  </w:num>
  <w:num w:numId="34">
    <w:abstractNumId w:val="11"/>
  </w:num>
  <w:num w:numId="35">
    <w:abstractNumId w:val="33"/>
  </w:num>
  <w:num w:numId="36">
    <w:abstractNumId w:val="13"/>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53C5"/>
    <w:rsid w:val="00010CCD"/>
    <w:rsid w:val="00020B06"/>
    <w:rsid w:val="0002116F"/>
    <w:rsid w:val="00024FB3"/>
    <w:rsid w:val="00030C06"/>
    <w:rsid w:val="00031537"/>
    <w:rsid w:val="00035613"/>
    <w:rsid w:val="00037CC1"/>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E0415"/>
    <w:rsid w:val="000E247A"/>
    <w:rsid w:val="000E520B"/>
    <w:rsid w:val="000E566D"/>
    <w:rsid w:val="000E7062"/>
    <w:rsid w:val="000E7BD0"/>
    <w:rsid w:val="000F2981"/>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66ED"/>
    <w:rsid w:val="001471A5"/>
    <w:rsid w:val="00155C78"/>
    <w:rsid w:val="00161846"/>
    <w:rsid w:val="0016237E"/>
    <w:rsid w:val="001628F5"/>
    <w:rsid w:val="00172CF3"/>
    <w:rsid w:val="001730D3"/>
    <w:rsid w:val="00174EA5"/>
    <w:rsid w:val="001817E0"/>
    <w:rsid w:val="00181A2A"/>
    <w:rsid w:val="001870ED"/>
    <w:rsid w:val="00191685"/>
    <w:rsid w:val="00193460"/>
    <w:rsid w:val="001938F0"/>
    <w:rsid w:val="001A1048"/>
    <w:rsid w:val="001A148C"/>
    <w:rsid w:val="001A2704"/>
    <w:rsid w:val="001A4ED5"/>
    <w:rsid w:val="001B3169"/>
    <w:rsid w:val="001B3934"/>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06FF"/>
    <w:rsid w:val="00211454"/>
    <w:rsid w:val="00211E0B"/>
    <w:rsid w:val="002161C2"/>
    <w:rsid w:val="00224AA7"/>
    <w:rsid w:val="00225418"/>
    <w:rsid w:val="00231733"/>
    <w:rsid w:val="00236DE8"/>
    <w:rsid w:val="002405A7"/>
    <w:rsid w:val="00242C50"/>
    <w:rsid w:val="00242D7E"/>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277A"/>
    <w:rsid w:val="00395B51"/>
    <w:rsid w:val="003972E0"/>
    <w:rsid w:val="003A1EBD"/>
    <w:rsid w:val="003A3950"/>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6793"/>
    <w:rsid w:val="00446DE4"/>
    <w:rsid w:val="0045017B"/>
    <w:rsid w:val="00452BB4"/>
    <w:rsid w:val="004535E7"/>
    <w:rsid w:val="0045394D"/>
    <w:rsid w:val="0045575E"/>
    <w:rsid w:val="004578CF"/>
    <w:rsid w:val="004644C6"/>
    <w:rsid w:val="00466C98"/>
    <w:rsid w:val="004743AE"/>
    <w:rsid w:val="00480BB9"/>
    <w:rsid w:val="00481194"/>
    <w:rsid w:val="00481AC6"/>
    <w:rsid w:val="004835E7"/>
    <w:rsid w:val="00492241"/>
    <w:rsid w:val="00492774"/>
    <w:rsid w:val="004933E1"/>
    <w:rsid w:val="00495EE5"/>
    <w:rsid w:val="00496493"/>
    <w:rsid w:val="00497343"/>
    <w:rsid w:val="004A1EF5"/>
    <w:rsid w:val="004A1F22"/>
    <w:rsid w:val="004A1F48"/>
    <w:rsid w:val="004A2EDD"/>
    <w:rsid w:val="004A3894"/>
    <w:rsid w:val="004A3E33"/>
    <w:rsid w:val="004A41CA"/>
    <w:rsid w:val="004A4DB1"/>
    <w:rsid w:val="004A5778"/>
    <w:rsid w:val="004B1567"/>
    <w:rsid w:val="004B29D2"/>
    <w:rsid w:val="004B5816"/>
    <w:rsid w:val="004C0580"/>
    <w:rsid w:val="004C7BD2"/>
    <w:rsid w:val="004D2AF1"/>
    <w:rsid w:val="004D785F"/>
    <w:rsid w:val="004D7A03"/>
    <w:rsid w:val="004E2C8B"/>
    <w:rsid w:val="004E6760"/>
    <w:rsid w:val="004E74FC"/>
    <w:rsid w:val="004F13C8"/>
    <w:rsid w:val="004F1BE5"/>
    <w:rsid w:val="004F2C14"/>
    <w:rsid w:val="004F312F"/>
    <w:rsid w:val="004F6071"/>
    <w:rsid w:val="004F750B"/>
    <w:rsid w:val="00501AA2"/>
    <w:rsid w:val="00503228"/>
    <w:rsid w:val="00505384"/>
    <w:rsid w:val="00513283"/>
    <w:rsid w:val="005134CA"/>
    <w:rsid w:val="0051427A"/>
    <w:rsid w:val="0051520D"/>
    <w:rsid w:val="0051600A"/>
    <w:rsid w:val="005166F9"/>
    <w:rsid w:val="00516773"/>
    <w:rsid w:val="0052122E"/>
    <w:rsid w:val="00521ECF"/>
    <w:rsid w:val="00526A9F"/>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A685F"/>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E99"/>
    <w:rsid w:val="00712D44"/>
    <w:rsid w:val="00714AFC"/>
    <w:rsid w:val="00715E93"/>
    <w:rsid w:val="00715F12"/>
    <w:rsid w:val="00717597"/>
    <w:rsid w:val="007177A5"/>
    <w:rsid w:val="00717E9A"/>
    <w:rsid w:val="00720053"/>
    <w:rsid w:val="00722811"/>
    <w:rsid w:val="0072632A"/>
    <w:rsid w:val="00726CBE"/>
    <w:rsid w:val="0072750B"/>
    <w:rsid w:val="0073465B"/>
    <w:rsid w:val="00734C2D"/>
    <w:rsid w:val="00737E85"/>
    <w:rsid w:val="00740176"/>
    <w:rsid w:val="007425B4"/>
    <w:rsid w:val="00743AA0"/>
    <w:rsid w:val="00744294"/>
    <w:rsid w:val="0075038C"/>
    <w:rsid w:val="00751197"/>
    <w:rsid w:val="0075310B"/>
    <w:rsid w:val="0075352F"/>
    <w:rsid w:val="00756A00"/>
    <w:rsid w:val="00757B9F"/>
    <w:rsid w:val="00760E3C"/>
    <w:rsid w:val="00762551"/>
    <w:rsid w:val="0076336D"/>
    <w:rsid w:val="007668D3"/>
    <w:rsid w:val="00766EC7"/>
    <w:rsid w:val="007674B0"/>
    <w:rsid w:val="0077083D"/>
    <w:rsid w:val="00774068"/>
    <w:rsid w:val="00777BDB"/>
    <w:rsid w:val="007838FF"/>
    <w:rsid w:val="00787CE3"/>
    <w:rsid w:val="00792806"/>
    <w:rsid w:val="007939A6"/>
    <w:rsid w:val="00797065"/>
    <w:rsid w:val="00797099"/>
    <w:rsid w:val="007A01FC"/>
    <w:rsid w:val="007A3C01"/>
    <w:rsid w:val="007B6BA5"/>
    <w:rsid w:val="007B7B1E"/>
    <w:rsid w:val="007C169B"/>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2AFA"/>
    <w:rsid w:val="00842B7B"/>
    <w:rsid w:val="00844584"/>
    <w:rsid w:val="00853E16"/>
    <w:rsid w:val="0085417D"/>
    <w:rsid w:val="008550E6"/>
    <w:rsid w:val="00863555"/>
    <w:rsid w:val="00864768"/>
    <w:rsid w:val="00866B0C"/>
    <w:rsid w:val="00866E24"/>
    <w:rsid w:val="008719EB"/>
    <w:rsid w:val="00871FD5"/>
    <w:rsid w:val="00875B69"/>
    <w:rsid w:val="00876630"/>
    <w:rsid w:val="00880120"/>
    <w:rsid w:val="00880D35"/>
    <w:rsid w:val="00881E3E"/>
    <w:rsid w:val="00890BAF"/>
    <w:rsid w:val="008932A0"/>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2B50"/>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D10EC"/>
    <w:rsid w:val="009D236B"/>
    <w:rsid w:val="009D43C2"/>
    <w:rsid w:val="009D5DD3"/>
    <w:rsid w:val="009D60EC"/>
    <w:rsid w:val="009E088A"/>
    <w:rsid w:val="009E102B"/>
    <w:rsid w:val="009E171B"/>
    <w:rsid w:val="009E29EB"/>
    <w:rsid w:val="009E69DD"/>
    <w:rsid w:val="009F2A92"/>
    <w:rsid w:val="009F3A17"/>
    <w:rsid w:val="009F49F7"/>
    <w:rsid w:val="009F5056"/>
    <w:rsid w:val="009F5ED7"/>
    <w:rsid w:val="00A002DC"/>
    <w:rsid w:val="00A01E5A"/>
    <w:rsid w:val="00A0550C"/>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A7C1B"/>
    <w:rsid w:val="00AB3DA4"/>
    <w:rsid w:val="00AB7662"/>
    <w:rsid w:val="00AB7676"/>
    <w:rsid w:val="00AC1316"/>
    <w:rsid w:val="00AC2900"/>
    <w:rsid w:val="00AC6F63"/>
    <w:rsid w:val="00AC76F5"/>
    <w:rsid w:val="00AD7888"/>
    <w:rsid w:val="00AE20DC"/>
    <w:rsid w:val="00AE55CE"/>
    <w:rsid w:val="00AE7A4A"/>
    <w:rsid w:val="00AF6613"/>
    <w:rsid w:val="00AF685C"/>
    <w:rsid w:val="00B0164B"/>
    <w:rsid w:val="00B03A46"/>
    <w:rsid w:val="00B11FD2"/>
    <w:rsid w:val="00B12E63"/>
    <w:rsid w:val="00B146F4"/>
    <w:rsid w:val="00B24BA5"/>
    <w:rsid w:val="00B24D69"/>
    <w:rsid w:val="00B27444"/>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73EE"/>
    <w:rsid w:val="00BC74E9"/>
    <w:rsid w:val="00BC775C"/>
    <w:rsid w:val="00BD1D9F"/>
    <w:rsid w:val="00BD2146"/>
    <w:rsid w:val="00BD2427"/>
    <w:rsid w:val="00BE07FE"/>
    <w:rsid w:val="00BE2319"/>
    <w:rsid w:val="00BE2713"/>
    <w:rsid w:val="00BE4F74"/>
    <w:rsid w:val="00BE618E"/>
    <w:rsid w:val="00BF25C2"/>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6B2E"/>
    <w:rsid w:val="00CD7454"/>
    <w:rsid w:val="00CE01C0"/>
    <w:rsid w:val="00CE497F"/>
    <w:rsid w:val="00CE4A8F"/>
    <w:rsid w:val="00CE4B5A"/>
    <w:rsid w:val="00CE4D7C"/>
    <w:rsid w:val="00CE6550"/>
    <w:rsid w:val="00CF36F3"/>
    <w:rsid w:val="00CF37F3"/>
    <w:rsid w:val="00CF3CB7"/>
    <w:rsid w:val="00CF5BB0"/>
    <w:rsid w:val="00D01E98"/>
    <w:rsid w:val="00D04BA4"/>
    <w:rsid w:val="00D04E81"/>
    <w:rsid w:val="00D06F78"/>
    <w:rsid w:val="00D121B6"/>
    <w:rsid w:val="00D1389C"/>
    <w:rsid w:val="00D1425B"/>
    <w:rsid w:val="00D164DD"/>
    <w:rsid w:val="00D2031B"/>
    <w:rsid w:val="00D25388"/>
    <w:rsid w:val="00D25FE2"/>
    <w:rsid w:val="00D26929"/>
    <w:rsid w:val="00D27576"/>
    <w:rsid w:val="00D30977"/>
    <w:rsid w:val="00D317BB"/>
    <w:rsid w:val="00D33328"/>
    <w:rsid w:val="00D34FA9"/>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5A0F"/>
    <w:rsid w:val="00DA67AD"/>
    <w:rsid w:val="00DB06D2"/>
    <w:rsid w:val="00DB2042"/>
    <w:rsid w:val="00DB2A63"/>
    <w:rsid w:val="00DB4C2A"/>
    <w:rsid w:val="00DB5D0F"/>
    <w:rsid w:val="00DC59B0"/>
    <w:rsid w:val="00DC6021"/>
    <w:rsid w:val="00DD415F"/>
    <w:rsid w:val="00DE32AC"/>
    <w:rsid w:val="00DE3411"/>
    <w:rsid w:val="00DE4FE4"/>
    <w:rsid w:val="00DE698D"/>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617C"/>
    <w:rsid w:val="00E363D6"/>
    <w:rsid w:val="00E37B82"/>
    <w:rsid w:val="00E41CFE"/>
    <w:rsid w:val="00E43F71"/>
    <w:rsid w:val="00E46597"/>
    <w:rsid w:val="00E47898"/>
    <w:rsid w:val="00E53AC3"/>
    <w:rsid w:val="00E55279"/>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6683"/>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81"/>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81"/>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6612-E511-434A-8489-9DE09B9C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17</TotalTime>
  <Pages>3</Pages>
  <Words>753</Words>
  <Characters>5020</Characters>
  <Application>Microsoft Office Word</Application>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Martine Moench</cp:lastModifiedBy>
  <cp:revision>9</cp:revision>
  <cp:lastPrinted>2015-11-12T09:33:00Z</cp:lastPrinted>
  <dcterms:created xsi:type="dcterms:W3CDTF">2015-11-12T09:25:00Z</dcterms:created>
  <dcterms:modified xsi:type="dcterms:W3CDTF">2015-11-12T09:45:00Z</dcterms:modified>
</cp:coreProperties>
</file>