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E3" w:rsidRPr="00EE71EF" w:rsidRDefault="005A1DE3" w:rsidP="005A1DE3">
      <w:pPr>
        <w:spacing w:line="60" w:lineRule="exact"/>
        <w:rPr>
          <w:color w:val="010000"/>
          <w:sz w:val="6"/>
        </w:rPr>
        <w:sectPr w:rsidR="005A1DE3" w:rsidRPr="00EE71EF" w:rsidSect="005A1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E71EF" w:rsidRPr="00C2000E" w:rsidRDefault="00EE71EF" w:rsidP="00EE71E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EE71EF" w:rsidRPr="00C2000E" w:rsidRDefault="00EE71EF" w:rsidP="00EE71EF">
      <w:pPr>
        <w:spacing w:line="120" w:lineRule="exact"/>
        <w:rPr>
          <w:sz w:val="10"/>
        </w:rPr>
      </w:pPr>
    </w:p>
    <w:p w:rsidR="00EE71EF" w:rsidRPr="00C2000E" w:rsidRDefault="00EE71EF" w:rsidP="00EE71E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EE71EF">
        <w:rPr>
          <w:b w:val="0"/>
          <w:bCs/>
        </w:rPr>
        <w:t>Комитет по внутреннему транспорту</w:t>
      </w:r>
    </w:p>
    <w:p w:rsidR="00EE71EF" w:rsidRPr="00C2000E" w:rsidRDefault="00EE71EF" w:rsidP="00EE71EF">
      <w:pPr>
        <w:spacing w:line="120" w:lineRule="exact"/>
        <w:rPr>
          <w:sz w:val="10"/>
        </w:rPr>
      </w:pPr>
    </w:p>
    <w:p w:rsidR="00EE71EF" w:rsidRPr="00C2000E" w:rsidRDefault="00EE71EF" w:rsidP="00EE71E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71EF">
        <w:t>Рабочая группа по перевозкам опасных грузов</w:t>
      </w:r>
    </w:p>
    <w:p w:rsidR="00EE71EF" w:rsidRPr="00C2000E" w:rsidRDefault="00EE71EF" w:rsidP="00EE71EF">
      <w:pPr>
        <w:spacing w:line="120" w:lineRule="exact"/>
        <w:rPr>
          <w:sz w:val="10"/>
        </w:rPr>
      </w:pPr>
    </w:p>
    <w:p w:rsidR="00EE71EF" w:rsidRPr="00C2000E" w:rsidRDefault="00EE71EF" w:rsidP="00EE71E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экспертов по Правилам,</w:t>
      </w:r>
      <w:r w:rsidRPr="00EE71EF">
        <w:br/>
      </w:r>
      <w:r>
        <w:t>прилагаемым к Европейскому соглашению</w:t>
      </w:r>
      <w:r w:rsidRPr="00EE71EF">
        <w:br/>
      </w:r>
      <w:r>
        <w:t>о международной перевозке опасных грузов</w:t>
      </w:r>
      <w:r w:rsidRPr="00EE71EF">
        <w:br/>
      </w:r>
      <w:r>
        <w:t>по внутренним водным путям (ВОПОГ)</w:t>
      </w:r>
      <w:r w:rsidRPr="00EE71EF">
        <w:br/>
      </w:r>
      <w:r>
        <w:t>(Комитет по вопросам безопасности ВОПОГ)</w:t>
      </w:r>
    </w:p>
    <w:p w:rsidR="00EE71EF" w:rsidRPr="00C2000E" w:rsidRDefault="00EE71EF" w:rsidP="00EE71EF">
      <w:pPr>
        <w:spacing w:line="120" w:lineRule="exact"/>
        <w:rPr>
          <w:sz w:val="10"/>
        </w:rPr>
      </w:pPr>
    </w:p>
    <w:p w:rsidR="00EE71EF" w:rsidRPr="00EE71EF" w:rsidRDefault="00EE71EF" w:rsidP="00EE71E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восьмая сессия</w:t>
      </w:r>
    </w:p>
    <w:p w:rsidR="00EE71EF" w:rsidRDefault="00EE71EF" w:rsidP="00EE71EF">
      <w:r>
        <w:t>Женева, 25</w:t>
      </w:r>
      <w:r w:rsidRPr="00C2000E">
        <w:t>–</w:t>
      </w:r>
      <w:r>
        <w:t>29 января 2016 года</w:t>
      </w:r>
    </w:p>
    <w:p w:rsidR="00EE71EF" w:rsidRDefault="00EE71EF" w:rsidP="00EE71EF">
      <w:r>
        <w:t>Пункт 5 b) предварительной повестки дня</w:t>
      </w:r>
    </w:p>
    <w:p w:rsidR="00EE71EF" w:rsidRPr="00602512" w:rsidRDefault="00EE71EF" w:rsidP="00EE71E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Предложения о внесении поправок в Правила,</w:t>
      </w:r>
      <w:r w:rsidRPr="00EE71EF">
        <w:br/>
      </w:r>
      <w:r>
        <w:t>прилагаемые к ВОПОГ:</w:t>
      </w:r>
    </w:p>
    <w:p w:rsidR="00EE71EF" w:rsidRPr="00C2000E" w:rsidRDefault="00EE71EF" w:rsidP="00EE71E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color w:val="000000"/>
        </w:rPr>
      </w:pPr>
      <w:r>
        <w:rPr>
          <w:color w:val="000000"/>
        </w:rPr>
        <w:t>Другие предложения</w:t>
      </w:r>
    </w:p>
    <w:p w:rsidR="00EE71EF" w:rsidRPr="00C2000E" w:rsidRDefault="00EE71EF" w:rsidP="00EE71EF">
      <w:pPr>
        <w:pStyle w:val="SingleTxt"/>
        <w:spacing w:after="0" w:line="120" w:lineRule="exact"/>
        <w:rPr>
          <w:sz w:val="10"/>
        </w:rPr>
      </w:pPr>
    </w:p>
    <w:p w:rsidR="00EE71EF" w:rsidRPr="00C2000E" w:rsidRDefault="00EE71EF" w:rsidP="00EE71EF">
      <w:pPr>
        <w:pStyle w:val="SingleTxt"/>
        <w:spacing w:after="0" w:line="120" w:lineRule="exact"/>
        <w:rPr>
          <w:sz w:val="10"/>
        </w:rPr>
      </w:pPr>
    </w:p>
    <w:p w:rsidR="00EE71EF" w:rsidRPr="00C2000E" w:rsidRDefault="00EE71EF" w:rsidP="00EE71EF">
      <w:pPr>
        <w:pStyle w:val="SingleTxt"/>
        <w:spacing w:after="0" w:line="120" w:lineRule="exact"/>
        <w:rPr>
          <w:sz w:val="10"/>
        </w:rPr>
      </w:pPr>
    </w:p>
    <w:p w:rsidR="00EE71EF" w:rsidRPr="00C2000E" w:rsidRDefault="00EE71EF" w:rsidP="002A19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80" w:lineRule="exact"/>
        <w:ind w:left="1267" w:right="1267" w:hanging="1267"/>
      </w:pPr>
      <w:r>
        <w:tab/>
      </w:r>
      <w:r>
        <w:tab/>
        <w:t xml:space="preserve">Подпункт b) пункта 7.2.4.16.9 ВОПОГ </w:t>
      </w:r>
      <w:r w:rsidRPr="00EE71EF">
        <w:t>–</w:t>
      </w:r>
      <w:r>
        <w:t xml:space="preserve"> Сброс давления в</w:t>
      </w:r>
      <w:r>
        <w:rPr>
          <w:lang w:val="en-US"/>
        </w:rPr>
        <w:t> </w:t>
      </w:r>
      <w:r>
        <w:t>грузовых танках</w:t>
      </w:r>
    </w:p>
    <w:p w:rsidR="00EE71EF" w:rsidRPr="00C2000E" w:rsidRDefault="00EE71EF" w:rsidP="00EE71EF">
      <w:pPr>
        <w:pStyle w:val="SingleTxt"/>
        <w:spacing w:after="0" w:line="120" w:lineRule="exact"/>
        <w:rPr>
          <w:sz w:val="10"/>
        </w:rPr>
      </w:pPr>
    </w:p>
    <w:p w:rsidR="00EE71EF" w:rsidRPr="00C2000E" w:rsidRDefault="00EE71EF" w:rsidP="00EE71EF">
      <w:pPr>
        <w:pStyle w:val="SingleTxt"/>
        <w:spacing w:after="0" w:line="120" w:lineRule="exact"/>
        <w:rPr>
          <w:sz w:val="10"/>
        </w:rPr>
      </w:pPr>
    </w:p>
    <w:p w:rsidR="005A1DE3" w:rsidRDefault="00EE71EF" w:rsidP="00EE71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Передано правительством Германии</w:t>
      </w:r>
      <w:r w:rsidRPr="00EE71EF">
        <w:rPr>
          <w:b w:val="0"/>
          <w:bCs/>
          <w:snapToGrid w:val="0"/>
          <w:sz w:val="20"/>
          <w:szCs w:val="20"/>
          <w:vertAlign w:val="superscript"/>
        </w:rPr>
        <w:footnoteReference w:id="1"/>
      </w:r>
    </w:p>
    <w:p w:rsidR="00EE71EF" w:rsidRPr="00EE71EF" w:rsidRDefault="00EE71EF" w:rsidP="00EE71EF">
      <w:pPr>
        <w:pStyle w:val="SingleTxt"/>
        <w:spacing w:after="0" w:line="120" w:lineRule="exact"/>
        <w:rPr>
          <w:sz w:val="10"/>
          <w:lang w:val="en-US"/>
        </w:rPr>
      </w:pPr>
    </w:p>
    <w:p w:rsidR="00EE71EF" w:rsidRPr="00EE71EF" w:rsidRDefault="00EE71EF" w:rsidP="00EE71EF">
      <w:pPr>
        <w:pStyle w:val="SingleTxt"/>
        <w:spacing w:after="0" w:line="120" w:lineRule="exact"/>
        <w:rPr>
          <w:sz w:val="10"/>
          <w:lang w:val="en-US"/>
        </w:rPr>
      </w:pPr>
    </w:p>
    <w:p w:rsidR="00EE71EF" w:rsidRPr="00EE71EF" w:rsidRDefault="00EE71EF" w:rsidP="00EE71EF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EE71EF" w:rsidTr="00EE71EF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EE71EF" w:rsidRPr="00EE71EF" w:rsidRDefault="00EE71EF" w:rsidP="002A19A8">
            <w:pPr>
              <w:tabs>
                <w:tab w:val="left" w:pos="240"/>
              </w:tabs>
              <w:spacing w:before="240" w:after="120" w:line="200" w:lineRule="exac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EE71EF" w:rsidRPr="00EE71EF" w:rsidTr="00EE71EF">
        <w:tc>
          <w:tcPr>
            <w:tcW w:w="10051" w:type="dxa"/>
            <w:shd w:val="clear" w:color="auto" w:fill="auto"/>
          </w:tcPr>
          <w:p w:rsidR="00EE71EF" w:rsidRPr="00EE71EF" w:rsidRDefault="00EE71EF" w:rsidP="002A19A8">
            <w:pPr>
              <w:pStyle w:val="SingleTxt"/>
              <w:spacing w:line="220" w:lineRule="exact"/>
              <w:ind w:left="4133" w:hanging="2866"/>
              <w:rPr>
                <w:bCs/>
              </w:rPr>
            </w:pPr>
            <w:r>
              <w:rPr>
                <w:b/>
              </w:rPr>
              <w:t>Существо предложения:</w:t>
            </w:r>
            <w:r w:rsidRPr="00EE71EF">
              <w:rPr>
                <w:b/>
              </w:rPr>
              <w:tab/>
            </w:r>
            <w:r w:rsidRPr="00EE71EF">
              <w:rPr>
                <w:b/>
              </w:rPr>
              <w:tab/>
            </w:r>
            <w:proofErr w:type="gramStart"/>
            <w:r>
              <w:t>В подпункте b) пункта 7.2.4.16.9 ВОПОГ пред</w:t>
            </w:r>
            <w:r>
              <w:t>у</w:t>
            </w:r>
            <w:r>
              <w:t>смотрено, что для сброса давления грузовые та</w:t>
            </w:r>
            <w:r>
              <w:t>н</w:t>
            </w:r>
            <w:r>
              <w:t>ки могут откры</w:t>
            </w:r>
            <w:r w:rsidR="001D13FE">
              <w:t>ваться также «</w:t>
            </w:r>
            <w:r>
              <w:t xml:space="preserve">с помощью другого соответствующего отверстия </w:t>
            </w:r>
            <w:r w:rsidRPr="00EE71EF">
              <w:rPr>
                <w:spacing w:val="2"/>
              </w:rPr>
              <w:t xml:space="preserve">газоотводного </w:t>
            </w:r>
            <w:r w:rsidRPr="001D13FE">
              <w:rPr>
                <w:spacing w:val="0"/>
              </w:rPr>
              <w:t>труб</w:t>
            </w:r>
            <w:r w:rsidRPr="001D13FE">
              <w:rPr>
                <w:spacing w:val="0"/>
              </w:rPr>
              <w:t>о</w:t>
            </w:r>
            <w:r w:rsidRPr="001D13FE">
              <w:rPr>
                <w:spacing w:val="0"/>
              </w:rPr>
              <w:t>провода</w:t>
            </w:r>
            <w:r w:rsidR="001D13FE" w:rsidRPr="001D13FE">
              <w:rPr>
                <w:spacing w:val="0"/>
                <w:w w:val="100"/>
                <w:kern w:val="0"/>
              </w:rPr>
              <w:t>»</w:t>
            </w:r>
            <w:r w:rsidRPr="00EE71EF">
              <w:rPr>
                <w:spacing w:val="2"/>
              </w:rPr>
              <w:t xml:space="preserve"> [на немецком языке:</w:t>
            </w:r>
            <w:proofErr w:type="gramEnd"/>
            <w:r>
              <w:t xml:space="preserve"> </w:t>
            </w:r>
            <w:proofErr w:type="gramStart"/>
            <w:r w:rsidR="002A19A8">
              <w:rPr>
                <w:spacing w:val="0"/>
                <w:w w:val="100"/>
                <w:kern w:val="0"/>
              </w:rPr>
              <w:t>«</w:t>
            </w:r>
            <w:proofErr w:type="spellStart"/>
            <w:r w:rsidRPr="002A19A8">
              <w:rPr>
                <w:spacing w:val="0"/>
                <w:w w:val="100"/>
                <w:kern w:val="0"/>
              </w:rPr>
              <w:t>Gassammelleitung</w:t>
            </w:r>
            <w:proofErr w:type="spellEnd"/>
            <w:r w:rsidR="002A19A8">
              <w:rPr>
                <w:spacing w:val="0"/>
                <w:w w:val="100"/>
                <w:kern w:val="0"/>
              </w:rPr>
              <w:t>»</w:t>
            </w:r>
            <w:r w:rsidRPr="002A19A8">
              <w:rPr>
                <w:spacing w:val="0"/>
                <w:w w:val="100"/>
                <w:kern w:val="0"/>
              </w:rPr>
              <w:t>/</w:t>
            </w:r>
            <w:r w:rsidR="002A19A8" w:rsidRPr="002A19A8">
              <w:rPr>
                <w:spacing w:val="0"/>
                <w:w w:val="100"/>
                <w:kern w:val="0"/>
              </w:rPr>
              <w:br/>
            </w:r>
            <w:r w:rsidRPr="00EE71EF">
              <w:rPr>
                <w:spacing w:val="2"/>
              </w:rPr>
              <w:t xml:space="preserve">на английском языке: </w:t>
            </w:r>
            <w:r w:rsidR="002A19A8">
              <w:rPr>
                <w:spacing w:val="2"/>
              </w:rPr>
              <w:t>«</w:t>
            </w:r>
            <w:proofErr w:type="spellStart"/>
            <w:r w:rsidRPr="00EE71EF">
              <w:rPr>
                <w:spacing w:val="2"/>
              </w:rPr>
              <w:t>vapour</w:t>
            </w:r>
            <w:proofErr w:type="spellEnd"/>
            <w:r w:rsidRPr="00EE71EF">
              <w:rPr>
                <w:spacing w:val="2"/>
              </w:rPr>
              <w:t xml:space="preserve"> </w:t>
            </w:r>
            <w:proofErr w:type="spellStart"/>
            <w:r w:rsidRPr="00EE71EF">
              <w:rPr>
                <w:spacing w:val="2"/>
              </w:rPr>
              <w:t>pipe</w:t>
            </w:r>
            <w:proofErr w:type="spellEnd"/>
            <w:r w:rsidR="002A19A8">
              <w:rPr>
                <w:spacing w:val="2"/>
              </w:rPr>
              <w:t>»</w:t>
            </w:r>
            <w:r w:rsidRPr="00EE71EF">
              <w:rPr>
                <w:spacing w:val="2"/>
              </w:rPr>
              <w:t>].</w:t>
            </w:r>
            <w:proofErr w:type="gramEnd"/>
          </w:p>
        </w:tc>
      </w:tr>
      <w:tr w:rsidR="00EE71EF" w:rsidRPr="00EE71EF" w:rsidTr="00EE71EF">
        <w:tc>
          <w:tcPr>
            <w:tcW w:w="10051" w:type="dxa"/>
            <w:shd w:val="clear" w:color="auto" w:fill="auto"/>
          </w:tcPr>
          <w:p w:rsidR="00EE71EF" w:rsidRPr="00EE71EF" w:rsidRDefault="002A19A8" w:rsidP="002A19A8">
            <w:pPr>
              <w:pStyle w:val="SingleTxt"/>
              <w:spacing w:line="220" w:lineRule="exact"/>
              <w:ind w:left="4133"/>
            </w:pPr>
            <w:r w:rsidRPr="002A19A8">
              <w:rPr>
                <w:lang w:bidi="ru-RU"/>
              </w:rPr>
              <w:t>Для целей ВОПОГ 2015 года в тексте на немецком язы</w:t>
            </w:r>
            <w:r>
              <w:rPr>
                <w:lang w:bidi="ru-RU"/>
              </w:rPr>
              <w:t>ке термин «</w:t>
            </w:r>
            <w:proofErr w:type="spellStart"/>
            <w:r>
              <w:rPr>
                <w:lang w:bidi="ru-RU"/>
              </w:rPr>
              <w:t>Gassammelleitung</w:t>
            </w:r>
            <w:proofErr w:type="spellEnd"/>
            <w:r>
              <w:rPr>
                <w:lang w:bidi="ru-RU"/>
              </w:rPr>
              <w:t>» был заменен на термин «</w:t>
            </w:r>
            <w:proofErr w:type="spellStart"/>
            <w:r>
              <w:rPr>
                <w:lang w:bidi="ru-RU"/>
              </w:rPr>
              <w:t>Gasabfuhrleitung</w:t>
            </w:r>
            <w:proofErr w:type="spellEnd"/>
            <w:r>
              <w:rPr>
                <w:lang w:bidi="ru-RU"/>
              </w:rPr>
              <w:t>»</w:t>
            </w:r>
            <w:r w:rsidRPr="002A19A8">
              <w:rPr>
                <w:lang w:bidi="ru-RU"/>
              </w:rPr>
              <w:t>.</w:t>
            </w:r>
          </w:p>
        </w:tc>
      </w:tr>
      <w:tr w:rsidR="002A19A8" w:rsidRPr="00EE71EF" w:rsidTr="00EE71EF">
        <w:tc>
          <w:tcPr>
            <w:tcW w:w="10051" w:type="dxa"/>
            <w:shd w:val="clear" w:color="auto" w:fill="auto"/>
          </w:tcPr>
          <w:p w:rsidR="002A19A8" w:rsidRPr="00EE71EF" w:rsidRDefault="002A19A8" w:rsidP="002A19A8">
            <w:pPr>
              <w:pStyle w:val="SingleTxt"/>
              <w:spacing w:line="220" w:lineRule="exact"/>
              <w:ind w:left="4133"/>
            </w:pPr>
            <w:r w:rsidRPr="002A19A8">
              <w:rPr>
                <w:lang w:bidi="ru-RU"/>
              </w:rPr>
              <w:t>В тексте ВОПОГ на английском языке/</w:t>
            </w:r>
            <w:proofErr w:type="spellStart"/>
            <w:proofErr w:type="gramStart"/>
            <w:r w:rsidRPr="002A19A8">
              <w:rPr>
                <w:lang w:bidi="ru-RU"/>
              </w:rPr>
              <w:t>французс</w:t>
            </w:r>
            <w:proofErr w:type="spellEnd"/>
            <w:r>
              <w:rPr>
                <w:lang w:bidi="ru-RU"/>
              </w:rPr>
              <w:t>-</w:t>
            </w:r>
            <w:r w:rsidRPr="002A19A8">
              <w:rPr>
                <w:lang w:bidi="ru-RU"/>
              </w:rPr>
              <w:t>ком</w:t>
            </w:r>
            <w:proofErr w:type="gramEnd"/>
            <w:r w:rsidRPr="002A19A8">
              <w:rPr>
                <w:lang w:bidi="ru-RU"/>
              </w:rPr>
              <w:t xml:space="preserve"> языке отсутствовало и по-прежнему отсу</w:t>
            </w:r>
            <w:r w:rsidRPr="002A19A8">
              <w:rPr>
                <w:lang w:bidi="ru-RU"/>
              </w:rPr>
              <w:t>т</w:t>
            </w:r>
            <w:r w:rsidRPr="002A19A8">
              <w:rPr>
                <w:lang w:bidi="ru-RU"/>
              </w:rPr>
              <w:t>ствует определение соответственно терми</w:t>
            </w:r>
            <w:r>
              <w:rPr>
                <w:lang w:bidi="ru-RU"/>
              </w:rPr>
              <w:t>на «</w:t>
            </w:r>
            <w:proofErr w:type="spellStart"/>
            <w:r w:rsidRPr="002A19A8">
              <w:rPr>
                <w:lang w:bidi="ru-RU"/>
              </w:rPr>
              <w:t>vapour</w:t>
            </w:r>
            <w:proofErr w:type="spellEnd"/>
            <w:r w:rsidRPr="002A19A8">
              <w:rPr>
                <w:lang w:bidi="ru-RU"/>
              </w:rPr>
              <w:t xml:space="preserve"> </w:t>
            </w:r>
            <w:proofErr w:type="spellStart"/>
            <w:r w:rsidRPr="002A19A8">
              <w:rPr>
                <w:lang w:bidi="ru-RU"/>
              </w:rPr>
              <w:t>pipe</w:t>
            </w:r>
            <w:proofErr w:type="spellEnd"/>
            <w:r>
              <w:rPr>
                <w:lang w:bidi="ru-RU"/>
              </w:rPr>
              <w:t>»</w:t>
            </w:r>
            <w:r w:rsidRPr="002A19A8">
              <w:rPr>
                <w:lang w:bidi="ru-RU"/>
              </w:rPr>
              <w:t>/</w:t>
            </w:r>
            <w:r>
              <w:rPr>
                <w:lang w:bidi="ru-RU"/>
              </w:rPr>
              <w:t>«</w:t>
            </w:r>
            <w:proofErr w:type="spellStart"/>
            <w:r w:rsidRPr="002A19A8">
              <w:rPr>
                <w:lang w:bidi="ru-RU"/>
              </w:rPr>
              <w:t>collecteur</w:t>
            </w:r>
            <w:proofErr w:type="spellEnd"/>
            <w:r w:rsidRPr="002A19A8">
              <w:rPr>
                <w:lang w:bidi="ru-RU"/>
              </w:rPr>
              <w:t xml:space="preserve"> </w:t>
            </w:r>
            <w:proofErr w:type="spellStart"/>
            <w:r w:rsidRPr="002A19A8">
              <w:rPr>
                <w:lang w:bidi="ru-RU"/>
              </w:rPr>
              <w:t>de</w:t>
            </w:r>
            <w:proofErr w:type="spellEnd"/>
            <w:r w:rsidRPr="002A19A8">
              <w:rPr>
                <w:lang w:bidi="ru-RU"/>
              </w:rPr>
              <w:t xml:space="preserve"> </w:t>
            </w:r>
            <w:proofErr w:type="spellStart"/>
            <w:r w:rsidRPr="002A19A8">
              <w:rPr>
                <w:lang w:bidi="ru-RU"/>
              </w:rPr>
              <w:t>gaz</w:t>
            </w:r>
            <w:proofErr w:type="spellEnd"/>
            <w:r>
              <w:rPr>
                <w:lang w:bidi="ru-RU"/>
              </w:rPr>
              <w:t>» («</w:t>
            </w:r>
            <w:r w:rsidRPr="002A19A8">
              <w:rPr>
                <w:lang w:bidi="ru-RU"/>
              </w:rPr>
              <w:t>газоотводный коллек</w:t>
            </w:r>
            <w:r>
              <w:rPr>
                <w:lang w:bidi="ru-RU"/>
              </w:rPr>
              <w:t>тор»</w:t>
            </w:r>
            <w:r w:rsidRPr="002A19A8">
              <w:rPr>
                <w:lang w:bidi="ru-RU"/>
              </w:rPr>
              <w:t>).</w:t>
            </w:r>
          </w:p>
        </w:tc>
      </w:tr>
      <w:tr w:rsidR="002A19A8" w:rsidRPr="00EE71EF" w:rsidTr="00EE71EF">
        <w:tc>
          <w:tcPr>
            <w:tcW w:w="10051" w:type="dxa"/>
            <w:shd w:val="clear" w:color="auto" w:fill="auto"/>
          </w:tcPr>
          <w:p w:rsidR="002A19A8" w:rsidRPr="00EE71EF" w:rsidRDefault="002A19A8" w:rsidP="002A19A8">
            <w:pPr>
              <w:pStyle w:val="SingleTxt"/>
              <w:spacing w:line="220" w:lineRule="exact"/>
              <w:ind w:left="4133"/>
            </w:pPr>
            <w:r w:rsidRPr="002A19A8">
              <w:rPr>
                <w:lang w:bidi="ru-RU"/>
              </w:rPr>
              <w:lastRenderedPageBreak/>
              <w:t>Таким образом, в нынешнем предписании четко не указывается, какой трубопровод может быть использован.</w:t>
            </w:r>
          </w:p>
        </w:tc>
      </w:tr>
      <w:tr w:rsidR="002A19A8" w:rsidRPr="00EE71EF" w:rsidTr="00EE71EF">
        <w:tc>
          <w:tcPr>
            <w:tcW w:w="10051" w:type="dxa"/>
            <w:shd w:val="clear" w:color="auto" w:fill="auto"/>
          </w:tcPr>
          <w:p w:rsidR="002A19A8" w:rsidRPr="00EE71EF" w:rsidRDefault="002A19A8" w:rsidP="002A19A8">
            <w:pPr>
              <w:pStyle w:val="SingleTxt"/>
              <w:spacing w:line="220" w:lineRule="exact"/>
              <w:ind w:left="4133"/>
            </w:pPr>
            <w:r w:rsidRPr="002A19A8">
              <w:rPr>
                <w:lang w:bidi="ru-RU"/>
              </w:rPr>
              <w:t>Перевод на немецкий язык отличается от перевода соответственно на английский/французский языки тем, что в нем отсутствует важный момент − тр</w:t>
            </w:r>
            <w:r w:rsidRPr="002A19A8">
              <w:rPr>
                <w:lang w:bidi="ru-RU"/>
              </w:rPr>
              <w:t>е</w:t>
            </w:r>
            <w:r w:rsidRPr="002A19A8">
              <w:rPr>
                <w:lang w:bidi="ru-RU"/>
              </w:rPr>
              <w:t>бование о повторном закрытии отверстий.</w:t>
            </w:r>
          </w:p>
        </w:tc>
      </w:tr>
      <w:tr w:rsidR="002A19A8" w:rsidRPr="00EE71EF" w:rsidTr="00EE71EF">
        <w:tc>
          <w:tcPr>
            <w:tcW w:w="10051" w:type="dxa"/>
            <w:shd w:val="clear" w:color="auto" w:fill="auto"/>
          </w:tcPr>
          <w:p w:rsidR="002A19A8" w:rsidRPr="001F2031" w:rsidRDefault="002A19A8" w:rsidP="001F2031">
            <w:pPr>
              <w:pStyle w:val="SingleTxt"/>
              <w:ind w:left="4133" w:hanging="2866"/>
              <w:rPr>
                <w:bCs/>
              </w:rPr>
            </w:pPr>
            <w:r w:rsidRPr="002A19A8">
              <w:rPr>
                <w:b/>
                <w:lang w:bidi="ru-RU"/>
              </w:rPr>
              <w:t>Предлагаемое решение:</w:t>
            </w:r>
            <w:r>
              <w:rPr>
                <w:b/>
                <w:lang w:bidi="ru-RU"/>
              </w:rPr>
              <w:tab/>
            </w:r>
            <w:r>
              <w:rPr>
                <w:b/>
                <w:lang w:bidi="ru-RU"/>
              </w:rPr>
              <w:tab/>
            </w:r>
            <w:r w:rsidR="001F2031">
              <w:t>В подпункте b) пункта 7.2.4.16.9 ВОПОГ зам</w:t>
            </w:r>
            <w:r w:rsidR="001F2031">
              <w:t>е</w:t>
            </w:r>
            <w:r w:rsidR="001F2031">
              <w:t>нить «</w:t>
            </w:r>
            <w:proofErr w:type="spellStart"/>
            <w:r w:rsidR="001F2031">
              <w:t>Gassammelleitung</w:t>
            </w:r>
            <w:proofErr w:type="spellEnd"/>
            <w:r w:rsidR="001F2031">
              <w:t>»/«</w:t>
            </w:r>
            <w:proofErr w:type="spellStart"/>
            <w:r w:rsidR="001F2031">
              <w:t>vapour</w:t>
            </w:r>
            <w:proofErr w:type="spellEnd"/>
            <w:r w:rsidR="001F2031">
              <w:t xml:space="preserve"> </w:t>
            </w:r>
            <w:proofErr w:type="spellStart"/>
            <w:r w:rsidR="001F2031">
              <w:t>pipe</w:t>
            </w:r>
            <w:proofErr w:type="spellEnd"/>
            <w:r w:rsidR="001F2031">
              <w:t>»/«</w:t>
            </w:r>
            <w:proofErr w:type="spellStart"/>
            <w:r w:rsidR="001F2031">
              <w:t>collecteur</w:t>
            </w:r>
            <w:proofErr w:type="spellEnd"/>
            <w:r w:rsidR="001F2031">
              <w:t xml:space="preserve"> </w:t>
            </w:r>
            <w:proofErr w:type="spellStart"/>
            <w:r w:rsidR="001F2031">
              <w:t>de</w:t>
            </w:r>
            <w:proofErr w:type="spellEnd"/>
            <w:r w:rsidR="001F2031">
              <w:t xml:space="preserve"> </w:t>
            </w:r>
            <w:proofErr w:type="spellStart"/>
            <w:r w:rsidR="001F2031">
              <w:t>gaz</w:t>
            </w:r>
            <w:proofErr w:type="spellEnd"/>
            <w:r w:rsidR="001F2031">
              <w:t>» («газоотводный коллектор») на «газоо</w:t>
            </w:r>
            <w:r w:rsidR="001F2031">
              <w:t>т</w:t>
            </w:r>
            <w:r w:rsidR="001F2031">
              <w:t>водный трубопровод».</w:t>
            </w:r>
          </w:p>
        </w:tc>
      </w:tr>
      <w:tr w:rsidR="00EE71EF" w:rsidRPr="00EE71EF" w:rsidTr="00EE71EF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EE71EF" w:rsidRPr="00EE71EF" w:rsidRDefault="001F2031" w:rsidP="001F2031">
            <w:pPr>
              <w:pStyle w:val="SingleTxt"/>
              <w:ind w:left="4133"/>
            </w:pPr>
            <w:r>
              <w:t>Выполнить перевод на немецкий язык.</w:t>
            </w:r>
          </w:p>
        </w:tc>
      </w:tr>
      <w:tr w:rsidR="001F2031" w:rsidRPr="00EE71EF" w:rsidTr="00EE71EF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1F2031" w:rsidRPr="00EE71EF" w:rsidRDefault="001F2031" w:rsidP="001F2031">
            <w:pPr>
              <w:pStyle w:val="SingleTxt"/>
              <w:ind w:left="4133" w:hanging="2866"/>
            </w:pPr>
            <w:r w:rsidRPr="001F2031">
              <w:rPr>
                <w:b/>
                <w:lang w:bidi="ru-RU"/>
              </w:rPr>
              <w:t>Справочные документы:</w:t>
            </w:r>
            <w:r>
              <w:rPr>
                <w:b/>
                <w:lang w:bidi="ru-RU"/>
              </w:rPr>
              <w:tab/>
            </w:r>
            <w:r>
              <w:t>ECE/TRANS/WP.15/AC.2/2014/11 и неофициал</w:t>
            </w:r>
            <w:r>
              <w:t>ь</w:t>
            </w:r>
            <w:r>
              <w:t>ный документ INF.28 (Классификационные общ</w:t>
            </w:r>
            <w:r>
              <w:t>е</w:t>
            </w:r>
            <w:r>
              <w:t>ства) двадцать четвертой сессии; ECE/ADN/27.</w:t>
            </w:r>
          </w:p>
        </w:tc>
      </w:tr>
      <w:tr w:rsidR="00EE71EF" w:rsidRPr="00EE71EF" w:rsidTr="00EE71EF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EE71EF" w:rsidRPr="00EE71EF" w:rsidRDefault="00EE71EF" w:rsidP="00EE71EF">
            <w:pPr>
              <w:pStyle w:val="SingleTxt"/>
            </w:pPr>
          </w:p>
        </w:tc>
      </w:tr>
    </w:tbl>
    <w:p w:rsidR="001F2031" w:rsidRPr="001F2031" w:rsidRDefault="001F2031" w:rsidP="001F2031">
      <w:pPr>
        <w:pStyle w:val="SingleTxt"/>
        <w:spacing w:after="0" w:line="120" w:lineRule="exact"/>
        <w:rPr>
          <w:sz w:val="10"/>
        </w:rPr>
      </w:pPr>
    </w:p>
    <w:p w:rsidR="001F2031" w:rsidRPr="001F2031" w:rsidRDefault="001F2031" w:rsidP="001F2031">
      <w:pPr>
        <w:pStyle w:val="SingleTxt"/>
        <w:spacing w:after="0" w:line="120" w:lineRule="exact"/>
        <w:rPr>
          <w:sz w:val="10"/>
        </w:rPr>
      </w:pPr>
    </w:p>
    <w:p w:rsidR="001F2031" w:rsidRDefault="001F2031" w:rsidP="001F203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1F2031" w:rsidRPr="001F2031" w:rsidRDefault="001F2031" w:rsidP="001F2031">
      <w:pPr>
        <w:pStyle w:val="SingleTxt"/>
        <w:spacing w:after="0" w:line="120" w:lineRule="exact"/>
        <w:rPr>
          <w:sz w:val="10"/>
        </w:rPr>
      </w:pPr>
    </w:p>
    <w:p w:rsidR="001F2031" w:rsidRPr="001F2031" w:rsidRDefault="001F2031" w:rsidP="001F2031">
      <w:pPr>
        <w:pStyle w:val="SingleTxt"/>
        <w:spacing w:after="0" w:line="120" w:lineRule="exact"/>
        <w:rPr>
          <w:sz w:val="10"/>
        </w:rPr>
      </w:pPr>
    </w:p>
    <w:p w:rsidR="001F2031" w:rsidRDefault="001F2031" w:rsidP="001F2031">
      <w:pPr>
        <w:pStyle w:val="SingleTxt"/>
      </w:pPr>
      <w:r>
        <w:t>1.</w:t>
      </w:r>
      <w:r>
        <w:tab/>
        <w:t>Комитет по вопросам безопасности ВОПОГ в ходе своей двадцать четве</w:t>
      </w:r>
      <w:r>
        <w:t>р</w:t>
      </w:r>
      <w:r>
        <w:t>той сессии в январе 2014 года в ответ на просьбу неофициальной группы по р</w:t>
      </w:r>
      <w:r>
        <w:t>е</w:t>
      </w:r>
      <w:r>
        <w:t>комендованным классификационным обществам принял решение внести в ВОПОГ 2015 года многочисленные поправки, касающиеся описания бортовых и береговых трубопроводов, посредством которых газы отводятся во время погру</w:t>
      </w:r>
      <w:r>
        <w:t>з</w:t>
      </w:r>
      <w:r>
        <w:t>ки и разгрузки.</w:t>
      </w:r>
    </w:p>
    <w:p w:rsidR="001F2031" w:rsidRDefault="001F2031" w:rsidP="001F2031">
      <w:pPr>
        <w:pStyle w:val="SingleTxt"/>
      </w:pPr>
      <w:r>
        <w:t>2.</w:t>
      </w:r>
      <w:r>
        <w:tab/>
        <w:t>В пункт 7.2.4.16.9 ВОПОГ, содержащий термины «</w:t>
      </w:r>
      <w:proofErr w:type="spellStart"/>
      <w:r>
        <w:t>Gassammelleitung</w:t>
      </w:r>
      <w:proofErr w:type="spellEnd"/>
      <w:r>
        <w:t>»/</w:t>
      </w:r>
      <w:r>
        <w:br/>
        <w:t>«</w:t>
      </w:r>
      <w:proofErr w:type="spellStart"/>
      <w:r>
        <w:t>vapour</w:t>
      </w:r>
      <w:proofErr w:type="spellEnd"/>
      <w:r>
        <w:t xml:space="preserve"> </w:t>
      </w:r>
      <w:proofErr w:type="spellStart"/>
      <w:r>
        <w:t>pipe</w:t>
      </w:r>
      <w:proofErr w:type="spellEnd"/>
      <w:r>
        <w:t>»/«</w:t>
      </w:r>
      <w:proofErr w:type="spellStart"/>
      <w:r>
        <w:t>collecteur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gaz</w:t>
      </w:r>
      <w:proofErr w:type="spellEnd"/>
      <w:r>
        <w:t>» («газоотводный коллектор»), которые не испол</w:t>
      </w:r>
      <w:r>
        <w:t>ь</w:t>
      </w:r>
      <w:r>
        <w:t>зуются или более не используются в ВОПОГ 2015 года, такие поправки внесены не были.</w:t>
      </w:r>
    </w:p>
    <w:p w:rsidR="001F2031" w:rsidRDefault="001F2031" w:rsidP="001F2031">
      <w:pPr>
        <w:pStyle w:val="SingleTxt"/>
      </w:pPr>
      <w:r>
        <w:t>3.</w:t>
      </w:r>
      <w:r>
        <w:tab/>
        <w:t>Было установлено, что перевод подпункта b) пункта 7.2.4.16.9 на немецкий язык имеет одну, важную с точки зрения, особенность, которая отличает его от текстов ВОПОГ на английском и французском языках: в нем отсутствует треб</w:t>
      </w:r>
      <w:r>
        <w:t>о</w:t>
      </w:r>
      <w:r>
        <w:t>вание о повторном плотном закрытии отверстий, используемых для сброса да</w:t>
      </w:r>
      <w:r>
        <w:t>в</w:t>
      </w:r>
      <w:r>
        <w:t>ления, после погрузки или разгрузки.</w:t>
      </w:r>
    </w:p>
    <w:p w:rsidR="001F2031" w:rsidRPr="001F2031" w:rsidRDefault="001F2031" w:rsidP="001F2031">
      <w:pPr>
        <w:pStyle w:val="SingleTxt"/>
        <w:spacing w:after="0" w:line="120" w:lineRule="exact"/>
        <w:rPr>
          <w:sz w:val="10"/>
        </w:rPr>
      </w:pPr>
    </w:p>
    <w:p w:rsidR="001F2031" w:rsidRPr="001F2031" w:rsidRDefault="001F2031" w:rsidP="001F2031">
      <w:pPr>
        <w:pStyle w:val="SingleTxt"/>
        <w:spacing w:after="0" w:line="120" w:lineRule="exact"/>
        <w:rPr>
          <w:sz w:val="10"/>
        </w:rPr>
      </w:pPr>
    </w:p>
    <w:p w:rsidR="001F2031" w:rsidRDefault="001F2031" w:rsidP="001F203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Предлагаемая поправка</w:t>
      </w:r>
    </w:p>
    <w:p w:rsidR="001F2031" w:rsidRPr="001F2031" w:rsidRDefault="001F2031" w:rsidP="001F2031">
      <w:pPr>
        <w:pStyle w:val="SingleTxt"/>
        <w:spacing w:after="0" w:line="120" w:lineRule="exact"/>
        <w:rPr>
          <w:sz w:val="10"/>
        </w:rPr>
      </w:pPr>
    </w:p>
    <w:p w:rsidR="001F2031" w:rsidRPr="001F2031" w:rsidRDefault="001F2031" w:rsidP="001F2031">
      <w:pPr>
        <w:pStyle w:val="SingleTxt"/>
        <w:spacing w:after="0" w:line="120" w:lineRule="exact"/>
        <w:rPr>
          <w:sz w:val="10"/>
        </w:rPr>
      </w:pPr>
    </w:p>
    <w:p w:rsidR="001F2031" w:rsidRDefault="001F2031" w:rsidP="001F2031">
      <w:pPr>
        <w:pStyle w:val="SingleTxt"/>
      </w:pPr>
      <w:r>
        <w:t xml:space="preserve">(Текст, который предлагается исключить, </w:t>
      </w:r>
      <w:r w:rsidRPr="001D13FE">
        <w:rPr>
          <w:strike/>
        </w:rPr>
        <w:t>вычеркнут</w:t>
      </w:r>
      <w:r>
        <w:t xml:space="preserve">, новый текст – </w:t>
      </w:r>
      <w:r w:rsidRPr="001D13FE">
        <w:rPr>
          <w:u w:val="single"/>
        </w:rPr>
        <w:t>подчеркнут</w:t>
      </w:r>
      <w:r>
        <w:t>.)</w:t>
      </w:r>
    </w:p>
    <w:p w:rsidR="001F2031" w:rsidRDefault="001F2031" w:rsidP="001F2031">
      <w:pPr>
        <w:pStyle w:val="SingleTxt"/>
      </w:pPr>
      <w:r>
        <w:t>4.</w:t>
      </w:r>
      <w:r>
        <w:tab/>
        <w:t>Подпункт b) пункта 7.2.4.16.9 изложить в следующей редакции:</w:t>
      </w:r>
    </w:p>
    <w:p w:rsidR="001F2031" w:rsidRDefault="001F2031" w:rsidP="00F63BB8">
      <w:pPr>
        <w:pStyle w:val="SingleTxt"/>
      </w:pPr>
      <w:proofErr w:type="gramStart"/>
      <w:r>
        <w:t>«</w:t>
      </w:r>
      <w:r w:rsidR="00F63BB8">
        <w:t>b)</w:t>
      </w:r>
      <w:r w:rsidR="00F63BB8">
        <w:tab/>
      </w:r>
      <w:proofErr w:type="spellStart"/>
      <w:r>
        <w:t>Beim</w:t>
      </w:r>
      <w:proofErr w:type="spellEnd"/>
      <w:r>
        <w:t xml:space="preserve"> </w:t>
      </w:r>
      <w:proofErr w:type="spellStart"/>
      <w:r>
        <w:t>Laden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Löschen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Stoffen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Kapitel</w:t>
      </w:r>
      <w:proofErr w:type="spellEnd"/>
      <w:r>
        <w:t xml:space="preserve"> 3.2 </w:t>
      </w:r>
      <w:proofErr w:type="spellStart"/>
      <w:r>
        <w:t>Tabelle</w:t>
      </w:r>
      <w:proofErr w:type="spellEnd"/>
      <w:r>
        <w:t xml:space="preserve"> C </w:t>
      </w:r>
      <w:proofErr w:type="spellStart"/>
      <w:r>
        <w:t>Spalte</w:t>
      </w:r>
      <w:proofErr w:type="spellEnd"/>
      <w:r>
        <w:t xml:space="preserve"> (6) </w:t>
      </w:r>
      <w:proofErr w:type="spellStart"/>
      <w:r>
        <w:t>und</w:t>
      </w:r>
      <w:proofErr w:type="spellEnd"/>
      <w:r>
        <w:t xml:space="preserve"> 7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N </w:t>
      </w:r>
      <w:proofErr w:type="spellStart"/>
      <w:r>
        <w:t>offen</w:t>
      </w:r>
      <w:proofErr w:type="spellEnd"/>
      <w:r>
        <w:t xml:space="preserve"> </w:t>
      </w:r>
      <w:proofErr w:type="spellStart"/>
      <w:r>
        <w:t>gefordert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geschlossenen</w:t>
      </w:r>
      <w:proofErr w:type="spellEnd"/>
      <w:r>
        <w:t xml:space="preserve"> </w:t>
      </w:r>
      <w:proofErr w:type="spellStart"/>
      <w:r>
        <w:t>Tankschiff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Ladetanks</w:t>
      </w:r>
      <w:proofErr w:type="spellEnd"/>
      <w:r>
        <w:t xml:space="preserve">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Absatz</w:t>
      </w:r>
      <w:proofErr w:type="spellEnd"/>
      <w:r>
        <w:t xml:space="preserve"> 9.3.2.22.4 a) </w:t>
      </w:r>
      <w:proofErr w:type="spellStart"/>
      <w:r>
        <w:t>oder</w:t>
      </w:r>
      <w:proofErr w:type="spellEnd"/>
      <w:r>
        <w:t xml:space="preserve"> 9.3.3.22.4 a)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Einrichtung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gefahrlosen</w:t>
      </w:r>
      <w:proofErr w:type="spellEnd"/>
      <w:r>
        <w:t xml:space="preserve"> </w:t>
      </w:r>
      <w:proofErr w:type="spellStart"/>
      <w:r>
        <w:t>Entspannen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Ladetanks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geeignete</w:t>
      </w:r>
      <w:proofErr w:type="spellEnd"/>
      <w:r>
        <w:t xml:space="preserve"> </w:t>
      </w:r>
      <w:proofErr w:type="spellStart"/>
      <w:r>
        <w:t>Öffnung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 w:rsidRPr="0020070E">
        <w:rPr>
          <w:strike/>
        </w:rPr>
        <w:t>Gassammelleitung</w:t>
      </w:r>
      <w:proofErr w:type="spellEnd"/>
      <w:r>
        <w:t xml:space="preserve"> </w:t>
      </w:r>
      <w:proofErr w:type="spellStart"/>
      <w:r w:rsidRPr="0020070E">
        <w:rPr>
          <w:u w:val="single"/>
        </w:rPr>
        <w:t>Gasa</w:t>
      </w:r>
      <w:r w:rsidR="0020070E" w:rsidRPr="0020070E">
        <w:rPr>
          <w:u w:val="single"/>
        </w:rPr>
        <w:t>bfuhrleitung</w:t>
      </w:r>
      <w:proofErr w:type="spellEnd"/>
      <w:r w:rsidR="0020070E">
        <w:t xml:space="preserve"> </w:t>
      </w:r>
      <w:proofErr w:type="spellStart"/>
      <w:r w:rsidR="0020070E">
        <w:t>ge</w:t>
      </w:r>
      <w:proofErr w:type="gramEnd"/>
      <w:r w:rsidR="0020070E">
        <w:t>öffnet</w:t>
      </w:r>
      <w:proofErr w:type="spellEnd"/>
      <w:r w:rsidR="0020070E">
        <w:t xml:space="preserve"> </w:t>
      </w:r>
      <w:proofErr w:type="spellStart"/>
      <w:r w:rsidR="0020070E">
        <w:t>werden</w:t>
      </w:r>
      <w:proofErr w:type="spellEnd"/>
      <w:r w:rsidR="0020070E" w:rsidRPr="0020070E">
        <w:rPr>
          <w:strike/>
        </w:rPr>
        <w:t>.</w:t>
      </w:r>
      <w:r w:rsidR="0020070E" w:rsidRPr="0020070E">
        <w:rPr>
          <w:u w:val="single"/>
        </w:rPr>
        <w:t xml:space="preserve">, </w:t>
      </w:r>
      <w:r w:rsidR="0020070E">
        <w:t xml:space="preserve"> </w:t>
      </w:r>
      <w:proofErr w:type="spellStart"/>
      <w:r w:rsidRPr="0020070E">
        <w:rPr>
          <w:strike/>
        </w:rPr>
        <w:t>Diese</w:t>
      </w:r>
      <w:proofErr w:type="spellEnd"/>
      <w:r w:rsidRPr="0020070E">
        <w:rPr>
          <w:strike/>
        </w:rPr>
        <w:t xml:space="preserve"> </w:t>
      </w:r>
      <w:proofErr w:type="spellStart"/>
      <w:r w:rsidRPr="0020070E">
        <w:rPr>
          <w:strike/>
        </w:rPr>
        <w:t>Öffnung</w:t>
      </w:r>
      <w:proofErr w:type="spellEnd"/>
      <w:r w:rsidRPr="0020070E">
        <w:rPr>
          <w:strike/>
        </w:rPr>
        <w:t xml:space="preserve"> </w:t>
      </w:r>
      <w:proofErr w:type="spellStart"/>
      <w:r w:rsidRPr="0020070E">
        <w:rPr>
          <w:strike/>
        </w:rPr>
        <w:t>muss</w:t>
      </w:r>
      <w:proofErr w:type="spellEnd"/>
      <w:r w:rsidRPr="0020070E">
        <w:rPr>
          <w:strike/>
        </w:rPr>
        <w:t xml:space="preserve"> </w:t>
      </w:r>
      <w:proofErr w:type="spellStart"/>
      <w:r w:rsidRPr="0020070E">
        <w:rPr>
          <w:strike/>
        </w:rPr>
        <w:t>so</w:t>
      </w:r>
      <w:proofErr w:type="spellEnd"/>
      <w:r w:rsidRPr="0020070E">
        <w:rPr>
          <w:strike/>
        </w:rPr>
        <w:t xml:space="preserve"> </w:t>
      </w:r>
      <w:proofErr w:type="spellStart"/>
      <w:r w:rsidRPr="0020070E">
        <w:rPr>
          <w:strike/>
        </w:rPr>
        <w:t>gebaut</w:t>
      </w:r>
      <w:proofErr w:type="spellEnd"/>
      <w:r w:rsidRPr="0020070E">
        <w:rPr>
          <w:strike/>
        </w:rPr>
        <w:t xml:space="preserve"> </w:t>
      </w:r>
      <w:proofErr w:type="spellStart"/>
      <w:r w:rsidRPr="0020070E">
        <w:rPr>
          <w:strike/>
        </w:rPr>
        <w:t>sein</w:t>
      </w:r>
      <w:proofErr w:type="spellEnd"/>
      <w:r w:rsidRPr="0020070E">
        <w:rPr>
          <w:strike/>
        </w:rPr>
        <w:t xml:space="preserve">, </w:t>
      </w:r>
      <w:proofErr w:type="spellStart"/>
      <w:r w:rsidRPr="0020070E">
        <w:rPr>
          <w:strike/>
        </w:rPr>
        <w:t>dass</w:t>
      </w:r>
      <w:proofErr w:type="spellEnd"/>
      <w:r>
        <w:t xml:space="preserve"> </w:t>
      </w:r>
      <w:proofErr w:type="spellStart"/>
      <w:r w:rsidRPr="0020070E">
        <w:rPr>
          <w:u w:val="single"/>
        </w:rPr>
        <w:t>wenn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Ansammlung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Eindringen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Ladetanks</w:t>
      </w:r>
      <w:proofErr w:type="spellEnd"/>
      <w:r>
        <w:t xml:space="preserve"> </w:t>
      </w:r>
      <w:proofErr w:type="spellStart"/>
      <w:r>
        <w:t>verhindert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 w:rsidRPr="0020070E">
        <w:rPr>
          <w:u w:val="single"/>
        </w:rPr>
        <w:t>und</w:t>
      </w:r>
      <w:proofErr w:type="spellEnd"/>
      <w:r w:rsidRPr="0020070E">
        <w:rPr>
          <w:u w:val="single"/>
        </w:rPr>
        <w:t xml:space="preserve"> </w:t>
      </w:r>
      <w:proofErr w:type="spellStart"/>
      <w:r w:rsidRPr="0020070E">
        <w:rPr>
          <w:u w:val="single"/>
        </w:rPr>
        <w:t>die</w:t>
      </w:r>
      <w:proofErr w:type="spellEnd"/>
      <w:r w:rsidRPr="0020070E">
        <w:rPr>
          <w:u w:val="single"/>
        </w:rPr>
        <w:t xml:space="preserve"> </w:t>
      </w:r>
      <w:proofErr w:type="spellStart"/>
      <w:r w:rsidRPr="0020070E">
        <w:rPr>
          <w:u w:val="single"/>
        </w:rPr>
        <w:t>Öffnung</w:t>
      </w:r>
      <w:proofErr w:type="spellEnd"/>
      <w:r w:rsidRPr="0020070E">
        <w:rPr>
          <w:u w:val="single"/>
        </w:rPr>
        <w:t xml:space="preserve"> </w:t>
      </w:r>
      <w:proofErr w:type="spellStart"/>
      <w:r w:rsidRPr="0020070E">
        <w:rPr>
          <w:u w:val="single"/>
        </w:rPr>
        <w:t>nach</w:t>
      </w:r>
      <w:proofErr w:type="spellEnd"/>
      <w:r w:rsidRPr="0020070E">
        <w:rPr>
          <w:u w:val="single"/>
        </w:rPr>
        <w:t xml:space="preserve"> </w:t>
      </w:r>
      <w:proofErr w:type="spellStart"/>
      <w:r w:rsidRPr="0020070E">
        <w:rPr>
          <w:u w:val="single"/>
        </w:rPr>
        <w:t>dem</w:t>
      </w:r>
      <w:proofErr w:type="spellEnd"/>
      <w:r w:rsidRPr="0020070E">
        <w:rPr>
          <w:u w:val="single"/>
        </w:rPr>
        <w:t xml:space="preserve"> </w:t>
      </w:r>
      <w:proofErr w:type="spellStart"/>
      <w:r w:rsidRPr="0020070E">
        <w:rPr>
          <w:u w:val="single"/>
        </w:rPr>
        <w:t>Laden</w:t>
      </w:r>
      <w:proofErr w:type="spellEnd"/>
      <w:r w:rsidRPr="0020070E">
        <w:rPr>
          <w:u w:val="single"/>
        </w:rPr>
        <w:t xml:space="preserve"> </w:t>
      </w:r>
      <w:proofErr w:type="spellStart"/>
      <w:r w:rsidRPr="0020070E">
        <w:rPr>
          <w:u w:val="single"/>
        </w:rPr>
        <w:t>oder</w:t>
      </w:r>
      <w:proofErr w:type="spellEnd"/>
      <w:r w:rsidRPr="0020070E">
        <w:rPr>
          <w:u w:val="single"/>
        </w:rPr>
        <w:t xml:space="preserve"> </w:t>
      </w:r>
      <w:proofErr w:type="spellStart"/>
      <w:r w:rsidRPr="0020070E">
        <w:rPr>
          <w:u w:val="single"/>
        </w:rPr>
        <w:t>Löschen</w:t>
      </w:r>
      <w:proofErr w:type="spellEnd"/>
      <w:r w:rsidRPr="0020070E">
        <w:rPr>
          <w:u w:val="single"/>
        </w:rPr>
        <w:t xml:space="preserve"> [</w:t>
      </w:r>
      <w:proofErr w:type="spellStart"/>
      <w:r w:rsidRPr="0020070E">
        <w:rPr>
          <w:u w:val="single"/>
        </w:rPr>
        <w:t>ordnungsgemäß</w:t>
      </w:r>
      <w:proofErr w:type="spellEnd"/>
      <w:r w:rsidRPr="0020070E">
        <w:rPr>
          <w:u w:val="single"/>
        </w:rPr>
        <w:t xml:space="preserve">] </w:t>
      </w:r>
      <w:proofErr w:type="spellStart"/>
      <w:r w:rsidRPr="0020070E">
        <w:rPr>
          <w:u w:val="single"/>
        </w:rPr>
        <w:t>verschlossen</w:t>
      </w:r>
      <w:proofErr w:type="spellEnd"/>
      <w:r w:rsidRPr="0020070E">
        <w:rPr>
          <w:u w:val="single"/>
        </w:rPr>
        <w:t xml:space="preserve"> </w:t>
      </w:r>
      <w:proofErr w:type="spellStart"/>
      <w:r w:rsidRPr="0020070E">
        <w:rPr>
          <w:u w:val="single"/>
        </w:rPr>
        <w:t>wird</w:t>
      </w:r>
      <w:proofErr w:type="spellEnd"/>
      <w:r>
        <w:t>.</w:t>
      </w:r>
    </w:p>
    <w:p w:rsidR="001F2031" w:rsidRPr="001F2031" w:rsidRDefault="00F63BB8" w:rsidP="00F63BB8">
      <w:pPr>
        <w:pStyle w:val="SingleTxt"/>
        <w:rPr>
          <w:lang w:val="en-US"/>
        </w:rPr>
      </w:pPr>
      <w:r>
        <w:rPr>
          <w:lang w:val="en-US"/>
        </w:rPr>
        <w:t>(b)</w:t>
      </w:r>
      <w:r w:rsidRPr="00F63BB8">
        <w:rPr>
          <w:lang w:val="en-US"/>
        </w:rPr>
        <w:tab/>
      </w:r>
      <w:r w:rsidR="001F2031" w:rsidRPr="001F2031">
        <w:rPr>
          <w:lang w:val="en-US"/>
        </w:rPr>
        <w:t>During loading or unloading in a closed tank vessel of substances for which an open type N vessel is sufficient according to columns (6) and (7) of Table C of Cha</w:t>
      </w:r>
      <w:r w:rsidR="001F2031" w:rsidRPr="001F2031">
        <w:rPr>
          <w:lang w:val="en-US"/>
        </w:rPr>
        <w:t>p</w:t>
      </w:r>
      <w:r w:rsidR="001F2031" w:rsidRPr="001F2031">
        <w:rPr>
          <w:lang w:val="en-US"/>
        </w:rPr>
        <w:lastRenderedPageBreak/>
        <w:t xml:space="preserve">ter 3.2, the cargo tanks may be opened using the safe pressure-relief device referred to in 9.3.2.22.4 (a) or 9.3.3.22.4 (a) or using another suitable opening in the </w:t>
      </w:r>
      <w:proofErr w:type="spellStart"/>
      <w:r w:rsidR="001F2031" w:rsidRPr="0020070E">
        <w:rPr>
          <w:strike/>
          <w:lang w:val="en-US"/>
        </w:rPr>
        <w:t>vapour</w:t>
      </w:r>
      <w:proofErr w:type="spellEnd"/>
      <w:r w:rsidR="001F2031" w:rsidRPr="0020070E">
        <w:rPr>
          <w:strike/>
          <w:lang w:val="en-US"/>
        </w:rPr>
        <w:t xml:space="preserve"> pipe</w:t>
      </w:r>
      <w:r w:rsidR="001F2031" w:rsidRPr="001F2031">
        <w:rPr>
          <w:lang w:val="en-US"/>
        </w:rPr>
        <w:t xml:space="preserve"> </w:t>
      </w:r>
      <w:r w:rsidR="001F2031" w:rsidRPr="0020070E">
        <w:rPr>
          <w:u w:val="single"/>
          <w:lang w:val="en-US"/>
        </w:rPr>
        <w:t>venting piping</w:t>
      </w:r>
      <w:r w:rsidR="001F2031" w:rsidRPr="001F2031">
        <w:rPr>
          <w:lang w:val="en-US"/>
        </w:rPr>
        <w:t xml:space="preserve"> if any accumulation of water and its penetration into the cargo tanks is prevented and the opening is appropriately closed again after loading or unloading. </w:t>
      </w:r>
    </w:p>
    <w:p w:rsidR="001F2031" w:rsidRPr="001F2031" w:rsidRDefault="00F63BB8" w:rsidP="001F2031">
      <w:pPr>
        <w:pStyle w:val="SingleTxt"/>
        <w:rPr>
          <w:lang w:val="fr-FR"/>
        </w:rPr>
      </w:pPr>
      <w:r>
        <w:rPr>
          <w:lang w:val="fr-FR"/>
        </w:rPr>
        <w:t>b)</w:t>
      </w:r>
      <w:r w:rsidRPr="00F63BB8">
        <w:rPr>
          <w:lang w:val="fr-FR"/>
        </w:rPr>
        <w:tab/>
      </w:r>
      <w:r w:rsidR="001F2031" w:rsidRPr="001F2031">
        <w:rPr>
          <w:lang w:val="fr-FR"/>
        </w:rPr>
        <w:t xml:space="preserve">Pendant le chargement ou le déchargement de matières dans un bateau-citerne fermé, pour lesquelles aux colonnes (6) et (7) du tableau C du chapitre 3.2 un type N ouvert suffit, les citernes à cargaison peuvent être ouvertes au moyen du dispositif permettant de décompresser sans danger, visé au 9.3.2.22.4 a) ou au 9.3.3.22.4 a) ou par une autre ouverture appropriée </w:t>
      </w:r>
      <w:r w:rsidR="001F2031" w:rsidRPr="0020070E">
        <w:rPr>
          <w:strike/>
          <w:lang w:val="fr-FR"/>
        </w:rPr>
        <w:t>du collecteur de gaz</w:t>
      </w:r>
      <w:r w:rsidR="001F2031" w:rsidRPr="001F2031">
        <w:rPr>
          <w:lang w:val="fr-FR"/>
        </w:rPr>
        <w:t xml:space="preserve"> </w:t>
      </w:r>
      <w:r w:rsidR="001F2031" w:rsidRPr="0020070E">
        <w:rPr>
          <w:u w:val="single"/>
          <w:lang w:val="fr-FR"/>
        </w:rPr>
        <w:t>de la conduite d’évacuation de gaz</w:t>
      </w:r>
      <w:r w:rsidR="001F2031" w:rsidRPr="001F2031">
        <w:rPr>
          <w:lang w:val="fr-FR"/>
        </w:rPr>
        <w:t xml:space="preserve"> si des dispositions sont prises pour empêcher toute accumulation d'eau et sa pén</w:t>
      </w:r>
      <w:r w:rsidR="001F2031" w:rsidRPr="001F2031">
        <w:rPr>
          <w:lang w:val="fr-FR"/>
        </w:rPr>
        <w:t>é</w:t>
      </w:r>
      <w:r w:rsidR="001F2031" w:rsidRPr="001F2031">
        <w:rPr>
          <w:lang w:val="fr-FR"/>
        </w:rPr>
        <w:t>tration dans la citerne à cargaison et si l'ouverture est refermée comme il convient après le chargement ou le déchargement.</w:t>
      </w:r>
    </w:p>
    <w:p w:rsidR="001F2031" w:rsidRDefault="00F63BB8" w:rsidP="0020070E">
      <w:pPr>
        <w:pStyle w:val="SingleTxt"/>
      </w:pPr>
      <w:r>
        <w:t>b)</w:t>
      </w:r>
      <w:r>
        <w:tab/>
      </w:r>
      <w:r w:rsidR="001F2031">
        <w:t>Во время погрузки в танкер закрытого типа или выгрузки из него веществ, для которых согласно указаниям в колонках 6 и 7 таблицы</w:t>
      </w:r>
      <w:proofErr w:type="gramStart"/>
      <w:r w:rsidR="001F2031">
        <w:t xml:space="preserve"> С</w:t>
      </w:r>
      <w:proofErr w:type="gramEnd"/>
      <w:r w:rsidR="001F2031">
        <w:t xml:space="preserve"> главы 3.2 достат</w:t>
      </w:r>
      <w:r w:rsidR="001F2031">
        <w:t>о</w:t>
      </w:r>
      <w:r w:rsidR="001F2031">
        <w:t>чен танкер открытого типа N, грузовые танки могут открываться с помощью предусмотренного в пункте 9.3.2.22.4 а) или 9.3.3.22.4 а) устройства для бе</w:t>
      </w:r>
      <w:r w:rsidR="001F2031">
        <w:t>з</w:t>
      </w:r>
      <w:r w:rsidR="001F2031">
        <w:t xml:space="preserve">опасного сброса давления или с помощью другого соответствующего отверстия </w:t>
      </w:r>
      <w:r w:rsidR="001F2031" w:rsidRPr="0020070E">
        <w:rPr>
          <w:strike/>
        </w:rPr>
        <w:t>газоотвод</w:t>
      </w:r>
      <w:r w:rsidR="0020070E" w:rsidRPr="0020070E">
        <w:rPr>
          <w:strike/>
        </w:rPr>
        <w:t>ного коллектора</w:t>
      </w:r>
      <w:r w:rsidR="0020070E">
        <w:t xml:space="preserve"> </w:t>
      </w:r>
      <w:r w:rsidR="001F2031" w:rsidRPr="0020070E">
        <w:rPr>
          <w:u w:val="single"/>
        </w:rPr>
        <w:t>газоотводного трубопровода</w:t>
      </w:r>
      <w:r w:rsidR="001F2031">
        <w:t>, если приняты меры для предотвращения накопления воды и ее проникновения в грузовые танки и если это отверстие вновь плотно закрывает</w:t>
      </w:r>
      <w:r w:rsidR="0020070E">
        <w:t>ся после погрузки или разгрузки»</w:t>
      </w:r>
      <w:r w:rsidR="001F2031">
        <w:t>.</w:t>
      </w: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1F2031" w:rsidRDefault="001F2031" w:rsidP="002007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Обоснование</w:t>
      </w: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1F2031" w:rsidRDefault="001F2031" w:rsidP="001F2031">
      <w:pPr>
        <w:pStyle w:val="SingleTxt"/>
      </w:pPr>
      <w:r>
        <w:t>5.</w:t>
      </w:r>
      <w:r>
        <w:tab/>
        <w:t>Из-за расхождений в определениях, содержащихся в подразделе 1.2.1 ВОПОГ, отсутствует четкое понимание того, о каком трубопроводе в данном сл</w:t>
      </w:r>
      <w:r>
        <w:t>у</w:t>
      </w:r>
      <w:r>
        <w:t>чае идет речь. Это может привести к недоразумениям и иметь серьезные после</w:t>
      </w:r>
      <w:r>
        <w:t>д</w:t>
      </w:r>
      <w:r>
        <w:t>ствия в плане безопасности в ходе операций по погрузке или разгрузке, вплоть до использования не тех отверстий для сброса давления в грузовых танках.</w:t>
      </w:r>
    </w:p>
    <w:p w:rsidR="001F2031" w:rsidRDefault="001F2031" w:rsidP="001F2031">
      <w:pPr>
        <w:pStyle w:val="SingleTxt"/>
      </w:pPr>
      <w:r>
        <w:t>6.</w:t>
      </w:r>
      <w:r>
        <w:tab/>
        <w:t>Использование терминов для оборудования судов в ВОПОГ должно повс</w:t>
      </w:r>
      <w:r>
        <w:t>е</w:t>
      </w:r>
      <w:r>
        <w:t>местно быть одинаковым и последовательным.</w:t>
      </w:r>
    </w:p>
    <w:p w:rsidR="001F2031" w:rsidRDefault="001F2031" w:rsidP="001F2031">
      <w:pPr>
        <w:pStyle w:val="SingleTxt"/>
      </w:pPr>
      <w:r>
        <w:t>7.</w:t>
      </w:r>
      <w:r>
        <w:tab/>
      </w:r>
      <w:proofErr w:type="gramStart"/>
      <w:r>
        <w:t>Отличие по содержанию подпункта b) пункта 7.4.2.16.9 в переведенном на немецкий язык тексте ВОПОГ 2015 года может привести к тому, что лица, пол</w:t>
      </w:r>
      <w:r>
        <w:t>ь</w:t>
      </w:r>
      <w:r>
        <w:t>зующиеся текстом на указанном языке, будут действовать неверно, что в свою очередь вызовет неконтролируемый выброс токсичных или взрывоопасных п</w:t>
      </w:r>
      <w:r>
        <w:t>а</w:t>
      </w:r>
      <w:r>
        <w:t>ров/или газов из грузового танка или проникновение воды в грузовые танки во время следующего рейса судна.</w:t>
      </w:r>
      <w:proofErr w:type="gramEnd"/>
    </w:p>
    <w:p w:rsidR="001F2031" w:rsidRDefault="001F2031" w:rsidP="001F2031">
      <w:pPr>
        <w:pStyle w:val="SingleTxt"/>
      </w:pPr>
      <w:r>
        <w:t>8.</w:t>
      </w:r>
      <w:r>
        <w:tab/>
        <w:t xml:space="preserve">Соответствующая фраза </w:t>
      </w:r>
      <w:proofErr w:type="gramStart"/>
      <w:r>
        <w:t>сформулирована</w:t>
      </w:r>
      <w:proofErr w:type="gramEnd"/>
      <w:r>
        <w:t xml:space="preserve"> как правило </w:t>
      </w:r>
      <w:r w:rsidR="001D13FE">
        <w:t xml:space="preserve">для </w:t>
      </w:r>
      <w:r>
        <w:t>постройки, одн</w:t>
      </w:r>
      <w:r>
        <w:t>а</w:t>
      </w:r>
      <w:r>
        <w:t>ко часть 7 содержит операционные положения в отношении мер, которые должны быть приняты во время погрузки, разгрузки, транспортировки и другой обрабо</w:t>
      </w:r>
      <w:r>
        <w:t>т</w:t>
      </w:r>
      <w:r>
        <w:t>ки грузов. Это необходимо отразить в формулировке данного предписания.</w:t>
      </w:r>
    </w:p>
    <w:p w:rsidR="001F2031" w:rsidRDefault="001F2031" w:rsidP="001F2031">
      <w:pPr>
        <w:pStyle w:val="SingleTxt"/>
      </w:pPr>
      <w:r>
        <w:t>9.</w:t>
      </w:r>
      <w:r>
        <w:tab/>
        <w:t>Тексты ВОПОГ на разных языках должны быть идентичными с точки зр</w:t>
      </w:r>
      <w:r>
        <w:t>е</w:t>
      </w:r>
      <w:r>
        <w:t>ния своих нормативных требований, предъявляемых к оборудованию.</w:t>
      </w: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1F2031" w:rsidRDefault="001F2031" w:rsidP="002007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Безопасность</w:t>
      </w: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1F2031" w:rsidRDefault="001F2031" w:rsidP="001F2031">
      <w:pPr>
        <w:pStyle w:val="SingleTxt"/>
      </w:pPr>
      <w:r>
        <w:t>10.</w:t>
      </w:r>
      <w:r>
        <w:tab/>
        <w:t>Обеспечивается поддержание и повышение уровня безопасности перевозки.</w:t>
      </w: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20070E" w:rsidRPr="0020070E" w:rsidRDefault="0020070E" w:rsidP="0020070E">
      <w:pPr>
        <w:pStyle w:val="SingleTxt"/>
        <w:spacing w:after="0" w:line="120" w:lineRule="exact"/>
        <w:rPr>
          <w:sz w:val="10"/>
        </w:rPr>
      </w:pPr>
    </w:p>
    <w:p w:rsidR="001F2031" w:rsidRDefault="001F2031" w:rsidP="001D13F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Применение</w:t>
      </w:r>
    </w:p>
    <w:p w:rsidR="0020070E" w:rsidRPr="0020070E" w:rsidRDefault="0020070E" w:rsidP="001D13FE">
      <w:pPr>
        <w:pStyle w:val="SingleTxt"/>
        <w:keepNext/>
        <w:keepLines/>
        <w:spacing w:after="0" w:line="120" w:lineRule="exact"/>
        <w:rPr>
          <w:sz w:val="10"/>
        </w:rPr>
      </w:pPr>
    </w:p>
    <w:p w:rsidR="0020070E" w:rsidRPr="0020070E" w:rsidRDefault="0020070E" w:rsidP="001D13FE">
      <w:pPr>
        <w:pStyle w:val="SingleTxt"/>
        <w:keepNext/>
        <w:keepLines/>
        <w:spacing w:after="0" w:line="120" w:lineRule="exact"/>
        <w:rPr>
          <w:sz w:val="10"/>
        </w:rPr>
      </w:pPr>
    </w:p>
    <w:p w:rsidR="00EE71EF" w:rsidRDefault="001F2031" w:rsidP="001D13FE">
      <w:pPr>
        <w:pStyle w:val="SingleTxt"/>
        <w:keepNext/>
        <w:keepLines/>
      </w:pPr>
      <w:r>
        <w:t>11.</w:t>
      </w:r>
      <w:r>
        <w:tab/>
        <w:t>Подпункт b) пункта 7.2.4.16.9 ВОПОГ представляет собой чисто операц</w:t>
      </w:r>
      <w:r>
        <w:t>и</w:t>
      </w:r>
      <w:r>
        <w:t xml:space="preserve">онное положение, которое необходимо соблюдать во время погрузки и разгрузки, так что его применение не требует никаких инвестиций. </w:t>
      </w:r>
      <w:proofErr w:type="gramStart"/>
      <w:r>
        <w:t>Изменения, которые необходимо внести в операционные процедуры для приведения их в соотве</w:t>
      </w:r>
      <w:r>
        <w:t>т</w:t>
      </w:r>
      <w:r>
        <w:t>ствие с указанным пунктом, с внесенными в него поправками, могут быть дов</w:t>
      </w:r>
      <w:r>
        <w:t>е</w:t>
      </w:r>
      <w:r>
        <w:t>дены до сведения, самое позднее, на этапе обучения персонала и во время пер</w:t>
      </w:r>
      <w:r>
        <w:t>е</w:t>
      </w:r>
      <w:r>
        <w:t>подготовки для получения свидетельства эксперта.</w:t>
      </w:r>
      <w:proofErr w:type="gramEnd"/>
    </w:p>
    <w:p w:rsidR="0020070E" w:rsidRPr="0020070E" w:rsidRDefault="0020070E" w:rsidP="0020070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0070E" w:rsidRPr="0020070E" w:rsidSect="005A1DE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EA" w:rsidRDefault="001F64EA" w:rsidP="008A1A7A">
      <w:pPr>
        <w:spacing w:line="240" w:lineRule="auto"/>
      </w:pPr>
      <w:r>
        <w:separator/>
      </w:r>
    </w:p>
  </w:endnote>
  <w:endnote w:type="continuationSeparator" w:id="0">
    <w:p w:rsidR="001F64EA" w:rsidRDefault="001F64E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1DE3" w:rsidTr="005A1DE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1DE3" w:rsidRPr="005A1DE3" w:rsidRDefault="005A1DE3" w:rsidP="005A1DE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5CCC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255CCC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A1DE3" w:rsidRPr="005A1DE3" w:rsidRDefault="005A1DE3" w:rsidP="005A1DE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F5779">
            <w:rPr>
              <w:b w:val="0"/>
              <w:color w:val="000000"/>
              <w:sz w:val="14"/>
            </w:rPr>
            <w:t>GE.15-18570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A1DE3" w:rsidRPr="005A1DE3" w:rsidRDefault="005A1DE3" w:rsidP="005A1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1DE3" w:rsidTr="005A1DE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1DE3" w:rsidRPr="005A1DE3" w:rsidRDefault="005A1DE3" w:rsidP="005A1DE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F5779">
            <w:rPr>
              <w:b w:val="0"/>
              <w:color w:val="000000"/>
              <w:sz w:val="14"/>
            </w:rPr>
            <w:t>GE.15-18570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1DE3" w:rsidRPr="005A1DE3" w:rsidRDefault="005A1DE3" w:rsidP="005A1DE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5CCC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255CCC">
              <w:rPr>
                <w:noProof/>
              </w:rPr>
              <w:t>3</w:t>
            </w:r>
          </w:fldSimple>
        </w:p>
      </w:tc>
    </w:tr>
  </w:tbl>
  <w:p w:rsidR="005A1DE3" w:rsidRPr="005A1DE3" w:rsidRDefault="005A1DE3" w:rsidP="005A1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A1DE3" w:rsidTr="005A1DE3">
      <w:tc>
        <w:tcPr>
          <w:tcW w:w="3873" w:type="dxa"/>
        </w:tcPr>
        <w:p w:rsidR="005A1DE3" w:rsidRDefault="005A1DE3" w:rsidP="005A1DE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D7B6737" wp14:editId="72337EB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GE.15-18570 (R)</w:t>
          </w:r>
          <w:r w:rsidR="00EE71EF">
            <w:rPr>
              <w:color w:val="010000"/>
            </w:rPr>
            <w:t xml:space="preserve">    2</w:t>
          </w:r>
          <w:r w:rsidR="00EE71EF">
            <w:rPr>
              <w:color w:val="010000"/>
              <w:lang w:val="en-US"/>
            </w:rPr>
            <w:t>3</w:t>
          </w:r>
          <w:r>
            <w:rPr>
              <w:color w:val="010000"/>
            </w:rPr>
            <w:t>1115    241115</w:t>
          </w:r>
        </w:p>
        <w:p w:rsidR="005A1DE3" w:rsidRPr="005A1DE3" w:rsidRDefault="005A1DE3" w:rsidP="005A1DE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*1518570*</w:t>
          </w:r>
        </w:p>
      </w:tc>
      <w:tc>
        <w:tcPr>
          <w:tcW w:w="5127" w:type="dxa"/>
        </w:tcPr>
        <w:p w:rsidR="005A1DE3" w:rsidRDefault="005A1DE3" w:rsidP="005A1DE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C906B13" wp14:editId="0B688DD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1DE3" w:rsidRPr="005A1DE3" w:rsidRDefault="005A1DE3" w:rsidP="005A1DE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EA" w:rsidRPr="00EE71EF" w:rsidRDefault="00EE71EF" w:rsidP="00EE71EF">
      <w:pPr>
        <w:pStyle w:val="Footer"/>
        <w:spacing w:after="80"/>
        <w:ind w:left="792"/>
        <w:rPr>
          <w:sz w:val="16"/>
        </w:rPr>
      </w:pPr>
      <w:r w:rsidRPr="00EE71EF">
        <w:rPr>
          <w:sz w:val="16"/>
        </w:rPr>
        <w:t>__________________</w:t>
      </w:r>
    </w:p>
  </w:footnote>
  <w:footnote w:type="continuationSeparator" w:id="0">
    <w:p w:rsidR="001F64EA" w:rsidRPr="00EE71EF" w:rsidRDefault="00EE71EF" w:rsidP="00EE71EF">
      <w:pPr>
        <w:pStyle w:val="Footer"/>
        <w:spacing w:after="80"/>
        <w:ind w:left="792"/>
        <w:rPr>
          <w:sz w:val="16"/>
        </w:rPr>
      </w:pPr>
      <w:r w:rsidRPr="00EE71EF">
        <w:rPr>
          <w:sz w:val="16"/>
        </w:rPr>
        <w:t>__________________</w:t>
      </w:r>
    </w:p>
  </w:footnote>
  <w:footnote w:id="1">
    <w:p w:rsidR="00EE71EF" w:rsidRPr="00C626F5" w:rsidRDefault="00EE71EF" w:rsidP="00EE71E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6"/>
          <w:szCs w:val="24"/>
        </w:rPr>
      </w:pPr>
      <w:r>
        <w:tab/>
      </w:r>
      <w:r>
        <w:rPr>
          <w:rStyle w:val="FootnoteReference"/>
          <w:sz w:val="16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CCNR/ZKR/ADN/WP.15/AC.2/2016/15.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1DE3" w:rsidTr="005A1DE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1DE3" w:rsidRPr="005A1DE3" w:rsidRDefault="005A1DE3" w:rsidP="005A1DE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F5779">
            <w:rPr>
              <w:b/>
            </w:rPr>
            <w:t>ECE/TRANS/WP.15/AC.2/2016/15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1DE3" w:rsidRDefault="005A1DE3" w:rsidP="005A1DE3">
          <w:pPr>
            <w:pStyle w:val="Header"/>
          </w:pPr>
        </w:p>
      </w:tc>
    </w:tr>
  </w:tbl>
  <w:p w:rsidR="005A1DE3" w:rsidRPr="005A1DE3" w:rsidRDefault="005A1DE3" w:rsidP="005A1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1DE3" w:rsidTr="005A1DE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1DE3" w:rsidRDefault="005A1DE3" w:rsidP="005A1DE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A1DE3" w:rsidRPr="005A1DE3" w:rsidRDefault="005A1DE3" w:rsidP="005A1DE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F5779">
            <w:rPr>
              <w:b/>
            </w:rPr>
            <w:t>ECE/TRANS/WP.15/AC.2/2016/15</w:t>
          </w:r>
          <w:r>
            <w:rPr>
              <w:b/>
            </w:rPr>
            <w:fldChar w:fldCharType="end"/>
          </w:r>
        </w:p>
      </w:tc>
    </w:tr>
  </w:tbl>
  <w:p w:rsidR="005A1DE3" w:rsidRPr="005A1DE3" w:rsidRDefault="005A1DE3" w:rsidP="005A1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A1DE3" w:rsidTr="005A1DE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A1DE3" w:rsidRPr="005A1DE3" w:rsidRDefault="005A1DE3" w:rsidP="005A1DE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A1DE3" w:rsidRDefault="005A1DE3" w:rsidP="005A1DE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A1DE3" w:rsidRPr="005A1DE3" w:rsidRDefault="005A1DE3" w:rsidP="005A1DE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/TRANS/WP.15/AC.2/2016/15</w:t>
          </w:r>
        </w:p>
      </w:tc>
    </w:tr>
    <w:tr w:rsidR="005A1DE3" w:rsidRPr="00C2000E" w:rsidTr="005A1DE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1DE3" w:rsidRPr="005A1DE3" w:rsidRDefault="005A1DE3" w:rsidP="005A1DE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3DEA94F" wp14:editId="6011FF4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1DE3" w:rsidRPr="005A1DE3" w:rsidRDefault="005A1DE3" w:rsidP="005A1DE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1DE3" w:rsidRPr="005A1DE3" w:rsidRDefault="005A1DE3" w:rsidP="005A1DE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1DE3" w:rsidRPr="00EE71EF" w:rsidRDefault="005A1DE3" w:rsidP="005A1DE3">
          <w:pPr>
            <w:pStyle w:val="Distribution"/>
            <w:rPr>
              <w:color w:val="000000"/>
              <w:lang w:val="en-US"/>
            </w:rPr>
          </w:pPr>
          <w:r w:rsidRPr="00EE71EF">
            <w:rPr>
              <w:color w:val="000000"/>
              <w:lang w:val="en-US"/>
            </w:rPr>
            <w:t>Distr.: General</w:t>
          </w:r>
        </w:p>
        <w:p w:rsidR="005A1DE3" w:rsidRPr="00EE71EF" w:rsidRDefault="005A1DE3" w:rsidP="005A1DE3">
          <w:pPr>
            <w:pStyle w:val="Publication"/>
            <w:rPr>
              <w:color w:val="000000"/>
              <w:lang w:val="en-US"/>
            </w:rPr>
          </w:pPr>
          <w:r w:rsidRPr="00EE71EF">
            <w:rPr>
              <w:color w:val="000000"/>
              <w:lang w:val="en-US"/>
            </w:rPr>
            <w:t>23 October 2015</w:t>
          </w:r>
        </w:p>
        <w:p w:rsidR="005A1DE3" w:rsidRPr="00EE71EF" w:rsidRDefault="005A1DE3" w:rsidP="005A1DE3">
          <w:pPr>
            <w:rPr>
              <w:color w:val="000000"/>
              <w:lang w:val="en-US"/>
            </w:rPr>
          </w:pPr>
          <w:r w:rsidRPr="00EE71EF">
            <w:rPr>
              <w:color w:val="000000"/>
              <w:lang w:val="en-US"/>
            </w:rPr>
            <w:t>Russian</w:t>
          </w:r>
        </w:p>
        <w:p w:rsidR="005A1DE3" w:rsidRPr="00EE71EF" w:rsidRDefault="005A1DE3" w:rsidP="005A1DE3">
          <w:pPr>
            <w:pStyle w:val="Original"/>
            <w:rPr>
              <w:color w:val="000000"/>
              <w:lang w:val="en-US"/>
            </w:rPr>
          </w:pPr>
          <w:r w:rsidRPr="00EE71EF">
            <w:rPr>
              <w:color w:val="000000"/>
              <w:lang w:val="en-US"/>
            </w:rPr>
            <w:t>Original: French</w:t>
          </w:r>
        </w:p>
        <w:p w:rsidR="005A1DE3" w:rsidRPr="00EE71EF" w:rsidRDefault="005A1DE3" w:rsidP="005A1DE3">
          <w:pPr>
            <w:rPr>
              <w:lang w:val="en-US"/>
            </w:rPr>
          </w:pPr>
        </w:p>
      </w:tc>
    </w:tr>
  </w:tbl>
  <w:p w:rsidR="005A1DE3" w:rsidRPr="00EE71EF" w:rsidRDefault="005A1DE3" w:rsidP="005A1DE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70*"/>
    <w:docVar w:name="CreationDt" w:val="11/24/2015 11:32 AM"/>
    <w:docVar w:name="DocCategory" w:val="Doc"/>
    <w:docVar w:name="DocType" w:val="Final"/>
    <w:docVar w:name="DutyStation" w:val="Geneva"/>
    <w:docVar w:name="FooterJN" w:val="GE.15-18570"/>
    <w:docVar w:name="jobn" w:val="GE.15-18570 (R)"/>
    <w:docVar w:name="jobnDT" w:val="GE.15-18570 (R)   241115"/>
    <w:docVar w:name="jobnDTDT" w:val="GE.15-18570 (R)   241115   241115"/>
    <w:docVar w:name="JobNo" w:val="GE.1518570R"/>
    <w:docVar w:name="JobNo2" w:val="1524528R"/>
    <w:docVar w:name="LocalDrive" w:val="0"/>
    <w:docVar w:name="OandT" w:val="U.A."/>
    <w:docVar w:name="PaperSize" w:val="A4"/>
    <w:docVar w:name="sss1" w:val="ECE/TRANS/WP.15/AC.2/2016/15"/>
    <w:docVar w:name="sss2" w:val="-"/>
    <w:docVar w:name="Symbol1" w:val="ECE/TRANS/WP.15/AC.2/2016/15"/>
    <w:docVar w:name="Symbol2" w:val="-"/>
  </w:docVars>
  <w:rsids>
    <w:rsidRoot w:val="001F64EA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37B6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3F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2031"/>
    <w:rsid w:val="001F4353"/>
    <w:rsid w:val="001F639D"/>
    <w:rsid w:val="001F64EA"/>
    <w:rsid w:val="0020070E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5CCC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19A8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4F5779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1DE3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2F0E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000E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4F6A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1EF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3BB8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A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D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DE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DE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rsid w:val="00EE71E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Bullet1G">
    <w:name w:val="_Bullet 1_G"/>
    <w:basedOn w:val="Normal"/>
    <w:rsid w:val="00EE71EF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C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A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D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DE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DE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rsid w:val="00EE71E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Bullet1G">
    <w:name w:val="_Bullet 1_G"/>
    <w:basedOn w:val="Normal"/>
    <w:rsid w:val="00EE71EF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C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A0F7-9421-4C5D-8855-8D6A0F45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Caillot</cp:lastModifiedBy>
  <cp:revision>2</cp:revision>
  <cp:lastPrinted>2015-11-24T11:11:00Z</cp:lastPrinted>
  <dcterms:created xsi:type="dcterms:W3CDTF">2015-11-26T17:11:00Z</dcterms:created>
  <dcterms:modified xsi:type="dcterms:W3CDTF">2015-11-26T17:11:00Z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1518570R</vt:lpwstr>
  </property>
  <property fmtid="{D5CDD505-2E9C-101B-9397-08002B2CF9AE}" pid="3" name="ODSRefJobNo">
    <vt:lpwstr>1524528R</vt:lpwstr>
  </property>
  <property fmtid="{D5CDD505-2E9C-101B-9397-08002B2CF9AE}" pid="4" name="Symbol1">
    <vt:lpwstr>ECE/TRANS/WP.15/AC.2/2016/15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241115</vt:lpwstr>
  </property>
</Properties>
</file>