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00" w:rsidRPr="00766D7C" w:rsidRDefault="008E7000" w:rsidP="008E7000">
      <w:pPr>
        <w:spacing w:line="60" w:lineRule="exact"/>
        <w:rPr>
          <w:color w:val="010000"/>
          <w:sz w:val="6"/>
        </w:rPr>
        <w:sectPr w:rsidR="008E7000" w:rsidRPr="00766D7C" w:rsidSect="008E70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0E251E" w:rsidRPr="000E251E" w:rsidRDefault="000E251E" w:rsidP="000E251E">
      <w:pPr>
        <w:rPr>
          <w:b/>
          <w:sz w:val="28"/>
          <w:szCs w:val="28"/>
          <w:lang w:bidi="ru-RU"/>
        </w:rPr>
      </w:pPr>
      <w:r w:rsidRPr="000E251E">
        <w:rPr>
          <w:b/>
          <w:sz w:val="28"/>
          <w:szCs w:val="28"/>
          <w:lang w:bidi="ru-RU"/>
        </w:rPr>
        <w:lastRenderedPageBreak/>
        <w:t>Европейская экономическая комиссия</w:t>
      </w:r>
    </w:p>
    <w:p w:rsidR="000E251E" w:rsidRPr="000E251E" w:rsidRDefault="000E251E" w:rsidP="000E251E">
      <w:pPr>
        <w:spacing w:line="120" w:lineRule="exact"/>
        <w:rPr>
          <w:sz w:val="10"/>
          <w:lang w:val="en-US" w:bidi="ru-RU"/>
        </w:rPr>
      </w:pPr>
    </w:p>
    <w:p w:rsidR="000E251E" w:rsidRPr="000E251E" w:rsidRDefault="000E251E" w:rsidP="000E251E">
      <w:pPr>
        <w:rPr>
          <w:sz w:val="28"/>
          <w:szCs w:val="28"/>
          <w:lang w:bidi="ru-RU"/>
        </w:rPr>
      </w:pPr>
      <w:r w:rsidRPr="000E251E">
        <w:rPr>
          <w:sz w:val="28"/>
          <w:szCs w:val="28"/>
          <w:lang w:bidi="ru-RU"/>
        </w:rPr>
        <w:t>Комитет по внутреннему транспорту</w:t>
      </w:r>
    </w:p>
    <w:p w:rsidR="000E251E" w:rsidRPr="000E251E" w:rsidRDefault="000E251E" w:rsidP="000E251E">
      <w:pPr>
        <w:spacing w:line="120" w:lineRule="exact"/>
        <w:rPr>
          <w:b/>
          <w:sz w:val="10"/>
          <w:lang w:val="en-US" w:bidi="ru-RU"/>
        </w:rPr>
      </w:pPr>
    </w:p>
    <w:p w:rsidR="000E251E" w:rsidRPr="000E251E" w:rsidRDefault="000E251E" w:rsidP="000E251E">
      <w:pPr>
        <w:rPr>
          <w:b/>
          <w:sz w:val="24"/>
          <w:szCs w:val="24"/>
          <w:lang w:bidi="ru-RU"/>
        </w:rPr>
      </w:pPr>
      <w:r w:rsidRPr="000E251E">
        <w:rPr>
          <w:b/>
          <w:sz w:val="24"/>
          <w:szCs w:val="24"/>
          <w:lang w:bidi="ru-RU"/>
        </w:rPr>
        <w:t>Рабочая группа по перевозкам опасных грузов</w:t>
      </w:r>
    </w:p>
    <w:p w:rsidR="000E251E" w:rsidRPr="000E251E" w:rsidRDefault="000E251E" w:rsidP="000E251E">
      <w:pPr>
        <w:spacing w:line="120" w:lineRule="exact"/>
        <w:rPr>
          <w:b/>
          <w:sz w:val="10"/>
          <w:lang w:val="en-US" w:bidi="ru-RU"/>
        </w:rPr>
      </w:pPr>
    </w:p>
    <w:p w:rsidR="000E251E" w:rsidRPr="000E251E" w:rsidRDefault="000E251E" w:rsidP="000E251E">
      <w:pPr>
        <w:rPr>
          <w:b/>
          <w:lang w:bidi="ru-RU"/>
        </w:rPr>
      </w:pPr>
      <w:r w:rsidRPr="000E251E">
        <w:rPr>
          <w:b/>
          <w:lang w:bidi="ru-RU"/>
        </w:rPr>
        <w:t xml:space="preserve">Совместное совещание экспертов по Правилам, </w:t>
      </w:r>
      <w:r w:rsidRPr="000E251E">
        <w:rPr>
          <w:b/>
          <w:lang w:bidi="ru-RU"/>
        </w:rPr>
        <w:br/>
        <w:t xml:space="preserve">прилагаемым к Европейскому соглашению </w:t>
      </w:r>
      <w:bookmarkStart w:id="0" w:name="_GoBack"/>
      <w:bookmarkEnd w:id="0"/>
      <w:r>
        <w:rPr>
          <w:b/>
          <w:lang w:val="en-US" w:bidi="ru-RU"/>
        </w:rPr>
        <w:br/>
      </w:r>
      <w:r w:rsidRPr="000E251E">
        <w:rPr>
          <w:b/>
          <w:lang w:bidi="ru-RU"/>
        </w:rPr>
        <w:t xml:space="preserve">о международной перевозке опасных грузов </w:t>
      </w:r>
      <w:r w:rsidRPr="000E251E">
        <w:rPr>
          <w:b/>
          <w:lang w:bidi="ru-RU"/>
        </w:rPr>
        <w:br/>
        <w:t xml:space="preserve">по внутренним водным путям (ВОПОГ) </w:t>
      </w:r>
      <w:r w:rsidRPr="000E251E">
        <w:rPr>
          <w:b/>
          <w:lang w:bidi="ru-RU"/>
        </w:rPr>
        <w:br/>
        <w:t>(Комитет по вопросам безопасности ВОПОГ)</w:t>
      </w:r>
    </w:p>
    <w:p w:rsidR="000E251E" w:rsidRPr="000E251E" w:rsidRDefault="000E251E" w:rsidP="000E251E">
      <w:pPr>
        <w:spacing w:line="120" w:lineRule="exact"/>
        <w:rPr>
          <w:b/>
          <w:sz w:val="10"/>
          <w:lang w:val="en-US" w:bidi="ru-RU"/>
        </w:rPr>
      </w:pPr>
    </w:p>
    <w:p w:rsidR="000E251E" w:rsidRPr="000E251E" w:rsidRDefault="000E251E" w:rsidP="000E251E">
      <w:pPr>
        <w:rPr>
          <w:b/>
          <w:lang w:bidi="ru-RU"/>
        </w:rPr>
      </w:pPr>
      <w:r w:rsidRPr="000E251E">
        <w:rPr>
          <w:b/>
          <w:lang w:bidi="ru-RU"/>
        </w:rPr>
        <w:t>Двадцать восьмая сессия</w:t>
      </w:r>
    </w:p>
    <w:p w:rsidR="000E251E" w:rsidRPr="000E251E" w:rsidRDefault="000E251E" w:rsidP="000E251E">
      <w:pPr>
        <w:rPr>
          <w:lang w:bidi="ru-RU"/>
        </w:rPr>
      </w:pPr>
      <w:r w:rsidRPr="000E251E">
        <w:rPr>
          <w:lang w:bidi="ru-RU"/>
        </w:rPr>
        <w:t>Женева, 25–29 января 2016 года</w:t>
      </w:r>
    </w:p>
    <w:p w:rsidR="000E251E" w:rsidRPr="000E251E" w:rsidRDefault="000E251E" w:rsidP="000E251E">
      <w:pPr>
        <w:rPr>
          <w:lang w:bidi="ru-RU"/>
        </w:rPr>
      </w:pPr>
      <w:r w:rsidRPr="000E251E">
        <w:rPr>
          <w:lang w:bidi="ru-RU"/>
        </w:rPr>
        <w:t xml:space="preserve">Пункт 5 </w:t>
      </w:r>
      <w:r w:rsidRPr="000E251E">
        <w:rPr>
          <w:lang w:val="en-US" w:bidi="ru-RU"/>
        </w:rPr>
        <w:t>b</w:t>
      </w:r>
      <w:r w:rsidRPr="000E251E">
        <w:rPr>
          <w:lang w:bidi="ru-RU"/>
        </w:rPr>
        <w:t>) предварительной повестки дня</w:t>
      </w:r>
    </w:p>
    <w:p w:rsidR="008E7000" w:rsidRPr="000E251E" w:rsidRDefault="000E251E" w:rsidP="000E251E">
      <w:r w:rsidRPr="000E251E">
        <w:rPr>
          <w:b/>
          <w:lang w:bidi="ru-RU"/>
        </w:rPr>
        <w:t xml:space="preserve">Предложения о внесении поправок в Правила, </w:t>
      </w:r>
      <w:r w:rsidRPr="000E251E">
        <w:rPr>
          <w:b/>
          <w:lang w:bidi="ru-RU"/>
        </w:rPr>
        <w:br/>
        <w:t>прилагаемые к ВОПОГ: Другие предложения</w:t>
      </w:r>
    </w:p>
    <w:p w:rsidR="000E251E" w:rsidRPr="000E251E" w:rsidRDefault="000E251E" w:rsidP="000E251E">
      <w:pPr>
        <w:pStyle w:val="SingleTxt"/>
        <w:spacing w:after="0" w:line="120" w:lineRule="exact"/>
        <w:rPr>
          <w:sz w:val="10"/>
        </w:rPr>
      </w:pPr>
    </w:p>
    <w:p w:rsidR="000E251E" w:rsidRPr="000E251E" w:rsidRDefault="000E251E" w:rsidP="000E251E">
      <w:pPr>
        <w:pStyle w:val="SingleTxt"/>
        <w:spacing w:after="0" w:line="120" w:lineRule="exact"/>
        <w:rPr>
          <w:sz w:val="10"/>
        </w:rPr>
      </w:pPr>
    </w:p>
    <w:p w:rsidR="000E251E" w:rsidRPr="000E251E" w:rsidRDefault="000E251E" w:rsidP="000E251E">
      <w:pPr>
        <w:pStyle w:val="SingleTxt"/>
        <w:spacing w:after="0" w:line="120" w:lineRule="exact"/>
        <w:rPr>
          <w:sz w:val="10"/>
        </w:rPr>
      </w:pPr>
    </w:p>
    <w:p w:rsidR="000E251E" w:rsidRPr="000E251E" w:rsidRDefault="000E251E" w:rsidP="000E251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0E251E">
        <w:rPr>
          <w:lang w:val="en-US" w:bidi="ru-RU"/>
        </w:rPr>
        <w:tab/>
      </w:r>
      <w:r w:rsidRPr="000E251E">
        <w:rPr>
          <w:lang w:val="en-US" w:bidi="ru-RU"/>
        </w:rPr>
        <w:tab/>
      </w:r>
      <w:r w:rsidRPr="000E251E">
        <w:rPr>
          <w:lang w:bidi="ru-RU"/>
        </w:rPr>
        <w:t>Подготовка предложени</w:t>
      </w:r>
      <w:r>
        <w:rPr>
          <w:lang w:bidi="ru-RU"/>
        </w:rPr>
        <w:t>й для примечаний по таблице</w:t>
      </w:r>
      <w:proofErr w:type="gramStart"/>
      <w:r>
        <w:rPr>
          <w:lang w:bidi="ru-RU"/>
        </w:rPr>
        <w:t xml:space="preserve"> С</w:t>
      </w:r>
      <w:proofErr w:type="gramEnd"/>
      <w:r>
        <w:rPr>
          <w:lang w:bidi="ru-RU"/>
        </w:rPr>
        <w:t xml:space="preserve"> и</w:t>
      </w:r>
      <w:r>
        <w:rPr>
          <w:lang w:val="en-US" w:bidi="ru-RU"/>
        </w:rPr>
        <w:t> </w:t>
      </w:r>
      <w:r w:rsidRPr="000E251E">
        <w:rPr>
          <w:lang w:bidi="ru-RU"/>
        </w:rPr>
        <w:t xml:space="preserve">в колонке 5 </w:t>
      </w:r>
      <w:r>
        <w:rPr>
          <w:lang w:bidi="ru-RU"/>
        </w:rPr>
        <w:t>«</w:t>
      </w:r>
      <w:r w:rsidRPr="000E251E">
        <w:rPr>
          <w:lang w:bidi="ru-RU"/>
        </w:rPr>
        <w:t>Виды опасности</w:t>
      </w:r>
      <w:r>
        <w:rPr>
          <w:lang w:bidi="ru-RU"/>
        </w:rPr>
        <w:t>»</w:t>
      </w:r>
    </w:p>
    <w:p w:rsidR="000E251E" w:rsidRPr="000E251E" w:rsidRDefault="000E251E" w:rsidP="000E251E">
      <w:pPr>
        <w:pStyle w:val="SingleTxt"/>
        <w:spacing w:after="0" w:line="120" w:lineRule="exact"/>
        <w:rPr>
          <w:sz w:val="10"/>
          <w:lang w:bidi="ru-RU"/>
        </w:rPr>
      </w:pPr>
    </w:p>
    <w:p w:rsidR="000E251E" w:rsidRPr="000E251E" w:rsidRDefault="000E251E" w:rsidP="000E251E">
      <w:pPr>
        <w:pStyle w:val="SingleTxt"/>
        <w:spacing w:after="0" w:line="120" w:lineRule="exact"/>
        <w:rPr>
          <w:sz w:val="10"/>
          <w:lang w:bidi="ru-RU"/>
        </w:rPr>
      </w:pPr>
    </w:p>
    <w:p w:rsidR="000E251E" w:rsidRPr="000E251E" w:rsidRDefault="000E251E" w:rsidP="000E251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0E251E">
        <w:rPr>
          <w:lang w:bidi="ru-RU"/>
        </w:rPr>
        <w:tab/>
      </w:r>
      <w:r w:rsidRPr="000E251E">
        <w:rPr>
          <w:lang w:bidi="ru-RU"/>
        </w:rPr>
        <w:tab/>
        <w:t>Передано Центральной комиссией судоходства по Рейну (ЦКСР)</w:t>
      </w:r>
      <w:r w:rsidRPr="00A41729">
        <w:rPr>
          <w:b w:val="0"/>
          <w:sz w:val="20"/>
          <w:szCs w:val="20"/>
          <w:vertAlign w:val="superscript"/>
          <w:lang w:val="en-US" w:bidi="ru-RU"/>
        </w:rPr>
        <w:footnoteReference w:id="1"/>
      </w:r>
    </w:p>
    <w:p w:rsidR="000E251E" w:rsidRPr="000E251E" w:rsidRDefault="000E251E" w:rsidP="000E251E">
      <w:pPr>
        <w:pStyle w:val="SingleTxt"/>
        <w:spacing w:after="0" w:line="120" w:lineRule="exact"/>
        <w:rPr>
          <w:sz w:val="10"/>
          <w:lang w:val="en-US" w:bidi="ru-RU"/>
        </w:rPr>
      </w:pPr>
    </w:p>
    <w:p w:rsidR="000E251E" w:rsidRPr="000E251E" w:rsidRDefault="000E251E" w:rsidP="000E251E">
      <w:pPr>
        <w:pStyle w:val="SingleTxt"/>
        <w:spacing w:after="0" w:line="120" w:lineRule="exact"/>
        <w:rPr>
          <w:sz w:val="10"/>
          <w:lang w:val="en-US" w:bidi="ru-RU"/>
        </w:rPr>
      </w:pPr>
    </w:p>
    <w:p w:rsidR="000E251E" w:rsidRPr="000E251E" w:rsidRDefault="000E251E" w:rsidP="000E251E">
      <w:pPr>
        <w:pStyle w:val="SingleTxt"/>
        <w:rPr>
          <w:lang w:bidi="ru-RU"/>
        </w:rPr>
      </w:pPr>
      <w:r w:rsidRPr="000E251E">
        <w:rPr>
          <w:lang w:bidi="ru-RU"/>
        </w:rPr>
        <w:t>1.</w:t>
      </w:r>
      <w:r w:rsidRPr="000E251E">
        <w:rPr>
          <w:lang w:bidi="ru-RU"/>
        </w:rPr>
        <w:tab/>
        <w:t>Германия отметила, чт</w:t>
      </w:r>
      <w:r>
        <w:rPr>
          <w:lang w:bidi="ru-RU"/>
        </w:rPr>
        <w:t>о в подразделе 3.2.3.1 ВОПОГ в «</w:t>
      </w:r>
      <w:r w:rsidRPr="000E251E">
        <w:rPr>
          <w:lang w:bidi="ru-RU"/>
        </w:rPr>
        <w:t>Пояснительных примечаниях по каждой колонке</w:t>
      </w:r>
      <w:r>
        <w:rPr>
          <w:lang w:bidi="ru-RU"/>
        </w:rPr>
        <w:t>»</w:t>
      </w:r>
      <w:r w:rsidRPr="000E251E">
        <w:rPr>
          <w:lang w:bidi="ru-RU"/>
        </w:rPr>
        <w:t xml:space="preserve"> для колонки 5 не объясняется, почему по нек</w:t>
      </w:r>
      <w:r w:rsidRPr="000E251E">
        <w:rPr>
          <w:lang w:bidi="ru-RU"/>
        </w:rPr>
        <w:t>о</w:t>
      </w:r>
      <w:r w:rsidRPr="000E251E">
        <w:rPr>
          <w:lang w:bidi="ru-RU"/>
        </w:rPr>
        <w:t>торым позициям вспомогательные риски указаны в скобках. Соответствующее объяснение отсутствует и в других частях ВОПОГ.</w:t>
      </w:r>
    </w:p>
    <w:p w:rsidR="000E251E" w:rsidRPr="000E251E" w:rsidRDefault="000E251E" w:rsidP="000E251E">
      <w:pPr>
        <w:pStyle w:val="SingleTxt"/>
        <w:rPr>
          <w:lang w:bidi="ru-RU"/>
        </w:rPr>
      </w:pPr>
      <w:r w:rsidRPr="000E251E">
        <w:rPr>
          <w:lang w:bidi="ru-RU"/>
        </w:rPr>
        <w:t>2.</w:t>
      </w:r>
      <w:r w:rsidRPr="000E251E">
        <w:rPr>
          <w:lang w:bidi="ru-RU"/>
        </w:rPr>
        <w:tab/>
        <w:t>Аналогичным</w:t>
      </w:r>
      <w:r>
        <w:rPr>
          <w:lang w:bidi="ru-RU"/>
        </w:rPr>
        <w:t xml:space="preserve"> образом, в подразделе 3.2.3.1 «</w:t>
      </w:r>
      <w:r w:rsidRPr="000E251E">
        <w:rPr>
          <w:lang w:bidi="ru-RU"/>
        </w:rPr>
        <w:t>Пояснения к таблице</w:t>
      </w:r>
      <w:proofErr w:type="gramStart"/>
      <w:r w:rsidRPr="000E251E">
        <w:rPr>
          <w:lang w:bidi="ru-RU"/>
        </w:rPr>
        <w:t xml:space="preserve"> С</w:t>
      </w:r>
      <w:proofErr w:type="gramEnd"/>
      <w:r>
        <w:rPr>
          <w:lang w:bidi="ru-RU"/>
        </w:rPr>
        <w:t>»</w:t>
      </w:r>
      <w:r w:rsidRPr="000E251E">
        <w:rPr>
          <w:lang w:bidi="ru-RU"/>
        </w:rPr>
        <w:t xml:space="preserve"> о</w:t>
      </w:r>
      <w:r w:rsidRPr="000E251E">
        <w:rPr>
          <w:lang w:bidi="ru-RU"/>
        </w:rPr>
        <w:t>т</w:t>
      </w:r>
      <w:r w:rsidRPr="000E251E">
        <w:rPr>
          <w:lang w:bidi="ru-RU"/>
        </w:rPr>
        <w:t xml:space="preserve">сутствует объяснение знака </w:t>
      </w:r>
      <w:r>
        <w:rPr>
          <w:lang w:bidi="ru-RU"/>
        </w:rPr>
        <w:t>«</w:t>
      </w:r>
      <w:r w:rsidRPr="000E251E">
        <w:rPr>
          <w:lang w:bidi="ru-RU"/>
        </w:rPr>
        <w:t>*</w:t>
      </w:r>
      <w:r>
        <w:rPr>
          <w:lang w:bidi="ru-RU"/>
        </w:rPr>
        <w:t>»</w:t>
      </w:r>
      <w:r w:rsidR="005865C0">
        <w:rPr>
          <w:lang w:bidi="ru-RU"/>
        </w:rPr>
        <w:t xml:space="preserve"> в колонках 6–</w:t>
      </w:r>
      <w:r w:rsidRPr="000E251E">
        <w:rPr>
          <w:lang w:bidi="ru-RU"/>
        </w:rPr>
        <w:t>18, как это можно было бы ож</w:t>
      </w:r>
      <w:r w:rsidRPr="000E251E">
        <w:rPr>
          <w:lang w:bidi="ru-RU"/>
        </w:rPr>
        <w:t>и</w:t>
      </w:r>
      <w:r w:rsidRPr="000E251E">
        <w:rPr>
          <w:lang w:bidi="ru-RU"/>
        </w:rPr>
        <w:t>дать.</w:t>
      </w:r>
    </w:p>
    <w:p w:rsidR="000E251E" w:rsidRPr="000E251E" w:rsidRDefault="000E251E" w:rsidP="000E251E">
      <w:pPr>
        <w:pStyle w:val="SingleTxt"/>
        <w:rPr>
          <w:lang w:bidi="ru-RU"/>
        </w:rPr>
      </w:pPr>
      <w:r w:rsidRPr="000E251E">
        <w:rPr>
          <w:lang w:bidi="ru-RU"/>
        </w:rPr>
        <w:t>3.</w:t>
      </w:r>
      <w:r w:rsidRPr="000E251E">
        <w:rPr>
          <w:lang w:bidi="ru-RU"/>
        </w:rPr>
        <w:tab/>
        <w:t>После консультаций в рамках Комитета по вопросам безопасности неоф</w:t>
      </w:r>
      <w:r w:rsidRPr="000E251E">
        <w:rPr>
          <w:lang w:bidi="ru-RU"/>
        </w:rPr>
        <w:t>и</w:t>
      </w:r>
      <w:r w:rsidRPr="000E251E">
        <w:rPr>
          <w:lang w:bidi="ru-RU"/>
        </w:rPr>
        <w:t>циальной рабочей группе по веществам было предложено представить соотве</w:t>
      </w:r>
      <w:r w:rsidRPr="000E251E">
        <w:rPr>
          <w:lang w:bidi="ru-RU"/>
        </w:rPr>
        <w:t>т</w:t>
      </w:r>
      <w:r w:rsidRPr="000E251E">
        <w:rPr>
          <w:lang w:bidi="ru-RU"/>
        </w:rPr>
        <w:t xml:space="preserve">ствующее дополнение для подраздела 3.2.3.1 </w:t>
      </w:r>
      <w:r>
        <w:rPr>
          <w:lang w:bidi="ru-RU"/>
        </w:rPr>
        <w:t>«</w:t>
      </w:r>
      <w:r w:rsidRPr="000E251E">
        <w:rPr>
          <w:lang w:bidi="ru-RU"/>
        </w:rPr>
        <w:t>Пояснения к таблице</w:t>
      </w:r>
      <w:proofErr w:type="gramStart"/>
      <w:r w:rsidRPr="000E251E">
        <w:rPr>
          <w:lang w:bidi="ru-RU"/>
        </w:rPr>
        <w:t xml:space="preserve"> С</w:t>
      </w:r>
      <w:proofErr w:type="gramEnd"/>
      <w:r>
        <w:rPr>
          <w:lang w:bidi="ru-RU"/>
        </w:rPr>
        <w:t>»</w:t>
      </w:r>
      <w:r w:rsidRPr="000E251E">
        <w:rPr>
          <w:lang w:bidi="ru-RU"/>
        </w:rPr>
        <w:t xml:space="preserve"> для пр</w:t>
      </w:r>
      <w:r w:rsidRPr="000E251E">
        <w:rPr>
          <w:lang w:bidi="ru-RU"/>
        </w:rPr>
        <w:t>и</w:t>
      </w:r>
      <w:r w:rsidRPr="000E251E">
        <w:rPr>
          <w:lang w:bidi="ru-RU"/>
        </w:rPr>
        <w:t>нятия решения.</w:t>
      </w:r>
    </w:p>
    <w:p w:rsidR="000E251E" w:rsidRPr="000E251E" w:rsidRDefault="000E251E" w:rsidP="000E251E">
      <w:pPr>
        <w:pStyle w:val="SingleTxt"/>
        <w:rPr>
          <w:lang w:bidi="ru-RU"/>
        </w:rPr>
      </w:pPr>
      <w:r w:rsidRPr="000E251E">
        <w:rPr>
          <w:lang w:bidi="ru-RU"/>
        </w:rPr>
        <w:t>4.</w:t>
      </w:r>
      <w:r w:rsidRPr="000E251E">
        <w:rPr>
          <w:lang w:bidi="ru-RU"/>
        </w:rPr>
        <w:tab/>
        <w:t>Было предложено подготовить проект следующих поя</w:t>
      </w:r>
      <w:r>
        <w:rPr>
          <w:lang w:bidi="ru-RU"/>
        </w:rPr>
        <w:t>снений к таблице</w:t>
      </w:r>
      <w:proofErr w:type="gramStart"/>
      <w:r>
        <w:rPr>
          <w:lang w:bidi="ru-RU"/>
        </w:rPr>
        <w:t xml:space="preserve"> С</w:t>
      </w:r>
      <w:proofErr w:type="gramEnd"/>
      <w:r>
        <w:rPr>
          <w:lang w:bidi="ru-RU"/>
        </w:rPr>
        <w:t xml:space="preserve"> и колонке 5 «</w:t>
      </w:r>
      <w:r w:rsidRPr="000E251E">
        <w:rPr>
          <w:lang w:bidi="ru-RU"/>
        </w:rPr>
        <w:t>Виды опасности</w:t>
      </w:r>
      <w:r>
        <w:rPr>
          <w:lang w:bidi="ru-RU"/>
        </w:rPr>
        <w:t>»</w:t>
      </w:r>
      <w:r w:rsidRPr="000E251E">
        <w:rPr>
          <w:lang w:bidi="ru-RU"/>
        </w:rPr>
        <w:t xml:space="preserve"> (текст, который предлагается исключить, вычер</w:t>
      </w:r>
      <w:r w:rsidRPr="000E251E">
        <w:rPr>
          <w:lang w:bidi="ru-RU"/>
        </w:rPr>
        <w:t>к</w:t>
      </w:r>
      <w:r w:rsidRPr="000E251E">
        <w:rPr>
          <w:lang w:bidi="ru-RU"/>
        </w:rPr>
        <w:t>нут, новый текст – подчеркнут):</w:t>
      </w:r>
    </w:p>
    <w:p w:rsidR="000E251E" w:rsidRDefault="000E251E" w:rsidP="00A4172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lastRenderedPageBreak/>
        <w:tab/>
      </w:r>
      <w:r>
        <w:rPr>
          <w:lang w:bidi="ru-RU"/>
        </w:rPr>
        <w:tab/>
      </w:r>
      <w:r w:rsidR="00A41729">
        <w:rPr>
          <w:lang w:bidi="ru-RU"/>
        </w:rPr>
        <w:tab/>
      </w:r>
      <w:r w:rsidRPr="00A41729">
        <w:rPr>
          <w:b w:val="0"/>
          <w:lang w:bidi="ru-RU"/>
        </w:rPr>
        <w:t>«</w:t>
      </w:r>
      <w:r w:rsidRPr="000E251E">
        <w:rPr>
          <w:lang w:bidi="ru-RU"/>
        </w:rPr>
        <w:t>3.2.3.1 Пояснения к таблице</w:t>
      </w:r>
      <w:proofErr w:type="gramStart"/>
      <w:r w:rsidRPr="000E251E">
        <w:rPr>
          <w:lang w:bidi="ru-RU"/>
        </w:rPr>
        <w:t xml:space="preserve"> С</w:t>
      </w:r>
      <w:proofErr w:type="gramEnd"/>
      <w:r w:rsidRPr="000E251E">
        <w:rPr>
          <w:lang w:bidi="ru-RU"/>
        </w:rPr>
        <w:t>:</w:t>
      </w:r>
    </w:p>
    <w:p w:rsidR="00A41729" w:rsidRPr="00A41729" w:rsidRDefault="00A41729" w:rsidP="00A41729">
      <w:pPr>
        <w:pStyle w:val="SingleTxt"/>
        <w:keepNext/>
        <w:keepLines/>
        <w:spacing w:after="0" w:line="120" w:lineRule="exact"/>
        <w:rPr>
          <w:sz w:val="10"/>
          <w:lang w:bidi="ru-RU"/>
        </w:rPr>
      </w:pPr>
    </w:p>
    <w:p w:rsidR="000E251E" w:rsidRPr="000E251E" w:rsidRDefault="00A41729" w:rsidP="00A41729">
      <w:pPr>
        <w:pStyle w:val="SingleTxt"/>
        <w:keepNext/>
        <w:keepLines/>
        <w:ind w:left="1742" w:hanging="475"/>
        <w:rPr>
          <w:lang w:bidi="ru-RU"/>
        </w:rPr>
      </w:pPr>
      <w:r>
        <w:rPr>
          <w:lang w:bidi="ru-RU"/>
        </w:rPr>
        <w:tab/>
      </w:r>
      <w:r w:rsidR="000E251E" w:rsidRPr="000E251E">
        <w:rPr>
          <w:lang w:bidi="ru-RU"/>
        </w:rPr>
        <w:t>Как правило, каждая строка таблицы С посвящена веществу (веществам), которо</w:t>
      </w:r>
      <w:proofErr w:type="gramStart"/>
      <w:r w:rsidR="000E251E" w:rsidRPr="000E251E">
        <w:rPr>
          <w:lang w:bidi="ru-RU"/>
        </w:rPr>
        <w:t>е(</w:t>
      </w:r>
      <w:proofErr w:type="spellStart"/>
      <w:proofErr w:type="gramEnd"/>
      <w:r w:rsidR="000E251E" w:rsidRPr="000E251E">
        <w:rPr>
          <w:lang w:bidi="ru-RU"/>
        </w:rPr>
        <w:t>ые</w:t>
      </w:r>
      <w:proofErr w:type="spellEnd"/>
      <w:r w:rsidR="000E251E" w:rsidRPr="000E251E">
        <w:rPr>
          <w:lang w:bidi="ru-RU"/>
        </w:rPr>
        <w:t>) охватывается(</w:t>
      </w:r>
      <w:proofErr w:type="spellStart"/>
      <w:r w:rsidR="000E251E" w:rsidRPr="000E251E">
        <w:rPr>
          <w:lang w:bidi="ru-RU"/>
        </w:rPr>
        <w:t>ются</w:t>
      </w:r>
      <w:proofErr w:type="spellEnd"/>
      <w:r w:rsidR="000E251E" w:rsidRPr="000E251E">
        <w:rPr>
          <w:lang w:bidi="ru-RU"/>
        </w:rPr>
        <w:t>) отдельным номером ООН или идентифик</w:t>
      </w:r>
      <w:r w:rsidR="000E251E" w:rsidRPr="000E251E">
        <w:rPr>
          <w:lang w:bidi="ru-RU"/>
        </w:rPr>
        <w:t>а</w:t>
      </w:r>
      <w:r w:rsidR="000E251E" w:rsidRPr="000E251E">
        <w:rPr>
          <w:lang w:bidi="ru-RU"/>
        </w:rPr>
        <w:t>ционным номером вещества. Однако в том случае, когда вещества или изд</w:t>
      </w:r>
      <w:r w:rsidR="000E251E" w:rsidRPr="000E251E">
        <w:rPr>
          <w:lang w:bidi="ru-RU"/>
        </w:rPr>
        <w:t>е</w:t>
      </w:r>
      <w:r w:rsidR="000E251E" w:rsidRPr="000E251E">
        <w:rPr>
          <w:lang w:bidi="ru-RU"/>
        </w:rPr>
        <w:t>лия, относящиеся к одному и тому же номеру ООН или идентификационн</w:t>
      </w:r>
      <w:r w:rsidR="000E251E" w:rsidRPr="000E251E">
        <w:rPr>
          <w:lang w:bidi="ru-RU"/>
        </w:rPr>
        <w:t>о</w:t>
      </w:r>
      <w:r w:rsidR="000E251E" w:rsidRPr="000E251E">
        <w:rPr>
          <w:lang w:bidi="ru-RU"/>
        </w:rPr>
        <w:t>му номеру вещества, обладают различными химическими или физическими свойствами или для них определены различные условия перевозки, для эт</w:t>
      </w:r>
      <w:r w:rsidR="000E251E" w:rsidRPr="000E251E">
        <w:rPr>
          <w:lang w:bidi="ru-RU"/>
        </w:rPr>
        <w:t>о</w:t>
      </w:r>
      <w:r w:rsidR="000E251E" w:rsidRPr="000E251E">
        <w:rPr>
          <w:lang w:bidi="ru-RU"/>
        </w:rPr>
        <w:t>го номера ООН или идентификационного номера вещества могут использ</w:t>
      </w:r>
      <w:r w:rsidR="000E251E" w:rsidRPr="000E251E">
        <w:rPr>
          <w:lang w:bidi="ru-RU"/>
        </w:rPr>
        <w:t>о</w:t>
      </w:r>
      <w:r w:rsidR="000E251E" w:rsidRPr="000E251E">
        <w:rPr>
          <w:lang w:bidi="ru-RU"/>
        </w:rPr>
        <w:t>ваться несколько последовательно расположенных строк.</w:t>
      </w:r>
    </w:p>
    <w:p w:rsidR="000E251E" w:rsidRPr="000E251E" w:rsidRDefault="00A41729" w:rsidP="00A41729">
      <w:pPr>
        <w:pStyle w:val="SingleTxt"/>
        <w:ind w:left="1742" w:hanging="475"/>
        <w:rPr>
          <w:lang w:bidi="ru-RU"/>
        </w:rPr>
      </w:pPr>
      <w:r>
        <w:rPr>
          <w:lang w:bidi="ru-RU"/>
        </w:rPr>
        <w:tab/>
      </w:r>
      <w:r w:rsidR="000E251E" w:rsidRPr="000E251E">
        <w:rPr>
          <w:lang w:bidi="ru-RU"/>
        </w:rPr>
        <w:t>Каждая колонка таблицы</w:t>
      </w:r>
      <w:proofErr w:type="gramStart"/>
      <w:r w:rsidR="000E251E" w:rsidRPr="000E251E">
        <w:rPr>
          <w:lang w:bidi="ru-RU"/>
        </w:rPr>
        <w:t xml:space="preserve"> С</w:t>
      </w:r>
      <w:proofErr w:type="gramEnd"/>
      <w:r w:rsidR="000E251E" w:rsidRPr="000E251E">
        <w:rPr>
          <w:lang w:bidi="ru-RU"/>
        </w:rPr>
        <w:t xml:space="preserve"> посвящена отдельному вопросу, как это указано в пояснительных примечаниях ниже. В месте пересечения колонок и строк (клетке) содержится информация по тому вопросу, которому посвящена данная колонка, для вещества (веществ), указанног</w:t>
      </w:r>
      <w:proofErr w:type="gramStart"/>
      <w:r w:rsidR="000E251E" w:rsidRPr="000E251E">
        <w:rPr>
          <w:lang w:bidi="ru-RU"/>
        </w:rPr>
        <w:t>о(</w:t>
      </w:r>
      <w:proofErr w:type="spellStart"/>
      <w:proofErr w:type="gramEnd"/>
      <w:r w:rsidR="000E251E" w:rsidRPr="000E251E">
        <w:rPr>
          <w:lang w:bidi="ru-RU"/>
        </w:rPr>
        <w:t>ых</w:t>
      </w:r>
      <w:proofErr w:type="spellEnd"/>
      <w:r w:rsidR="000E251E" w:rsidRPr="000E251E">
        <w:rPr>
          <w:lang w:bidi="ru-RU"/>
        </w:rPr>
        <w:t>) в данной строке:</w:t>
      </w:r>
    </w:p>
    <w:p w:rsidR="000E251E" w:rsidRPr="000E251E" w:rsidRDefault="000E251E" w:rsidP="00A41729">
      <w:pPr>
        <w:pStyle w:val="Bullet2"/>
        <w:rPr>
          <w:lang w:bidi="ru-RU"/>
        </w:rPr>
      </w:pPr>
      <w:r w:rsidRPr="000E251E">
        <w:rPr>
          <w:lang w:bidi="ru-RU"/>
        </w:rPr>
        <w:t>в первых четырех клетках содержится информация, идентифициру</w:t>
      </w:r>
      <w:r w:rsidRPr="000E251E">
        <w:rPr>
          <w:lang w:bidi="ru-RU"/>
        </w:rPr>
        <w:t>ю</w:t>
      </w:r>
      <w:r w:rsidRPr="000E251E">
        <w:rPr>
          <w:lang w:bidi="ru-RU"/>
        </w:rPr>
        <w:t>щая вещество (вещества), котором</w:t>
      </w:r>
      <w:proofErr w:type="gramStart"/>
      <w:r w:rsidRPr="000E251E">
        <w:rPr>
          <w:lang w:bidi="ru-RU"/>
        </w:rPr>
        <w:t>у(</w:t>
      </w:r>
      <w:proofErr w:type="spellStart"/>
      <w:proofErr w:type="gramEnd"/>
      <w:r w:rsidRPr="000E251E">
        <w:rPr>
          <w:lang w:bidi="ru-RU"/>
        </w:rPr>
        <w:t>ым</w:t>
      </w:r>
      <w:proofErr w:type="spellEnd"/>
      <w:r w:rsidRPr="000E251E">
        <w:rPr>
          <w:lang w:bidi="ru-RU"/>
        </w:rPr>
        <w:t>) посвящена данная строка;</w:t>
      </w:r>
    </w:p>
    <w:p w:rsidR="000E251E" w:rsidRPr="000E251E" w:rsidRDefault="000E251E" w:rsidP="00A41729">
      <w:pPr>
        <w:pStyle w:val="Bullet2"/>
        <w:rPr>
          <w:lang w:bidi="ru-RU"/>
        </w:rPr>
      </w:pPr>
      <w:r w:rsidRPr="000E251E">
        <w:rPr>
          <w:lang w:bidi="ru-RU"/>
        </w:rPr>
        <w:t>в последующих клетках указаны применимые специальные полож</w:t>
      </w:r>
      <w:r w:rsidRPr="000E251E">
        <w:rPr>
          <w:lang w:bidi="ru-RU"/>
        </w:rPr>
        <w:t>е</w:t>
      </w:r>
      <w:r w:rsidRPr="000E251E">
        <w:rPr>
          <w:lang w:bidi="ru-RU"/>
        </w:rPr>
        <w:t>ния</w:t>
      </w:r>
      <w:r w:rsidRPr="000E251E">
        <w:rPr>
          <w:u w:val="single"/>
          <w:lang w:bidi="ru-RU"/>
        </w:rPr>
        <w:t>, подлежащие применению,</w:t>
      </w:r>
      <w:r w:rsidR="00A41729">
        <w:rPr>
          <w:lang w:bidi="ru-RU"/>
        </w:rPr>
        <w:t xml:space="preserve"> –</w:t>
      </w:r>
      <w:r w:rsidRPr="000E251E">
        <w:rPr>
          <w:lang w:bidi="ru-RU"/>
        </w:rPr>
        <w:t xml:space="preserve"> либо в виде подробной информации, либо в виде кода. Код отсылает к подробной информации, содерж</w:t>
      </w:r>
      <w:r w:rsidRPr="000E251E">
        <w:rPr>
          <w:lang w:bidi="ru-RU"/>
        </w:rPr>
        <w:t>а</w:t>
      </w:r>
      <w:r w:rsidRPr="000E251E">
        <w:rPr>
          <w:lang w:bidi="ru-RU"/>
        </w:rPr>
        <w:t>щейся в пунктах, указанных в пояснительных примечаниях ниже. Н</w:t>
      </w:r>
      <w:r w:rsidRPr="000E251E">
        <w:rPr>
          <w:lang w:bidi="ru-RU"/>
        </w:rPr>
        <w:t>е</w:t>
      </w:r>
      <w:r w:rsidRPr="000E251E">
        <w:rPr>
          <w:lang w:bidi="ru-RU"/>
        </w:rPr>
        <w:t>заполненная клетка означает либо то, что никакого специального п</w:t>
      </w:r>
      <w:r w:rsidRPr="000E251E">
        <w:rPr>
          <w:lang w:bidi="ru-RU"/>
        </w:rPr>
        <w:t>о</w:t>
      </w:r>
      <w:r w:rsidRPr="000E251E">
        <w:rPr>
          <w:lang w:bidi="ru-RU"/>
        </w:rPr>
        <w:t>ложения не предусмотрено и применяются лишь общие предписания, либо то, что действует ограничение на перевозку, указанное в поясн</w:t>
      </w:r>
      <w:r w:rsidRPr="000E251E">
        <w:rPr>
          <w:lang w:bidi="ru-RU"/>
        </w:rPr>
        <w:t>и</w:t>
      </w:r>
      <w:r w:rsidRPr="000E251E">
        <w:rPr>
          <w:lang w:bidi="ru-RU"/>
        </w:rPr>
        <w:t>тельных примечаниях;</w:t>
      </w:r>
    </w:p>
    <w:p w:rsidR="000E251E" w:rsidRPr="005865C0" w:rsidRDefault="000E251E" w:rsidP="00A41729">
      <w:pPr>
        <w:pStyle w:val="Bullet2"/>
        <w:rPr>
          <w:u w:val="single"/>
          <w:lang w:bidi="ru-RU"/>
        </w:rPr>
      </w:pPr>
      <w:r w:rsidRPr="005865C0">
        <w:rPr>
          <w:u w:val="single"/>
          <w:lang w:bidi="ru-RU"/>
        </w:rPr>
        <w:t>если ячейка содержит "*", соответствующие требования должны быть определены путем применения схемы 3.2.3.3.</w:t>
      </w:r>
    </w:p>
    <w:p w:rsidR="000E251E" w:rsidRDefault="00A41729" w:rsidP="00A41729">
      <w:pPr>
        <w:pStyle w:val="SingleTxt"/>
        <w:ind w:left="1742" w:hanging="475"/>
        <w:rPr>
          <w:lang w:bidi="ru-RU"/>
        </w:rPr>
      </w:pPr>
      <w:r>
        <w:rPr>
          <w:lang w:bidi="ru-RU"/>
        </w:rPr>
        <w:tab/>
      </w:r>
      <w:r w:rsidR="000E251E" w:rsidRPr="000E251E">
        <w:rPr>
          <w:lang w:bidi="ru-RU"/>
        </w:rPr>
        <w:t>В соответствующих клетках не содержится ссылок на применимые общие предписания</w:t>
      </w:r>
      <w:proofErr w:type="gramStart"/>
      <w:r w:rsidR="005865C0">
        <w:rPr>
          <w:lang w:bidi="ru-RU"/>
        </w:rPr>
        <w:t>.</w:t>
      </w:r>
      <w:r>
        <w:rPr>
          <w:lang w:bidi="ru-RU"/>
        </w:rPr>
        <w:t>»</w:t>
      </w:r>
      <w:proofErr w:type="gramEnd"/>
    </w:p>
    <w:p w:rsidR="00A41729" w:rsidRPr="00A41729" w:rsidRDefault="00A41729" w:rsidP="00A41729">
      <w:pPr>
        <w:pStyle w:val="SingleTxt"/>
        <w:spacing w:after="0" w:line="120" w:lineRule="exact"/>
        <w:ind w:left="1742" w:hanging="475"/>
        <w:rPr>
          <w:sz w:val="10"/>
          <w:lang w:bidi="ru-RU"/>
        </w:rPr>
      </w:pPr>
    </w:p>
    <w:p w:rsidR="000E251E" w:rsidRDefault="00A41729" w:rsidP="00A4172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 w:rsidRPr="00E37DFA">
        <w:rPr>
          <w:b w:val="0"/>
          <w:lang w:bidi="ru-RU"/>
        </w:rPr>
        <w:t>«</w:t>
      </w:r>
      <w:r w:rsidR="000E251E" w:rsidRPr="000E251E">
        <w:rPr>
          <w:lang w:bidi="ru-RU"/>
        </w:rPr>
        <w:t>Колонка 5 "Виды опасности"</w:t>
      </w:r>
    </w:p>
    <w:p w:rsidR="00A41729" w:rsidRPr="00A41729" w:rsidRDefault="00A41729" w:rsidP="00A41729">
      <w:pPr>
        <w:pStyle w:val="SingleTxt"/>
        <w:spacing w:after="0" w:line="120" w:lineRule="exact"/>
        <w:rPr>
          <w:sz w:val="10"/>
          <w:lang w:bidi="ru-RU"/>
        </w:rPr>
      </w:pPr>
    </w:p>
    <w:p w:rsidR="000E251E" w:rsidRPr="000E251E" w:rsidRDefault="00A41729" w:rsidP="00A41729">
      <w:pPr>
        <w:pStyle w:val="SingleTxt"/>
        <w:ind w:left="1742" w:hanging="475"/>
        <w:rPr>
          <w:lang w:bidi="ru-RU"/>
        </w:rPr>
      </w:pPr>
      <w:r>
        <w:rPr>
          <w:lang w:bidi="ru-RU"/>
        </w:rPr>
        <w:tab/>
      </w:r>
      <w:r w:rsidR="000E251E" w:rsidRPr="000E251E">
        <w:rPr>
          <w:lang w:bidi="ru-RU"/>
        </w:rPr>
        <w:t>В этой колонке приведена информация, касающаяся видов опасности, пр</w:t>
      </w:r>
      <w:r w:rsidR="000E251E" w:rsidRPr="000E251E">
        <w:rPr>
          <w:lang w:bidi="ru-RU"/>
        </w:rPr>
        <w:t>и</w:t>
      </w:r>
      <w:r w:rsidR="000E251E" w:rsidRPr="000E251E">
        <w:rPr>
          <w:lang w:bidi="ru-RU"/>
        </w:rPr>
        <w:t>сущих данному опасному веществу. Эта информация, как правило, основана на знаках опасности, указанных в колонке 5 таблицы А.</w:t>
      </w:r>
    </w:p>
    <w:p w:rsidR="000E251E" w:rsidRPr="000E251E" w:rsidRDefault="00A41729" w:rsidP="00A41729">
      <w:pPr>
        <w:pStyle w:val="SingleTxt"/>
        <w:ind w:left="1742" w:hanging="475"/>
        <w:rPr>
          <w:lang w:bidi="ru-RU"/>
        </w:rPr>
      </w:pPr>
      <w:r>
        <w:rPr>
          <w:lang w:bidi="ru-RU"/>
        </w:rPr>
        <w:tab/>
      </w:r>
      <w:r w:rsidR="000E251E" w:rsidRPr="000E251E">
        <w:rPr>
          <w:lang w:bidi="ru-RU"/>
        </w:rPr>
        <w:t>Если речь идет о химически неустойчивом веществе, то к этой информации до</w:t>
      </w:r>
      <w:r>
        <w:rPr>
          <w:lang w:bidi="ru-RU"/>
        </w:rPr>
        <w:t xml:space="preserve">бавляется слово </w:t>
      </w:r>
      <w:r w:rsidR="00E5743A">
        <w:rPr>
          <w:lang w:bidi="ru-RU"/>
        </w:rPr>
        <w:t>"</w:t>
      </w:r>
      <w:proofErr w:type="spellStart"/>
      <w:r w:rsidR="000E251E" w:rsidRPr="000E251E">
        <w:rPr>
          <w:lang w:bidi="ru-RU"/>
        </w:rPr>
        <w:t>неуст</w:t>
      </w:r>
      <w:proofErr w:type="spellEnd"/>
      <w:r w:rsidR="000E251E" w:rsidRPr="000E251E">
        <w:rPr>
          <w:lang w:bidi="ru-RU"/>
        </w:rPr>
        <w:t>.</w:t>
      </w:r>
      <w:r w:rsidR="00E5743A">
        <w:rPr>
          <w:lang w:bidi="ru-RU"/>
        </w:rPr>
        <w:t>"</w:t>
      </w:r>
      <w:r w:rsidR="000E251E" w:rsidRPr="000E251E">
        <w:rPr>
          <w:lang w:bidi="ru-RU"/>
        </w:rPr>
        <w:t>.</w:t>
      </w:r>
    </w:p>
    <w:p w:rsidR="000E251E" w:rsidRPr="000E251E" w:rsidRDefault="00A41729" w:rsidP="00A41729">
      <w:pPr>
        <w:pStyle w:val="SingleTxt"/>
        <w:ind w:left="1742" w:hanging="475"/>
        <w:rPr>
          <w:lang w:bidi="ru-RU"/>
        </w:rPr>
      </w:pPr>
      <w:r>
        <w:rPr>
          <w:lang w:bidi="ru-RU"/>
        </w:rPr>
        <w:tab/>
      </w:r>
      <w:r w:rsidR="000E251E" w:rsidRPr="000E251E">
        <w:rPr>
          <w:lang w:bidi="ru-RU"/>
        </w:rPr>
        <w:t xml:space="preserve">Если речь идет о веществе или смеси, опасных для водной среды, то к этой информации добавляется код </w:t>
      </w:r>
      <w:r w:rsidR="00E5743A">
        <w:rPr>
          <w:lang w:bidi="ru-RU"/>
        </w:rPr>
        <w:t>"</w:t>
      </w:r>
      <w:r w:rsidR="000E251E" w:rsidRPr="000E251E">
        <w:rPr>
          <w:lang w:val="en-US" w:bidi="ru-RU"/>
        </w:rPr>
        <w:t>N</w:t>
      </w:r>
      <w:r w:rsidR="000E251E" w:rsidRPr="000E251E">
        <w:rPr>
          <w:lang w:bidi="ru-RU"/>
        </w:rPr>
        <w:t>1</w:t>
      </w:r>
      <w:r w:rsidR="00E5743A">
        <w:rPr>
          <w:lang w:bidi="ru-RU"/>
        </w:rPr>
        <w:t>"</w:t>
      </w:r>
      <w:r>
        <w:rPr>
          <w:lang w:bidi="ru-RU"/>
        </w:rPr>
        <w:t xml:space="preserve">, </w:t>
      </w:r>
      <w:r w:rsidR="00E5743A">
        <w:rPr>
          <w:lang w:bidi="ru-RU"/>
        </w:rPr>
        <w:t>"</w:t>
      </w:r>
      <w:r w:rsidR="000E251E" w:rsidRPr="000E251E">
        <w:rPr>
          <w:lang w:val="en-US" w:bidi="ru-RU"/>
        </w:rPr>
        <w:t>N</w:t>
      </w:r>
      <w:r w:rsidR="000E251E" w:rsidRPr="000E251E">
        <w:rPr>
          <w:lang w:bidi="ru-RU"/>
        </w:rPr>
        <w:t>2</w:t>
      </w:r>
      <w:r w:rsidR="00E5743A">
        <w:rPr>
          <w:lang w:bidi="ru-RU"/>
        </w:rPr>
        <w:t>"</w:t>
      </w:r>
      <w:r>
        <w:rPr>
          <w:lang w:bidi="ru-RU"/>
        </w:rPr>
        <w:t xml:space="preserve"> или </w:t>
      </w:r>
      <w:r w:rsidR="00E5743A">
        <w:rPr>
          <w:lang w:bidi="ru-RU"/>
        </w:rPr>
        <w:t>"</w:t>
      </w:r>
      <w:r w:rsidR="000E251E" w:rsidRPr="000E251E">
        <w:rPr>
          <w:lang w:val="en-US" w:bidi="ru-RU"/>
        </w:rPr>
        <w:t>N</w:t>
      </w:r>
      <w:r w:rsidR="000E251E" w:rsidRPr="000E251E">
        <w:rPr>
          <w:lang w:bidi="ru-RU"/>
        </w:rPr>
        <w:t>3</w:t>
      </w:r>
      <w:r w:rsidR="00E5743A">
        <w:rPr>
          <w:lang w:bidi="ru-RU"/>
        </w:rPr>
        <w:t>"</w:t>
      </w:r>
      <w:r w:rsidR="000E251E" w:rsidRPr="000E251E">
        <w:rPr>
          <w:lang w:bidi="ru-RU"/>
        </w:rPr>
        <w:t>.</w:t>
      </w:r>
    </w:p>
    <w:p w:rsidR="000E251E" w:rsidRPr="000E251E" w:rsidRDefault="00A41729" w:rsidP="00A41729">
      <w:pPr>
        <w:pStyle w:val="SingleTxt"/>
        <w:ind w:left="1742" w:hanging="475"/>
        <w:rPr>
          <w:lang w:bidi="ru-RU"/>
        </w:rPr>
      </w:pPr>
      <w:r>
        <w:rPr>
          <w:lang w:bidi="ru-RU"/>
        </w:rPr>
        <w:tab/>
      </w:r>
      <w:r w:rsidR="000E251E" w:rsidRPr="000E251E">
        <w:rPr>
          <w:lang w:bidi="ru-RU"/>
        </w:rPr>
        <w:t>Если речь идет о веществе или смеси со свойствами КМР, то к этой инфо</w:t>
      </w:r>
      <w:r w:rsidR="000E251E" w:rsidRPr="000E251E">
        <w:rPr>
          <w:lang w:bidi="ru-RU"/>
        </w:rPr>
        <w:t>р</w:t>
      </w:r>
      <w:r w:rsidR="000E251E" w:rsidRPr="000E251E">
        <w:rPr>
          <w:lang w:bidi="ru-RU"/>
        </w:rPr>
        <w:t xml:space="preserve">мации добавляется код </w:t>
      </w:r>
      <w:r w:rsidR="00E37DFA">
        <w:rPr>
          <w:lang w:bidi="ru-RU"/>
        </w:rPr>
        <w:t>"</w:t>
      </w:r>
      <w:r w:rsidR="000E251E" w:rsidRPr="000E251E">
        <w:rPr>
          <w:lang w:val="en-US" w:bidi="ru-RU"/>
        </w:rPr>
        <w:t>CMR</w:t>
      </w:r>
      <w:r w:rsidR="00E37DFA">
        <w:rPr>
          <w:lang w:bidi="ru-RU"/>
        </w:rPr>
        <w:t>"</w:t>
      </w:r>
      <w:r w:rsidR="000E251E" w:rsidRPr="000E251E">
        <w:rPr>
          <w:lang w:bidi="ru-RU"/>
        </w:rPr>
        <w:t>.</w:t>
      </w:r>
    </w:p>
    <w:p w:rsidR="000E251E" w:rsidRPr="000E251E" w:rsidRDefault="00A41729" w:rsidP="00A41729">
      <w:pPr>
        <w:pStyle w:val="SingleTxt"/>
        <w:ind w:left="1742" w:hanging="475"/>
        <w:rPr>
          <w:lang w:bidi="ru-RU"/>
        </w:rPr>
      </w:pPr>
      <w:r>
        <w:rPr>
          <w:lang w:bidi="ru-RU"/>
        </w:rPr>
        <w:tab/>
      </w:r>
      <w:r w:rsidR="000E251E" w:rsidRPr="000E251E">
        <w:rPr>
          <w:lang w:bidi="ru-RU"/>
        </w:rPr>
        <w:t>Если речь идет о веществе или смеси, которые остаются на поверхности в</w:t>
      </w:r>
      <w:r w:rsidR="000E251E" w:rsidRPr="000E251E">
        <w:rPr>
          <w:lang w:bidi="ru-RU"/>
        </w:rPr>
        <w:t>о</w:t>
      </w:r>
      <w:r w:rsidR="000E251E" w:rsidRPr="000E251E">
        <w:rPr>
          <w:lang w:bidi="ru-RU"/>
        </w:rPr>
        <w:t>ды, не испаряются и являются труднорастворимыми в воде или которые опускаются на дно и являются труднорастворимыми, то к этой информации добавляется соответственно код "</w:t>
      </w:r>
      <w:r w:rsidR="000E251E" w:rsidRPr="000E251E">
        <w:rPr>
          <w:lang w:val="en-US" w:bidi="ru-RU"/>
        </w:rPr>
        <w:t>F</w:t>
      </w:r>
      <w:r w:rsidR="000E251E" w:rsidRPr="000E251E">
        <w:rPr>
          <w:lang w:bidi="ru-RU"/>
        </w:rPr>
        <w:t>" (соответствующий английскому терм</w:t>
      </w:r>
      <w:r w:rsidR="000E251E" w:rsidRPr="000E251E">
        <w:rPr>
          <w:lang w:bidi="ru-RU"/>
        </w:rPr>
        <w:t>и</w:t>
      </w:r>
      <w:r w:rsidR="000E251E" w:rsidRPr="000E251E">
        <w:rPr>
          <w:lang w:bidi="ru-RU"/>
        </w:rPr>
        <w:t>ну "</w:t>
      </w:r>
      <w:r w:rsidR="000E251E" w:rsidRPr="000E251E">
        <w:rPr>
          <w:lang w:val="en-US" w:bidi="ru-RU"/>
        </w:rPr>
        <w:t>Floater</w:t>
      </w:r>
      <w:r w:rsidR="000E251E" w:rsidRPr="000E251E">
        <w:rPr>
          <w:lang w:bidi="ru-RU"/>
        </w:rPr>
        <w:t>") или "</w:t>
      </w:r>
      <w:r w:rsidR="000E251E" w:rsidRPr="000E251E">
        <w:rPr>
          <w:lang w:val="en-US" w:bidi="ru-RU"/>
        </w:rPr>
        <w:t>S</w:t>
      </w:r>
      <w:r w:rsidR="000E251E" w:rsidRPr="000E251E">
        <w:rPr>
          <w:lang w:bidi="ru-RU"/>
        </w:rPr>
        <w:t>" (соответствующий английскому термину "</w:t>
      </w:r>
      <w:r w:rsidR="000E251E" w:rsidRPr="000E251E">
        <w:rPr>
          <w:lang w:val="en-US" w:bidi="ru-RU"/>
        </w:rPr>
        <w:t>Sinker</w:t>
      </w:r>
      <w:r w:rsidR="000E251E" w:rsidRPr="000E251E">
        <w:rPr>
          <w:lang w:bidi="ru-RU"/>
        </w:rPr>
        <w:t>").</w:t>
      </w:r>
    </w:p>
    <w:p w:rsidR="000E251E" w:rsidRPr="00E37DFA" w:rsidRDefault="00A41729" w:rsidP="00A41729">
      <w:pPr>
        <w:pStyle w:val="SingleTxt"/>
        <w:ind w:left="1742" w:hanging="475"/>
      </w:pPr>
      <w:r w:rsidRPr="00A41729">
        <w:rPr>
          <w:lang w:bidi="ru-RU"/>
        </w:rPr>
        <w:tab/>
      </w:r>
      <w:r w:rsidR="000E251E" w:rsidRPr="000E251E">
        <w:rPr>
          <w:u w:val="single"/>
          <w:lang w:bidi="ru-RU"/>
        </w:rPr>
        <w:t>В случае информации об опасностях, содержащейся в скобках, следует и</w:t>
      </w:r>
      <w:r w:rsidR="000E251E" w:rsidRPr="000E251E">
        <w:rPr>
          <w:u w:val="single"/>
          <w:lang w:bidi="ru-RU"/>
        </w:rPr>
        <w:t>с</w:t>
      </w:r>
      <w:r w:rsidR="000E251E" w:rsidRPr="000E251E">
        <w:rPr>
          <w:u w:val="single"/>
          <w:lang w:bidi="ru-RU"/>
        </w:rPr>
        <w:t>пользовать только соответствующие коды для конкретного вида перевозки</w:t>
      </w:r>
      <w:proofErr w:type="gramStart"/>
      <w:r w:rsidR="000E251E" w:rsidRPr="000E251E">
        <w:rPr>
          <w:u w:val="single"/>
          <w:lang w:bidi="ru-RU"/>
        </w:rPr>
        <w:t>.</w:t>
      </w:r>
      <w:r w:rsidR="00E37DFA">
        <w:rPr>
          <w:lang w:bidi="ru-RU"/>
        </w:rPr>
        <w:t>»</w:t>
      </w:r>
      <w:proofErr w:type="gramEnd"/>
    </w:p>
    <w:p w:rsidR="000E251E" w:rsidRPr="00E5743A" w:rsidRDefault="00E5743A" w:rsidP="00E5743A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0E251E" w:rsidRPr="00E5743A" w:rsidSect="008E7000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F2" w:rsidRDefault="000C1DF2" w:rsidP="008A1A7A">
      <w:pPr>
        <w:spacing w:line="240" w:lineRule="auto"/>
      </w:pPr>
      <w:r>
        <w:separator/>
      </w:r>
    </w:p>
  </w:endnote>
  <w:endnote w:type="continuationSeparator" w:id="0">
    <w:p w:rsidR="000C1DF2" w:rsidRDefault="000C1DF2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E7000" w:rsidTr="008E700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E7000" w:rsidRPr="008E7000" w:rsidRDefault="008E7000" w:rsidP="008E7000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369C6">
            <w:rPr>
              <w:noProof/>
            </w:rPr>
            <w:t>2</w:t>
          </w:r>
          <w:r>
            <w:fldChar w:fldCharType="end"/>
          </w:r>
          <w:r>
            <w:t>/</w:t>
          </w:r>
          <w:r w:rsidR="002369C6">
            <w:fldChar w:fldCharType="begin"/>
          </w:r>
          <w:r w:rsidR="002369C6">
            <w:instrText xml:space="preserve"> NUMPAGES  \* Arabic  \* MERGEFORMAT </w:instrText>
          </w:r>
          <w:r w:rsidR="002369C6">
            <w:fldChar w:fldCharType="separate"/>
          </w:r>
          <w:r w:rsidR="002369C6">
            <w:rPr>
              <w:noProof/>
            </w:rPr>
            <w:t>2</w:t>
          </w:r>
          <w:r w:rsidR="002369C6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E7000" w:rsidRPr="008E7000" w:rsidRDefault="008E7000" w:rsidP="008E7000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66FFC">
            <w:rPr>
              <w:b w:val="0"/>
              <w:color w:val="000000"/>
              <w:sz w:val="14"/>
            </w:rPr>
            <w:t>GE.15-18555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8E7000" w:rsidRPr="008E7000" w:rsidRDefault="008E7000" w:rsidP="008E7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E7000" w:rsidTr="008E700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E7000" w:rsidRPr="008E7000" w:rsidRDefault="008E7000" w:rsidP="008E7000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66FFC">
            <w:rPr>
              <w:b w:val="0"/>
              <w:color w:val="000000"/>
              <w:sz w:val="14"/>
            </w:rPr>
            <w:t>GE.15-18555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E7000" w:rsidRPr="008E7000" w:rsidRDefault="008E7000" w:rsidP="008E7000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66FFC">
            <w:rPr>
              <w:noProof/>
            </w:rPr>
            <w:t>2</w:t>
          </w:r>
          <w:r>
            <w:fldChar w:fldCharType="end"/>
          </w:r>
          <w:r>
            <w:t>/</w:t>
          </w:r>
          <w:r w:rsidR="002369C6">
            <w:fldChar w:fldCharType="begin"/>
          </w:r>
          <w:r w:rsidR="002369C6">
            <w:instrText xml:space="preserve"> NUMPAGES  \* Arabic  \* MERGEFORMAT </w:instrText>
          </w:r>
          <w:r w:rsidR="002369C6">
            <w:fldChar w:fldCharType="separate"/>
          </w:r>
          <w:r w:rsidR="00666FFC">
            <w:rPr>
              <w:noProof/>
            </w:rPr>
            <w:t>2</w:t>
          </w:r>
          <w:r w:rsidR="002369C6">
            <w:rPr>
              <w:noProof/>
            </w:rPr>
            <w:fldChar w:fldCharType="end"/>
          </w:r>
        </w:p>
      </w:tc>
    </w:tr>
  </w:tbl>
  <w:p w:rsidR="008E7000" w:rsidRPr="008E7000" w:rsidRDefault="008E7000" w:rsidP="008E7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8E7000" w:rsidTr="008E7000">
      <w:tc>
        <w:tcPr>
          <w:tcW w:w="3873" w:type="dxa"/>
        </w:tcPr>
        <w:p w:rsidR="008E7000" w:rsidRDefault="008E7000" w:rsidP="008E7000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0A43F15" wp14:editId="0814B7FD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6/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6/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GE.15-18555 (R)</w:t>
          </w:r>
          <w:r>
            <w:rPr>
              <w:color w:val="010000"/>
            </w:rPr>
            <w:t xml:space="preserve">    1</w:t>
          </w:r>
          <w:r w:rsidR="003367D6">
            <w:rPr>
              <w:color w:val="010000"/>
            </w:rPr>
            <w:t>1</w:t>
          </w:r>
          <w:r>
            <w:rPr>
              <w:color w:val="010000"/>
            </w:rPr>
            <w:t>1115    121115</w:t>
          </w:r>
        </w:p>
        <w:p w:rsidR="008E7000" w:rsidRPr="008E7000" w:rsidRDefault="008E7000" w:rsidP="008E7000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*1518555*</w:t>
          </w:r>
        </w:p>
      </w:tc>
      <w:tc>
        <w:tcPr>
          <w:tcW w:w="5127" w:type="dxa"/>
        </w:tcPr>
        <w:p w:rsidR="008E7000" w:rsidRDefault="008E7000" w:rsidP="008E700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DE31099" wp14:editId="2B006D17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7000" w:rsidRPr="008E7000" w:rsidRDefault="008E7000" w:rsidP="008E700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F2" w:rsidRPr="00A41729" w:rsidRDefault="00A41729" w:rsidP="00A41729">
      <w:pPr>
        <w:pStyle w:val="Footer"/>
        <w:spacing w:after="80"/>
        <w:ind w:left="792"/>
        <w:rPr>
          <w:sz w:val="16"/>
        </w:rPr>
      </w:pPr>
      <w:r w:rsidRPr="00A41729">
        <w:rPr>
          <w:sz w:val="16"/>
        </w:rPr>
        <w:t>__________________</w:t>
      </w:r>
    </w:p>
  </w:footnote>
  <w:footnote w:type="continuationSeparator" w:id="0">
    <w:p w:rsidR="000C1DF2" w:rsidRPr="00A41729" w:rsidRDefault="00A41729" w:rsidP="00A41729">
      <w:pPr>
        <w:pStyle w:val="Footer"/>
        <w:spacing w:after="80"/>
        <w:ind w:left="792"/>
        <w:rPr>
          <w:sz w:val="16"/>
        </w:rPr>
      </w:pPr>
      <w:r w:rsidRPr="00A41729">
        <w:rPr>
          <w:sz w:val="16"/>
        </w:rPr>
        <w:t>__________________</w:t>
      </w:r>
    </w:p>
  </w:footnote>
  <w:footnote w:id="1">
    <w:p w:rsidR="000E251E" w:rsidRDefault="000E251E" w:rsidP="00A41729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Распространено на немецком языке Центральной комиссией судоходства по Рейну в качестве документа CCNR/ZKR/ADN/WP.15/AC.2/2016/7.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E7000" w:rsidTr="008E700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E7000" w:rsidRPr="008E7000" w:rsidRDefault="008E7000" w:rsidP="008E700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66FFC">
            <w:rPr>
              <w:b/>
            </w:rPr>
            <w:t>ECE/TRANS/WP.15/AC.2/2016/7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E7000" w:rsidRDefault="008E7000" w:rsidP="008E7000">
          <w:pPr>
            <w:pStyle w:val="Header"/>
          </w:pPr>
        </w:p>
      </w:tc>
    </w:tr>
  </w:tbl>
  <w:p w:rsidR="008E7000" w:rsidRPr="008E7000" w:rsidRDefault="008E7000" w:rsidP="008E70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E7000" w:rsidTr="008E700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E7000" w:rsidRDefault="008E7000" w:rsidP="008E7000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8E7000" w:rsidRPr="008E7000" w:rsidRDefault="008E7000" w:rsidP="008E700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66FFC">
            <w:rPr>
              <w:b/>
            </w:rPr>
            <w:t>ECE/TRANS/WP.15/AC.2/2016/7</w:t>
          </w:r>
          <w:r>
            <w:rPr>
              <w:b/>
            </w:rPr>
            <w:fldChar w:fldCharType="end"/>
          </w:r>
        </w:p>
      </w:tc>
    </w:tr>
  </w:tbl>
  <w:p w:rsidR="008E7000" w:rsidRPr="008E7000" w:rsidRDefault="008E7000" w:rsidP="008E70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8E7000" w:rsidTr="008E7000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8E7000" w:rsidRPr="008E7000" w:rsidRDefault="008E7000" w:rsidP="008E7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E7000" w:rsidRDefault="008E7000" w:rsidP="008E7000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E7000" w:rsidRPr="008E7000" w:rsidRDefault="008E7000" w:rsidP="008E7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/TRANS/WP.15/AC.2/2016/7</w:t>
          </w:r>
        </w:p>
      </w:tc>
    </w:tr>
    <w:tr w:rsidR="008E7000" w:rsidRPr="00766D7C" w:rsidTr="008E7000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E7000" w:rsidRPr="008E7000" w:rsidRDefault="008E7000" w:rsidP="008E7000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09E6CC3" wp14:editId="68BF5EC9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E7000" w:rsidRPr="008E7000" w:rsidRDefault="008E7000" w:rsidP="008E7000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E7000" w:rsidRPr="008E7000" w:rsidRDefault="008E7000" w:rsidP="008E7000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E7000" w:rsidRPr="00766D7C" w:rsidRDefault="008E7000" w:rsidP="008E7000">
          <w:pPr>
            <w:pStyle w:val="Distribution"/>
            <w:rPr>
              <w:color w:val="000000"/>
              <w:lang w:val="en-US"/>
            </w:rPr>
          </w:pPr>
          <w:r w:rsidRPr="00766D7C">
            <w:rPr>
              <w:color w:val="000000"/>
              <w:lang w:val="en-US"/>
            </w:rPr>
            <w:t>Distr.: General</w:t>
          </w:r>
        </w:p>
        <w:p w:rsidR="008E7000" w:rsidRPr="00766D7C" w:rsidRDefault="008E7000" w:rsidP="008E7000">
          <w:pPr>
            <w:pStyle w:val="Publication"/>
            <w:rPr>
              <w:color w:val="000000"/>
              <w:lang w:val="en-US"/>
            </w:rPr>
          </w:pPr>
          <w:r w:rsidRPr="00766D7C">
            <w:rPr>
              <w:color w:val="000000"/>
              <w:lang w:val="en-US"/>
            </w:rPr>
            <w:t>23 October 2015</w:t>
          </w:r>
        </w:p>
        <w:p w:rsidR="008E7000" w:rsidRPr="00766D7C" w:rsidRDefault="008E7000" w:rsidP="008E7000">
          <w:pPr>
            <w:rPr>
              <w:color w:val="000000"/>
              <w:lang w:val="en-US"/>
            </w:rPr>
          </w:pPr>
          <w:r w:rsidRPr="00766D7C">
            <w:rPr>
              <w:color w:val="000000"/>
              <w:lang w:val="en-US"/>
            </w:rPr>
            <w:t>Russian</w:t>
          </w:r>
        </w:p>
        <w:p w:rsidR="008E7000" w:rsidRPr="00766D7C" w:rsidRDefault="008E7000" w:rsidP="008E7000">
          <w:pPr>
            <w:pStyle w:val="Original"/>
            <w:rPr>
              <w:color w:val="000000"/>
              <w:lang w:val="en-US"/>
            </w:rPr>
          </w:pPr>
          <w:r w:rsidRPr="00766D7C">
            <w:rPr>
              <w:color w:val="000000"/>
              <w:lang w:val="en-US"/>
            </w:rPr>
            <w:t>Original: French</w:t>
          </w:r>
        </w:p>
        <w:p w:rsidR="008E7000" w:rsidRPr="00766D7C" w:rsidRDefault="008E7000" w:rsidP="008E7000">
          <w:pPr>
            <w:rPr>
              <w:lang w:val="en-US"/>
            </w:rPr>
          </w:pPr>
        </w:p>
      </w:tc>
    </w:tr>
  </w:tbl>
  <w:p w:rsidR="008E7000" w:rsidRPr="00766D7C" w:rsidRDefault="008E7000" w:rsidP="008E7000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8555*"/>
    <w:docVar w:name="CreationDt" w:val="11/12/2015 9:03: AM"/>
    <w:docVar w:name="DocCategory" w:val="Doc"/>
    <w:docVar w:name="DocType" w:val="Final"/>
    <w:docVar w:name="DutyStation" w:val="Geneva"/>
    <w:docVar w:name="FooterJN" w:val="GE.15-18555"/>
    <w:docVar w:name="jobn" w:val="GE.15-18555 (R)"/>
    <w:docVar w:name="jobnDT" w:val="GE.15-18555 (R)   121115"/>
    <w:docVar w:name="jobnDTDT" w:val="GE.15-18555 (R)   121115   121115"/>
    <w:docVar w:name="JobNo" w:val="GE.1518555R"/>
    <w:docVar w:name="JobNo2" w:val="1524433R"/>
    <w:docVar w:name="LocalDrive" w:val="0"/>
    <w:docVar w:name="OandT" w:val=" "/>
    <w:docVar w:name="PaperSize" w:val="A4"/>
    <w:docVar w:name="sss1" w:val="ECE/TRANS/WP.15/AC.2/2016/7"/>
    <w:docVar w:name="sss2" w:val="-"/>
    <w:docVar w:name="Symbol1" w:val="ECE/TRANS/WP.15/AC.2/2016/7"/>
    <w:docVar w:name="Symbol2" w:val="-"/>
  </w:docVars>
  <w:rsids>
    <w:rsidRoot w:val="000C1DF2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1DF2"/>
    <w:rsid w:val="000C67BC"/>
    <w:rsid w:val="000D300C"/>
    <w:rsid w:val="000D64CF"/>
    <w:rsid w:val="000E0F08"/>
    <w:rsid w:val="000E251E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369C6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02AC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67D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50500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865C0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66FFC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6D7C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000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1729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37396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37DFA"/>
    <w:rsid w:val="00E4741B"/>
    <w:rsid w:val="00E478DE"/>
    <w:rsid w:val="00E5157F"/>
    <w:rsid w:val="00E5226F"/>
    <w:rsid w:val="00E53135"/>
    <w:rsid w:val="00E54141"/>
    <w:rsid w:val="00E54D94"/>
    <w:rsid w:val="00E5743A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8E7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00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00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00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C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8E7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00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00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00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C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0684-FD25-4F1A-877E-87BF7993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Marina Korotkova</dc:creator>
  <cp:lastModifiedBy>Caillot</cp:lastModifiedBy>
  <cp:revision>2</cp:revision>
  <cp:lastPrinted>2015-11-12T09:28:00Z</cp:lastPrinted>
  <dcterms:created xsi:type="dcterms:W3CDTF">2015-11-26T17:02:00Z</dcterms:created>
  <dcterms:modified xsi:type="dcterms:W3CDTF">2015-11-26T17:02:00Z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1518555R</vt:lpwstr>
  </property>
  <property fmtid="{D5CDD505-2E9C-101B-9397-08002B2CF9AE}" pid="3" name="ODSRefJobNo">
    <vt:lpwstr>1524433R</vt:lpwstr>
  </property>
  <property fmtid="{D5CDD505-2E9C-101B-9397-08002B2CF9AE}" pid="4" name="Symbol1">
    <vt:lpwstr>ECE/TRANS/WP.15/AC.2/2016/7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October 2015</vt:lpwstr>
  </property>
  <property fmtid="{D5CDD505-2E9C-101B-9397-08002B2CF9AE}" pid="12" name="Original">
    <vt:lpwstr>French</vt:lpwstr>
  </property>
  <property fmtid="{D5CDD505-2E9C-101B-9397-08002B2CF9AE}" pid="13" name="Release Date">
    <vt:lpwstr>121115</vt:lpwstr>
  </property>
</Properties>
</file>