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rsidR="00215A1B" w:rsidRPr="00560572" w:rsidRDefault="00215A1B" w:rsidP="00F5390C">
      <w:pPr>
        <w:spacing w:before="120" w:after="0" w:line="240" w:lineRule="atLeast"/>
        <w:rPr>
          <w:sz w:val="28"/>
          <w:szCs w:val="28"/>
        </w:rPr>
      </w:pPr>
      <w:r w:rsidRPr="00560572">
        <w:rPr>
          <w:sz w:val="28"/>
          <w:szCs w:val="28"/>
        </w:rPr>
        <w:t>Inland Transport Committee</w:t>
      </w:r>
    </w:p>
    <w:p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8C6C22">
        <w:rPr>
          <w:b/>
        </w:rPr>
        <w:t>13</w:t>
      </w:r>
      <w:bookmarkStart w:id="0" w:name="_GoBack"/>
      <w:bookmarkEnd w:id="0"/>
      <w:r w:rsidR="00B80D50">
        <w:rPr>
          <w:b/>
        </w:rPr>
        <w:t xml:space="preserve"> September</w:t>
      </w:r>
      <w:r w:rsidR="00FA3269">
        <w:rPr>
          <w:b/>
        </w:rPr>
        <w:t xml:space="preserve"> 201</w:t>
      </w:r>
      <w:r w:rsidR="00CB75E6">
        <w:rPr>
          <w:b/>
        </w:rPr>
        <w:t>6</w:t>
      </w:r>
    </w:p>
    <w:p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rsidR="008C6C22" w:rsidRPr="00A55B4D" w:rsidRDefault="00097793" w:rsidP="008C6C22">
      <w:pPr>
        <w:spacing w:after="0"/>
      </w:pPr>
      <w:r w:rsidRPr="00560572">
        <w:t>Geneva</w:t>
      </w:r>
      <w:r w:rsidR="00215A1B" w:rsidRPr="00560572">
        <w:t xml:space="preserve">, </w:t>
      </w:r>
      <w:r w:rsidR="00DC584A" w:rsidRPr="00560572">
        <w:t>1</w:t>
      </w:r>
      <w:r w:rsidR="00CB75E6">
        <w:t>9</w:t>
      </w:r>
      <w:r w:rsidR="00DC584A" w:rsidRPr="00560572">
        <w:t>–</w:t>
      </w:r>
      <w:r w:rsidR="00FA28CC">
        <w:t>2</w:t>
      </w:r>
      <w:r w:rsidR="00CB75E6">
        <w:t>3</w:t>
      </w:r>
      <w:r w:rsidRPr="00560572">
        <w:t xml:space="preserve"> </w:t>
      </w:r>
      <w:r w:rsidR="007D5759" w:rsidRPr="00560572">
        <w:t xml:space="preserve">September </w:t>
      </w:r>
      <w:r w:rsidR="00FA3269">
        <w:t>201</w:t>
      </w:r>
      <w:r w:rsidR="00CB75E6">
        <w:t>6</w:t>
      </w:r>
      <w:r w:rsidR="00215A1B" w:rsidRPr="00560572">
        <w:br/>
      </w:r>
      <w:r w:rsidR="008C6C22" w:rsidRPr="00A55B4D">
        <w:t xml:space="preserve">Item </w:t>
      </w:r>
      <w:r w:rsidR="008C6C22">
        <w:t>5 (a)</w:t>
      </w:r>
      <w:r w:rsidR="008C6C22" w:rsidRPr="00A55B4D">
        <w:t xml:space="preserve"> of the provisional agenda</w:t>
      </w:r>
    </w:p>
    <w:p w:rsidR="008C6C22" w:rsidRPr="00563634" w:rsidRDefault="008C6C22" w:rsidP="008C6C22">
      <w:pPr>
        <w:spacing w:after="0"/>
        <w:rPr>
          <w:b/>
        </w:rPr>
      </w:pPr>
      <w:r w:rsidRPr="00563634">
        <w:rPr>
          <w:b/>
        </w:rPr>
        <w:t>Proposals for amendments to RID/ADR/ADN</w:t>
      </w:r>
      <w:r>
        <w:rPr>
          <w:b/>
        </w:rPr>
        <w:t>:</w:t>
      </w:r>
    </w:p>
    <w:p w:rsidR="006643C6" w:rsidRPr="00560572" w:rsidRDefault="008C6C22" w:rsidP="008C6C22">
      <w:pPr>
        <w:spacing w:after="0" w:line="240" w:lineRule="atLeast"/>
        <w:rPr>
          <w:b/>
        </w:rPr>
      </w:pPr>
      <w:r>
        <w:rPr>
          <w:b/>
        </w:rPr>
        <w:t>Pending issues</w:t>
      </w:r>
    </w:p>
    <w:p w:rsidR="00A40020" w:rsidRPr="003216DF" w:rsidRDefault="002574B9" w:rsidP="007105E3">
      <w:pPr>
        <w:pStyle w:val="HChG"/>
        <w:rPr>
          <w:vertAlign w:val="superscript"/>
        </w:rPr>
      </w:pPr>
      <w:r w:rsidRPr="00560572">
        <w:tab/>
      </w:r>
      <w:r w:rsidRPr="00560572">
        <w:tab/>
      </w:r>
      <w:r w:rsidR="007105E3" w:rsidRPr="00A56849">
        <w:t>Dangerous Goods Safety Adviser: Proposal for an amendment of subsection 1.8.3.1 of RID/ADR/ADN</w:t>
      </w:r>
    </w:p>
    <w:p w:rsidR="00A40020" w:rsidRPr="00A40020" w:rsidRDefault="00A40020" w:rsidP="00A40020">
      <w:pPr>
        <w:pStyle w:val="H1G"/>
      </w:pPr>
      <w:r w:rsidRPr="003216DF">
        <w:tab/>
      </w:r>
      <w:r w:rsidRPr="003216DF">
        <w:tab/>
        <w:t>Transmitted by the European Association of Dangerous Goods Safety Advisers (EASA)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A40020" w:rsidRPr="00E62341" w:rsidTr="00A40020">
        <w:trPr>
          <w:jc w:val="center"/>
        </w:trPr>
        <w:tc>
          <w:tcPr>
            <w:tcW w:w="9637" w:type="dxa"/>
            <w:tcBorders>
              <w:bottom w:val="nil"/>
            </w:tcBorders>
            <w:shd w:val="clear" w:color="auto" w:fill="auto"/>
          </w:tcPr>
          <w:p w:rsidR="00A40020" w:rsidRPr="00E62341" w:rsidRDefault="00A40020" w:rsidP="00A40020">
            <w:pPr>
              <w:tabs>
                <w:tab w:val="left" w:pos="255"/>
              </w:tabs>
              <w:spacing w:before="240" w:after="120"/>
              <w:rPr>
                <w:rFonts w:eastAsia="Arial"/>
                <w:sz w:val="24"/>
              </w:rPr>
            </w:pPr>
            <w:r w:rsidRPr="00E62341">
              <w:rPr>
                <w:rFonts w:eastAsia="Arial"/>
              </w:rPr>
              <w:tab/>
            </w:r>
            <w:r w:rsidRPr="00E62341">
              <w:rPr>
                <w:rFonts w:eastAsia="Arial"/>
                <w:i/>
                <w:sz w:val="24"/>
              </w:rPr>
              <w:t>Summary</w:t>
            </w:r>
          </w:p>
        </w:tc>
      </w:tr>
      <w:tr w:rsidR="00A40020" w:rsidRPr="00E62341" w:rsidTr="00A40020">
        <w:trPr>
          <w:jc w:val="center"/>
        </w:trPr>
        <w:tc>
          <w:tcPr>
            <w:tcW w:w="9637" w:type="dxa"/>
            <w:tcBorders>
              <w:top w:val="nil"/>
              <w:bottom w:val="nil"/>
            </w:tcBorders>
            <w:shd w:val="clear" w:color="auto" w:fill="auto"/>
          </w:tcPr>
          <w:p w:rsidR="00A40020" w:rsidRPr="00E62341" w:rsidRDefault="00A40020" w:rsidP="007105E3">
            <w:pPr>
              <w:pStyle w:val="SingleTxtG"/>
              <w:spacing w:before="120"/>
              <w:jc w:val="left"/>
              <w:rPr>
                <w:b/>
                <w:szCs w:val="22"/>
              </w:rPr>
            </w:pPr>
            <w:r w:rsidRPr="00E62341">
              <w:rPr>
                <w:b/>
                <w:szCs w:val="22"/>
              </w:rPr>
              <w:t>Executive summary</w:t>
            </w:r>
            <w:r w:rsidRPr="00E62341">
              <w:rPr>
                <w:szCs w:val="22"/>
              </w:rPr>
              <w:t>:</w:t>
            </w:r>
            <w:r w:rsidRPr="00E62341">
              <w:rPr>
                <w:szCs w:val="22"/>
              </w:rPr>
              <w:tab/>
            </w:r>
            <w:r w:rsidR="007105E3" w:rsidRPr="00A56849">
              <w:t xml:space="preserve">The aim of this document is to propose an amendment of </w:t>
            </w:r>
            <w:r w:rsidR="007105E3">
              <w:tab/>
            </w:r>
            <w:r w:rsidR="007105E3">
              <w:tab/>
            </w:r>
            <w:r w:rsidR="007105E3">
              <w:tab/>
            </w:r>
            <w:r w:rsidR="007105E3">
              <w:tab/>
            </w:r>
            <w:r w:rsidR="007105E3" w:rsidRPr="00A56849">
              <w:t>subsection 1.8.3.1 of RID/ADR/ADN.</w:t>
            </w:r>
            <w:r>
              <w:tab/>
            </w:r>
            <w:r w:rsidRPr="003216DF">
              <w:t xml:space="preserve"> </w:t>
            </w:r>
          </w:p>
        </w:tc>
      </w:tr>
      <w:tr w:rsidR="00A40020" w:rsidRPr="00E62341" w:rsidTr="00A40020">
        <w:trPr>
          <w:jc w:val="center"/>
        </w:trPr>
        <w:tc>
          <w:tcPr>
            <w:tcW w:w="9637" w:type="dxa"/>
            <w:tcBorders>
              <w:top w:val="nil"/>
              <w:bottom w:val="nil"/>
            </w:tcBorders>
            <w:shd w:val="clear" w:color="auto" w:fill="auto"/>
          </w:tcPr>
          <w:p w:rsidR="00A40020" w:rsidRPr="00E62341" w:rsidRDefault="00A40020" w:rsidP="007105E3">
            <w:pPr>
              <w:pStyle w:val="BodyText"/>
              <w:spacing w:before="120" w:after="120" w:line="205" w:lineRule="exact"/>
              <w:ind w:left="3401" w:right="1133" w:hanging="2268"/>
              <w:jc w:val="both"/>
              <w:rPr>
                <w:rFonts w:eastAsia="Arial"/>
              </w:rPr>
            </w:pPr>
            <w:r w:rsidRPr="00E62341">
              <w:rPr>
                <w:rFonts w:eastAsia="Arial"/>
                <w:b/>
              </w:rPr>
              <w:t>Action to be taken</w:t>
            </w:r>
            <w:r w:rsidRPr="00E62341">
              <w:rPr>
                <w:rFonts w:eastAsia="Arial"/>
              </w:rPr>
              <w:t>:</w:t>
            </w:r>
            <w:r w:rsidRPr="00E62341">
              <w:rPr>
                <w:rFonts w:eastAsia="Arial"/>
              </w:rPr>
              <w:tab/>
            </w:r>
            <w:r w:rsidR="007105E3" w:rsidRPr="00A56849">
              <w:t>Amend subsection 1.8.3.1 as proposed.</w:t>
            </w:r>
            <w:r>
              <w:tab/>
            </w:r>
          </w:p>
        </w:tc>
      </w:tr>
      <w:tr w:rsidR="00A40020" w:rsidRPr="007105E3" w:rsidTr="00A40020">
        <w:trPr>
          <w:jc w:val="center"/>
        </w:trPr>
        <w:tc>
          <w:tcPr>
            <w:tcW w:w="9637" w:type="dxa"/>
            <w:tcBorders>
              <w:top w:val="nil"/>
              <w:bottom w:val="nil"/>
            </w:tcBorders>
            <w:shd w:val="clear" w:color="auto" w:fill="auto"/>
          </w:tcPr>
          <w:p w:rsidR="007105E3" w:rsidRPr="00A56849" w:rsidRDefault="00A40020" w:rsidP="007105E3">
            <w:pPr>
              <w:pStyle w:val="SingleTxtG"/>
              <w:spacing w:before="120"/>
              <w:jc w:val="left"/>
            </w:pPr>
            <w:r w:rsidRPr="00E62341">
              <w:rPr>
                <w:rFonts w:eastAsia="Arial"/>
                <w:b/>
              </w:rPr>
              <w:t>Reference document</w:t>
            </w:r>
            <w:r>
              <w:rPr>
                <w:rFonts w:eastAsia="Arial"/>
                <w:b/>
              </w:rPr>
              <w:t>s</w:t>
            </w:r>
            <w:r>
              <w:rPr>
                <w:rFonts w:eastAsia="Arial"/>
              </w:rPr>
              <w:t>:</w:t>
            </w:r>
            <w:r>
              <w:rPr>
                <w:rFonts w:eastAsia="Arial"/>
              </w:rPr>
              <w:tab/>
            </w:r>
            <w:r w:rsidR="007105E3" w:rsidRPr="00A56849">
              <w:t>ECE/TRANS/WP.15/AC.1/142 =</w:t>
            </w:r>
          </w:p>
          <w:p w:rsidR="00A40020" w:rsidRPr="008C6C22" w:rsidRDefault="007105E3" w:rsidP="007105E3">
            <w:pPr>
              <w:pStyle w:val="SingleTxtG"/>
              <w:spacing w:before="120"/>
              <w:jc w:val="left"/>
              <w:rPr>
                <w:rFonts w:eastAsia="Arial"/>
                <w:b/>
              </w:rPr>
            </w:pPr>
            <w:r>
              <w:tab/>
            </w:r>
            <w:r>
              <w:tab/>
            </w:r>
            <w:r>
              <w:tab/>
            </w:r>
            <w:r>
              <w:tab/>
            </w:r>
            <w:r w:rsidRPr="00A56849">
              <w:t>OTIF/RID/RC/2016-A, paragraph 39 2</w:t>
            </w:r>
            <w:r w:rsidRPr="00A56849">
              <w:rPr>
                <w:vertAlign w:val="superscript"/>
              </w:rPr>
              <w:t>nd</w:t>
            </w:r>
            <w:r w:rsidRPr="00A56849">
              <w:t xml:space="preserve"> and 3</w:t>
            </w:r>
            <w:r w:rsidRPr="00A56849">
              <w:rPr>
                <w:vertAlign w:val="superscript"/>
              </w:rPr>
              <w:t>rd</w:t>
            </w:r>
            <w:r w:rsidRPr="00A56849">
              <w:t xml:space="preserve"> sentence</w:t>
            </w:r>
            <w:r>
              <w:tab/>
            </w:r>
            <w:r>
              <w:tab/>
            </w:r>
            <w:r>
              <w:tab/>
            </w:r>
            <w:r>
              <w:tab/>
            </w:r>
            <w:r w:rsidRPr="008C6C22">
              <w:t>OTIF/RID/CE/GTP/2016-A, paragraphs 26-28</w:t>
            </w:r>
          </w:p>
        </w:tc>
      </w:tr>
      <w:tr w:rsidR="00A40020" w:rsidRPr="007105E3" w:rsidTr="00A40020">
        <w:trPr>
          <w:jc w:val="center"/>
        </w:trPr>
        <w:tc>
          <w:tcPr>
            <w:tcW w:w="9637" w:type="dxa"/>
            <w:tcBorders>
              <w:top w:val="nil"/>
            </w:tcBorders>
            <w:shd w:val="clear" w:color="auto" w:fill="auto"/>
          </w:tcPr>
          <w:p w:rsidR="00A40020" w:rsidRPr="008C6C22" w:rsidRDefault="00A40020" w:rsidP="00A40020">
            <w:pPr>
              <w:rPr>
                <w:rFonts w:eastAsia="Arial"/>
              </w:rPr>
            </w:pPr>
          </w:p>
        </w:tc>
      </w:tr>
    </w:tbl>
    <w:p w:rsidR="007105E3" w:rsidRPr="00A56849" w:rsidRDefault="00A40020" w:rsidP="007105E3">
      <w:pPr>
        <w:pStyle w:val="HChG"/>
        <w:rPr>
          <w:rFonts w:eastAsia="Calibri"/>
        </w:rPr>
      </w:pPr>
      <w:r w:rsidRPr="008C6C22">
        <w:rPr>
          <w:rFonts w:eastAsia="Calibri"/>
        </w:rPr>
        <w:tab/>
      </w:r>
      <w:r w:rsidRPr="008C6C22">
        <w:rPr>
          <w:rFonts w:eastAsia="Calibri"/>
        </w:rPr>
        <w:tab/>
      </w:r>
      <w:r w:rsidR="007105E3" w:rsidRPr="00A56849">
        <w:rPr>
          <w:rFonts w:eastAsia="Calibri"/>
        </w:rPr>
        <w:t>Introduction</w:t>
      </w:r>
    </w:p>
    <w:p w:rsidR="007105E3" w:rsidRPr="00A56849" w:rsidRDefault="007105E3" w:rsidP="007105E3">
      <w:pPr>
        <w:pStyle w:val="SingleTxtG"/>
        <w:rPr>
          <w:lang w:val="en-US"/>
        </w:rPr>
      </w:pPr>
      <w:r>
        <w:rPr>
          <w:lang w:val="en-US"/>
        </w:rPr>
        <w:t>1.</w:t>
      </w:r>
      <w:r>
        <w:rPr>
          <w:lang w:val="en-US"/>
        </w:rPr>
        <w:tab/>
      </w:r>
      <w:r w:rsidRPr="00A56849">
        <w:rPr>
          <w:lang w:val="en-US"/>
        </w:rPr>
        <w:t>EASA proposed to the Joint Meeting in March 2016 an amendment to subsection 1.8.3.1 of</w:t>
      </w:r>
    </w:p>
    <w:p w:rsidR="007105E3" w:rsidRPr="00A56849" w:rsidRDefault="007105E3" w:rsidP="007105E3">
      <w:pPr>
        <w:pStyle w:val="SingleTxtG"/>
        <w:rPr>
          <w:lang w:val="en-US"/>
        </w:rPr>
      </w:pPr>
      <w:r>
        <w:rPr>
          <w:lang w:val="en-US"/>
        </w:rPr>
        <w:t>-</w:t>
      </w:r>
      <w:r>
        <w:rPr>
          <w:lang w:val="en-US"/>
        </w:rPr>
        <w:tab/>
      </w:r>
      <w:r w:rsidRPr="00A56849">
        <w:rPr>
          <w:lang w:val="en-US"/>
        </w:rPr>
        <w:t>RID/ADR/ADN by the addition of “consignor”; this proposal was accepted, effective 1</w:t>
      </w:r>
      <w:r w:rsidRPr="00A56849">
        <w:rPr>
          <w:vertAlign w:val="superscript"/>
          <w:lang w:val="en-US"/>
        </w:rPr>
        <w:t>st</w:t>
      </w:r>
      <w:r w:rsidRPr="00A56849">
        <w:rPr>
          <w:lang w:val="en-US"/>
        </w:rPr>
        <w:t xml:space="preserve"> January 2019, with a transitional period of four years,</w:t>
      </w:r>
    </w:p>
    <w:p w:rsidR="007105E3" w:rsidRPr="00A56849" w:rsidRDefault="007105E3" w:rsidP="007105E3">
      <w:pPr>
        <w:pStyle w:val="SingleTxtG"/>
        <w:rPr>
          <w:lang w:val="en-US"/>
        </w:rPr>
      </w:pPr>
      <w:r>
        <w:rPr>
          <w:lang w:val="en-US"/>
        </w:rPr>
        <w:t>-</w:t>
      </w:r>
      <w:r>
        <w:rPr>
          <w:lang w:val="en-US"/>
        </w:rPr>
        <w:tab/>
      </w:r>
      <w:r w:rsidRPr="00A56849">
        <w:rPr>
          <w:lang w:val="en-US"/>
        </w:rPr>
        <w:t xml:space="preserve">RID by the addition of “or operating a tank-wagon”; the International Union of Wagon Keepers (UIP) proposed to include “handling or”; the Joint Meeting recommended EASA to present the proposal to the RID Committee of Experts Standing Working Group. </w:t>
      </w:r>
    </w:p>
    <w:p w:rsidR="007105E3" w:rsidRPr="00A56849" w:rsidRDefault="007105E3" w:rsidP="007105E3">
      <w:pPr>
        <w:pStyle w:val="SingleTxtG"/>
        <w:rPr>
          <w:lang w:val="en-US"/>
        </w:rPr>
      </w:pPr>
      <w:r>
        <w:rPr>
          <w:lang w:val="en-US"/>
        </w:rPr>
        <w:t>2.</w:t>
      </w:r>
      <w:r>
        <w:rPr>
          <w:lang w:val="en-US"/>
        </w:rPr>
        <w:tab/>
      </w:r>
      <w:r w:rsidRPr="00A56849">
        <w:rPr>
          <w:lang w:val="en-US"/>
        </w:rPr>
        <w:t>The RID Committee of Experts Standing Working Group recommended EASA to re-propose the proposal to the Joint Meeting, including the operators of tank-containers and portable tanks.</w:t>
      </w:r>
    </w:p>
    <w:p w:rsidR="007105E3" w:rsidRPr="00A56849" w:rsidRDefault="007105E3" w:rsidP="007105E3">
      <w:pPr>
        <w:pStyle w:val="SingleTxtG"/>
        <w:rPr>
          <w:lang w:val="en-US"/>
        </w:rPr>
      </w:pPr>
      <w:r w:rsidRPr="00A56849">
        <w:rPr>
          <w:lang w:val="en-US"/>
        </w:rPr>
        <w:t>3</w:t>
      </w:r>
      <w:r>
        <w:rPr>
          <w:lang w:val="en-US"/>
        </w:rPr>
        <w:t>.</w:t>
      </w:r>
      <w:r>
        <w:rPr>
          <w:lang w:val="en-US"/>
        </w:rPr>
        <w:tab/>
      </w:r>
      <w:r w:rsidRPr="00A56849">
        <w:rPr>
          <w:lang w:val="en-US"/>
        </w:rPr>
        <w:t>As a consequence EASA re-proposes to amend subsection 1.8.3.1 of RID/ADR/ADN as follows (amendment underlined):</w:t>
      </w:r>
    </w:p>
    <w:p w:rsidR="007105E3" w:rsidRPr="00A56849" w:rsidRDefault="007105E3" w:rsidP="007105E3">
      <w:pPr>
        <w:pStyle w:val="SingleTxtG"/>
        <w:ind w:left="2268" w:hanging="1134"/>
        <w:rPr>
          <w:lang w:val="en-US" w:eastAsia="de-DE"/>
        </w:rPr>
      </w:pPr>
      <w:r w:rsidRPr="007105E3">
        <w:rPr>
          <w:lang w:val="en-US" w:eastAsia="de-DE"/>
        </w:rPr>
        <w:lastRenderedPageBreak/>
        <w:t>1.8.3.1</w:t>
      </w:r>
      <w:r>
        <w:rPr>
          <w:lang w:val="en-US" w:eastAsia="de-DE"/>
        </w:rPr>
        <w:tab/>
      </w:r>
      <w:r>
        <w:rPr>
          <w:lang w:val="en-US" w:eastAsia="de-DE"/>
        </w:rPr>
        <w:tab/>
      </w:r>
      <w:r w:rsidRPr="00A56849">
        <w:rPr>
          <w:lang w:val="en-US" w:eastAsia="de-DE"/>
        </w:rPr>
        <w:t xml:space="preserve">Each undertaking, the activities of which include the consigning, carriage, or the related operations packing, loading, filling or unloading of dangerous goods by road/rail/inland waterways </w:t>
      </w:r>
      <w:r w:rsidRPr="00A56849">
        <w:rPr>
          <w:u w:val="single"/>
          <w:lang w:val="en-US" w:eastAsia="de-DE"/>
        </w:rPr>
        <w:t>or handling or operating a tank-container or a portable tank [RID: or a tank-wagon],</w:t>
      </w:r>
      <w:r w:rsidRPr="00A56849">
        <w:rPr>
          <w:lang w:val="en-US" w:eastAsia="de-DE"/>
        </w:rPr>
        <w:t xml:space="preserve"> shall appoint one or more dangerous goods safety advisers, hereinafter referred to as “safety advisers”, for the carriage of dangerous goods, responsible for helping to prevent the risks inherent in such activities with regard to persons, property and the environment.</w:t>
      </w:r>
    </w:p>
    <w:p w:rsidR="007105E3" w:rsidRPr="00A56849" w:rsidRDefault="007105E3" w:rsidP="007105E3">
      <w:pPr>
        <w:pStyle w:val="HChG"/>
        <w:rPr>
          <w:rFonts w:eastAsia="Calibri"/>
        </w:rPr>
      </w:pPr>
      <w:r>
        <w:rPr>
          <w:rFonts w:eastAsia="Calibri"/>
          <w:lang w:val="en-US"/>
        </w:rPr>
        <w:tab/>
      </w:r>
      <w:r>
        <w:rPr>
          <w:rFonts w:eastAsia="Calibri"/>
          <w:lang w:val="en-US"/>
        </w:rPr>
        <w:tab/>
      </w:r>
      <w:r w:rsidRPr="00A56849">
        <w:rPr>
          <w:rFonts w:eastAsia="Calibri"/>
          <w:lang w:val="en-US"/>
        </w:rPr>
        <w:t>Justification</w:t>
      </w:r>
    </w:p>
    <w:p w:rsidR="007105E3" w:rsidRPr="007105E3" w:rsidRDefault="007105E3" w:rsidP="007105E3">
      <w:pPr>
        <w:pStyle w:val="SingleTxtG"/>
        <w:rPr>
          <w:rFonts w:eastAsia="Calibri"/>
        </w:rPr>
      </w:pPr>
      <w:r w:rsidRPr="007105E3">
        <w:rPr>
          <w:rFonts w:eastAsia="Calibri"/>
        </w:rPr>
        <w:t>Both the operator of a tank-container/portable tank and the operator of a tank-wagon, have obligations according to subsection 1.4.3.4 of RID/ADR/ADN resp. subsection 1.4.3.5 of RID. According to subsection 1.8.3.3 of RID/ADR/ADN the safety adviser has to monitor compliance with the requirements governing the carriage of dangerous goods within the limits of the relevant activities of the undertaking. At present, both the operator of a tank-container/portable tank and the operator of a tank-</w:t>
      </w:r>
      <w:proofErr w:type="gramStart"/>
      <w:r w:rsidRPr="007105E3">
        <w:rPr>
          <w:rFonts w:eastAsia="Calibri"/>
        </w:rPr>
        <w:t>wagon,</w:t>
      </w:r>
      <w:proofErr w:type="gramEnd"/>
      <w:r w:rsidRPr="007105E3">
        <w:rPr>
          <w:rFonts w:eastAsia="Calibri"/>
        </w:rPr>
        <w:t xml:space="preserve"> are excepted from the obligation to appoint a safety adviser. This is not reasonable due to the following facts:</w:t>
      </w:r>
    </w:p>
    <w:p w:rsidR="007105E3" w:rsidRPr="00A56849" w:rsidRDefault="007105E3" w:rsidP="007105E3">
      <w:pPr>
        <w:pStyle w:val="H1G"/>
        <w:rPr>
          <w:lang w:val="en-US" w:eastAsia="de-DE"/>
        </w:rPr>
      </w:pPr>
      <w:r>
        <w:rPr>
          <w:lang w:val="en-US" w:eastAsia="de-DE"/>
        </w:rPr>
        <w:tab/>
      </w:r>
      <w:r>
        <w:rPr>
          <w:lang w:val="en-US" w:eastAsia="de-DE"/>
        </w:rPr>
        <w:tab/>
        <w:t>1.</w:t>
      </w:r>
      <w:r>
        <w:rPr>
          <w:lang w:val="en-US" w:eastAsia="de-DE"/>
        </w:rPr>
        <w:tab/>
      </w:r>
      <w:r w:rsidRPr="00A56849">
        <w:rPr>
          <w:lang w:val="en-US" w:eastAsia="de-DE"/>
        </w:rPr>
        <w:t>Operator of tank-containers/portable tanks</w:t>
      </w:r>
    </w:p>
    <w:p w:rsidR="007105E3" w:rsidRPr="007105E3" w:rsidRDefault="007105E3" w:rsidP="007105E3">
      <w:pPr>
        <w:pStyle w:val="SingleTxtG"/>
      </w:pPr>
      <w:r>
        <w:t>1.1</w:t>
      </w:r>
      <w:r>
        <w:tab/>
      </w:r>
      <w:r w:rsidRPr="007105E3">
        <w:t xml:space="preserve">The quantities of dangerous goods transported in tank containers and portable tanks are not insignificant, and could be compared to the quantities in tank-wagons. In the view of EASA, the associated risk to persons, property and the environment in the case of an incident is therefore significant. Our conclusion is that operators of tank-containers or portable tanks must </w:t>
      </w:r>
      <w:proofErr w:type="spellStart"/>
      <w:r w:rsidRPr="007105E3">
        <w:t>fulfill</w:t>
      </w:r>
      <w:proofErr w:type="spellEnd"/>
      <w:r w:rsidRPr="007105E3">
        <w:t xml:space="preserve"> their safety requirements of ADR/RID 1.4.3.4. </w:t>
      </w:r>
      <w:proofErr w:type="gramStart"/>
      <w:r w:rsidRPr="007105E3">
        <w:t>letter</w:t>
      </w:r>
      <w:proofErr w:type="gramEnd"/>
      <w:r w:rsidRPr="007105E3">
        <w:t xml:space="preserve"> b) and c) completely and actively. For this reason, the appointment of a safety adviser seems appropriate. The safety adviser could actively support the operator of tank-containers or portable tanks in the </w:t>
      </w:r>
      <w:proofErr w:type="spellStart"/>
      <w:r w:rsidRPr="007105E3">
        <w:t>fulfillment</w:t>
      </w:r>
      <w:proofErr w:type="spellEnd"/>
      <w:r w:rsidRPr="007105E3">
        <w:t xml:space="preserve"> of their safety obligations. </w:t>
      </w:r>
    </w:p>
    <w:p w:rsidR="007105E3" w:rsidRPr="007105E3" w:rsidRDefault="007105E3" w:rsidP="007105E3">
      <w:pPr>
        <w:pStyle w:val="SingleTxtG"/>
      </w:pPr>
      <w:r>
        <w:t>1.2</w:t>
      </w:r>
      <w:r>
        <w:tab/>
      </w:r>
      <w:r w:rsidRPr="007105E3">
        <w:t xml:space="preserve">It is frequently found that labelling, especially on tank-containers in combined, multimodal transport, is not correct with respect to the requirements of legislation. In principle it is the filler´s responsibility to ensure that labels, etc., are affixed, according to ADR/RID 1.4.3.3. In addition, the carrier of a tank-container /portable tank has the obligation to ensure the correct </w:t>
      </w:r>
      <w:proofErr w:type="spellStart"/>
      <w:r w:rsidRPr="007105E3">
        <w:t>labeling</w:t>
      </w:r>
      <w:proofErr w:type="spellEnd"/>
      <w:r w:rsidRPr="007105E3">
        <w:t xml:space="preserve"> has been used accordingly to ADR/RID 1.4.2.2. However, in this context, EASA believes that it would be wise for the operator of a tank-container/portable tank to appoint a dangerous goods safety advisor to help meet the labelling requirements of the legislation. </w:t>
      </w:r>
    </w:p>
    <w:p w:rsidR="007105E3" w:rsidRPr="007105E3" w:rsidRDefault="007105E3" w:rsidP="007105E3">
      <w:pPr>
        <w:pStyle w:val="SingleTxtG"/>
      </w:pPr>
      <w:r>
        <w:t>1.3</w:t>
      </w:r>
      <w:r>
        <w:tab/>
      </w:r>
      <w:r w:rsidRPr="007105E3">
        <w:t xml:space="preserve">In German national legislation today, it is obligatory for an operator of tank-containers/portable tanks to appoint a dangerous goods safety advisor. </w:t>
      </w:r>
    </w:p>
    <w:p w:rsidR="007105E3" w:rsidRPr="00A56849" w:rsidRDefault="007105E3" w:rsidP="007105E3">
      <w:pPr>
        <w:pStyle w:val="H1G"/>
        <w:rPr>
          <w:lang w:val="en-US" w:eastAsia="de-DE"/>
        </w:rPr>
      </w:pPr>
      <w:r>
        <w:rPr>
          <w:lang w:eastAsia="de-DE"/>
        </w:rPr>
        <w:tab/>
      </w:r>
      <w:r>
        <w:rPr>
          <w:lang w:eastAsia="de-DE"/>
        </w:rPr>
        <w:tab/>
        <w:t>2.</w:t>
      </w:r>
      <w:r>
        <w:rPr>
          <w:lang w:eastAsia="de-DE"/>
        </w:rPr>
        <w:tab/>
      </w:r>
      <w:r w:rsidRPr="00A56849">
        <w:rPr>
          <w:lang w:val="en-US" w:eastAsia="de-DE"/>
        </w:rPr>
        <w:t>Operator of tank-wagons</w:t>
      </w:r>
    </w:p>
    <w:p w:rsidR="007105E3" w:rsidRPr="00A56849" w:rsidRDefault="007105E3" w:rsidP="007105E3">
      <w:pPr>
        <w:pStyle w:val="SingleTxtG"/>
        <w:rPr>
          <w:lang w:val="en-US"/>
        </w:rPr>
      </w:pPr>
      <w:r>
        <w:rPr>
          <w:lang w:val="en-US"/>
        </w:rPr>
        <w:t>2.1</w:t>
      </w:r>
      <w:r>
        <w:rPr>
          <w:lang w:val="en-US"/>
        </w:rPr>
        <w:tab/>
      </w:r>
      <w:r w:rsidRPr="00A56849">
        <w:rPr>
          <w:lang w:val="en-US"/>
        </w:rPr>
        <w:t>Important accidents involving tank-wagons, such</w:t>
      </w:r>
      <w:r>
        <w:rPr>
          <w:lang w:val="en-US"/>
        </w:rPr>
        <w:t xml:space="preserve"> as in Zürich-</w:t>
      </w:r>
      <w:proofErr w:type="spellStart"/>
      <w:r>
        <w:rPr>
          <w:lang w:val="en-US"/>
        </w:rPr>
        <w:t>Affolterrn</w:t>
      </w:r>
      <w:proofErr w:type="spellEnd"/>
      <w:r w:rsidRPr="00A56849">
        <w:rPr>
          <w:lang w:val="en-US"/>
        </w:rPr>
        <w:t xml:space="preserve"> 1994, Viareggio 2009, and Stuttgart 2015, showed us dramatically what tremendous damage can be done to people, property and the environment. For EASA it is inalienable that the safety requirements of all participants (in whatever form) in dangerous goods transport must be taken seriously and be managed professionally. However, experience shows us that undertakings, often those exempted by ADR/RID 1.8.3.2, know the safety requirements, but do not implement a system to control or check the need for compliance. With the appointment of a dangerous goods safety advisor, this deficiency could be avoided, because the requisite tasks to ensure compliance would be carried out as a normal part of safety adviser’s duties. </w:t>
      </w:r>
    </w:p>
    <w:p w:rsidR="007105E3" w:rsidRPr="00A56849" w:rsidRDefault="007105E3" w:rsidP="007105E3">
      <w:pPr>
        <w:pStyle w:val="SingleTxtG"/>
        <w:rPr>
          <w:lang w:val="en-US"/>
        </w:rPr>
      </w:pPr>
      <w:r w:rsidRPr="00A56849">
        <w:rPr>
          <w:lang w:val="en-US"/>
        </w:rPr>
        <w:lastRenderedPageBreak/>
        <w:t>2.2</w:t>
      </w:r>
      <w:r>
        <w:rPr>
          <w:lang w:val="en-US"/>
        </w:rPr>
        <w:tab/>
      </w:r>
      <w:r w:rsidRPr="00A56849">
        <w:rPr>
          <w:lang w:val="en-US"/>
        </w:rPr>
        <w:t xml:space="preserve">EASA is aware that there are many parties involved in the transport of tank wagons as so-called ‘block trains’. In addition, it sometimes happens that the participants do not always agree how the responsibilities should be allocated in order to fulfill the requirements of the transport of dangerous goods set out in RID. This is often the case with transport with mineral products, and especially with the labelling of tank wagons. In the view of EASA, according to RID 1.4.3.5, the operator of a tank wagon is fully responsible for ensuring that the prescribed labelling of the tank wagons is clearly designated, communicated to the responsible party, and controlled by the operator of the tank-wagon. It would be efficient for this control to be made by a nominated safety adviser, since he </w:t>
      </w:r>
      <w:proofErr w:type="gramStart"/>
      <w:r w:rsidRPr="00A56849">
        <w:rPr>
          <w:lang w:val="en-US"/>
        </w:rPr>
        <w:t>have</w:t>
      </w:r>
      <w:proofErr w:type="gramEnd"/>
      <w:r w:rsidRPr="00A56849">
        <w:rPr>
          <w:lang w:val="en-US"/>
        </w:rPr>
        <w:t xml:space="preserve"> the requisite knowledge to ensure the compliance of the operation. </w:t>
      </w:r>
    </w:p>
    <w:p w:rsidR="007105E3" w:rsidRPr="00A56849" w:rsidRDefault="007105E3" w:rsidP="007105E3">
      <w:pPr>
        <w:pStyle w:val="SingleTxtG"/>
        <w:rPr>
          <w:lang w:val="en-US"/>
        </w:rPr>
      </w:pPr>
      <w:r>
        <w:rPr>
          <w:lang w:val="en-US"/>
        </w:rPr>
        <w:t>2.3</w:t>
      </w:r>
      <w:r>
        <w:rPr>
          <w:lang w:val="en-US"/>
        </w:rPr>
        <w:tab/>
      </w:r>
      <w:r w:rsidRPr="00A56849">
        <w:rPr>
          <w:lang w:val="en-US"/>
        </w:rPr>
        <w:t xml:space="preserve">In order to provide his customers/tenants of tank wagons with the latest legislative information about his rolling stock, the operator of tank-wagons has always to maintain awareness of the latest revisions to the relevant legislation. To assure this, regular training for all those involved in dangerous goods is, in the view of EASA, indispensable. Here, the nominated safety adviser could be responsible for the planning and execution of appropriate training to achieve the outcomes required in ADR/RID/AND. Also, he could coordinate the contents and edit information or instruction leaflets, all of which could be communicated to the customers of the operator of the tank-wagons. </w:t>
      </w:r>
    </w:p>
    <w:p w:rsidR="007105E3" w:rsidRDefault="007105E3" w:rsidP="007105E3">
      <w:pPr>
        <w:pStyle w:val="SingleTxtG"/>
        <w:rPr>
          <w:lang w:val="en-US"/>
        </w:rPr>
      </w:pPr>
      <w:r>
        <w:rPr>
          <w:lang w:val="en-US"/>
        </w:rPr>
        <w:t>2.4</w:t>
      </w:r>
      <w:r>
        <w:rPr>
          <w:lang w:val="en-US"/>
        </w:rPr>
        <w:tab/>
        <w:t xml:space="preserve">German </w:t>
      </w:r>
      <w:r w:rsidRPr="00A56849">
        <w:rPr>
          <w:lang w:val="en-US"/>
        </w:rPr>
        <w:t>national regulations today already prescribe the nomination of a safety advisor for operators of tank-wagons.</w:t>
      </w:r>
    </w:p>
    <w:p w:rsidR="007105E3" w:rsidRPr="007105E3" w:rsidRDefault="007105E3" w:rsidP="007105E3">
      <w:pPr>
        <w:pStyle w:val="SingleTxtG"/>
        <w:suppressAutoHyphens/>
        <w:spacing w:before="240" w:after="0" w:line="240" w:lineRule="atLeast"/>
        <w:jc w:val="center"/>
        <w:rPr>
          <w:u w:val="single"/>
          <w:lang w:val="en-US"/>
        </w:rPr>
      </w:pPr>
      <w:r>
        <w:rPr>
          <w:u w:val="single"/>
          <w:lang w:val="en-US"/>
        </w:rPr>
        <w:tab/>
      </w:r>
      <w:r>
        <w:rPr>
          <w:u w:val="single"/>
          <w:lang w:val="en-US"/>
        </w:rPr>
        <w:tab/>
      </w:r>
      <w:r>
        <w:rPr>
          <w:u w:val="single"/>
          <w:lang w:val="en-US"/>
        </w:rPr>
        <w:tab/>
      </w:r>
    </w:p>
    <w:sectPr w:rsidR="007105E3" w:rsidRPr="007105E3" w:rsidSect="00CD5FEE">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020" w:rsidRDefault="00A40020"/>
  </w:endnote>
  <w:endnote w:type="continuationSeparator" w:id="0">
    <w:p w:rsidR="00A40020" w:rsidRDefault="00A40020"/>
  </w:endnote>
  <w:endnote w:type="continuationNotice" w:id="1">
    <w:p w:rsidR="00A40020" w:rsidRDefault="00A40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20" w:rsidRPr="003B3A7E" w:rsidRDefault="00A40020" w:rsidP="003B3A7E">
    <w:pPr>
      <w:pStyle w:val="Footer"/>
    </w:pPr>
    <w:r>
      <w:rPr>
        <w:rStyle w:val="PageNumber"/>
      </w:rPr>
      <w:fldChar w:fldCharType="begin"/>
    </w:r>
    <w:r>
      <w:rPr>
        <w:rStyle w:val="PageNumber"/>
      </w:rPr>
      <w:instrText xml:space="preserve"> PAGE </w:instrText>
    </w:r>
    <w:r>
      <w:rPr>
        <w:rStyle w:val="PageNumber"/>
      </w:rPr>
      <w:fldChar w:fldCharType="separate"/>
    </w:r>
    <w:r w:rsidR="008C6C22">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20" w:rsidRDefault="00A40020"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8C6C22">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020" w:rsidRPr="000B175B" w:rsidRDefault="00A40020" w:rsidP="000B175B">
      <w:pPr>
        <w:tabs>
          <w:tab w:val="right" w:pos="2155"/>
        </w:tabs>
        <w:spacing w:after="80"/>
        <w:ind w:left="680"/>
        <w:rPr>
          <w:u w:val="single"/>
        </w:rPr>
      </w:pPr>
      <w:r>
        <w:rPr>
          <w:u w:val="single"/>
        </w:rPr>
        <w:tab/>
      </w:r>
    </w:p>
  </w:footnote>
  <w:footnote w:type="continuationSeparator" w:id="0">
    <w:p w:rsidR="00A40020" w:rsidRPr="00FC68B7" w:rsidRDefault="00A40020" w:rsidP="00FC68B7">
      <w:pPr>
        <w:tabs>
          <w:tab w:val="left" w:pos="2155"/>
        </w:tabs>
        <w:spacing w:after="80"/>
        <w:ind w:left="680"/>
        <w:rPr>
          <w:u w:val="single"/>
        </w:rPr>
      </w:pPr>
      <w:r>
        <w:rPr>
          <w:u w:val="single"/>
        </w:rPr>
        <w:tab/>
      </w:r>
    </w:p>
  </w:footnote>
  <w:footnote w:type="continuationNotice" w:id="1">
    <w:p w:rsidR="00A40020" w:rsidRDefault="00A400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20" w:rsidRPr="0009455D" w:rsidRDefault="00A40020">
    <w:pPr>
      <w:pStyle w:val="Header"/>
      <w:rPr>
        <w:lang w:val="fr-CH"/>
      </w:rPr>
    </w:pPr>
    <w:r>
      <w:rPr>
        <w:lang w:val="fr-CH"/>
      </w:rPr>
      <w:t>INF.1</w:t>
    </w:r>
    <w:r w:rsidR="007105E3">
      <w:rPr>
        <w:lang w:val="fr-CH"/>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20" w:rsidRPr="00073BC9" w:rsidRDefault="00A40020" w:rsidP="0009455D">
    <w:pPr>
      <w:pStyle w:val="Header"/>
      <w:jc w:val="right"/>
    </w:pPr>
    <w:r>
      <w:t>INF.1</w:t>
    </w:r>
    <w:r w:rsidR="007105E3">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20" w:rsidRPr="00560572" w:rsidRDefault="00A40020" w:rsidP="00E37495">
    <w:pPr>
      <w:pStyle w:val="Header"/>
      <w:pBdr>
        <w:bottom w:val="single" w:sz="4" w:space="1" w:color="auto"/>
      </w:pBdr>
      <w:jc w:val="right"/>
      <w:rPr>
        <w:sz w:val="28"/>
        <w:szCs w:val="28"/>
      </w:rPr>
    </w:pPr>
    <w:r w:rsidRPr="00560572">
      <w:rPr>
        <w:sz w:val="28"/>
        <w:szCs w:val="28"/>
      </w:rPr>
      <w:t>INF.</w:t>
    </w:r>
    <w:r>
      <w:rPr>
        <w:sz w:val="28"/>
        <w:szCs w:val="28"/>
      </w:rPr>
      <w:t>1</w:t>
    </w:r>
    <w:r w:rsidR="007105E3">
      <w:rPr>
        <w:sz w:val="28"/>
        <w:szCs w:val="2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8">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9">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1">
    <w:nsid w:val="4F460134"/>
    <w:multiLevelType w:val="hybridMultilevel"/>
    <w:tmpl w:val="B868E60E"/>
    <w:lvl w:ilvl="0" w:tplc="627A76B2">
      <w:start w:val="1"/>
      <w:numFmt w:val="bullet"/>
      <w:lvlText w:val=""/>
      <w:lvlJc w:val="left"/>
      <w:pPr>
        <w:tabs>
          <w:tab w:val="num" w:pos="720"/>
        </w:tabs>
        <w:ind w:left="720" w:hanging="360"/>
      </w:pPr>
      <w:rPr>
        <w:rFonts w:ascii="Wingdings" w:hAnsi="Wingdings" w:hint="default"/>
      </w:rPr>
    </w:lvl>
    <w:lvl w:ilvl="1" w:tplc="E9E6E0BA" w:tentative="1">
      <w:start w:val="1"/>
      <w:numFmt w:val="bullet"/>
      <w:lvlText w:val=""/>
      <w:lvlJc w:val="left"/>
      <w:pPr>
        <w:tabs>
          <w:tab w:val="num" w:pos="1440"/>
        </w:tabs>
        <w:ind w:left="1440" w:hanging="360"/>
      </w:pPr>
      <w:rPr>
        <w:rFonts w:ascii="Wingdings" w:hAnsi="Wingdings" w:hint="default"/>
      </w:rPr>
    </w:lvl>
    <w:lvl w:ilvl="2" w:tplc="E31AFFFC" w:tentative="1">
      <w:start w:val="1"/>
      <w:numFmt w:val="bullet"/>
      <w:lvlText w:val=""/>
      <w:lvlJc w:val="left"/>
      <w:pPr>
        <w:tabs>
          <w:tab w:val="num" w:pos="2160"/>
        </w:tabs>
        <w:ind w:left="2160" w:hanging="360"/>
      </w:pPr>
      <w:rPr>
        <w:rFonts w:ascii="Wingdings" w:hAnsi="Wingdings" w:hint="default"/>
      </w:rPr>
    </w:lvl>
    <w:lvl w:ilvl="3" w:tplc="F3B4E2D6" w:tentative="1">
      <w:start w:val="1"/>
      <w:numFmt w:val="bullet"/>
      <w:lvlText w:val=""/>
      <w:lvlJc w:val="left"/>
      <w:pPr>
        <w:tabs>
          <w:tab w:val="num" w:pos="2880"/>
        </w:tabs>
        <w:ind w:left="2880" w:hanging="360"/>
      </w:pPr>
      <w:rPr>
        <w:rFonts w:ascii="Wingdings" w:hAnsi="Wingdings" w:hint="default"/>
      </w:rPr>
    </w:lvl>
    <w:lvl w:ilvl="4" w:tplc="CE02D1CA" w:tentative="1">
      <w:start w:val="1"/>
      <w:numFmt w:val="bullet"/>
      <w:lvlText w:val=""/>
      <w:lvlJc w:val="left"/>
      <w:pPr>
        <w:tabs>
          <w:tab w:val="num" w:pos="3600"/>
        </w:tabs>
        <w:ind w:left="3600" w:hanging="360"/>
      </w:pPr>
      <w:rPr>
        <w:rFonts w:ascii="Wingdings" w:hAnsi="Wingdings" w:hint="default"/>
      </w:rPr>
    </w:lvl>
    <w:lvl w:ilvl="5" w:tplc="DA8CACB6" w:tentative="1">
      <w:start w:val="1"/>
      <w:numFmt w:val="bullet"/>
      <w:lvlText w:val=""/>
      <w:lvlJc w:val="left"/>
      <w:pPr>
        <w:tabs>
          <w:tab w:val="num" w:pos="4320"/>
        </w:tabs>
        <w:ind w:left="4320" w:hanging="360"/>
      </w:pPr>
      <w:rPr>
        <w:rFonts w:ascii="Wingdings" w:hAnsi="Wingdings" w:hint="default"/>
      </w:rPr>
    </w:lvl>
    <w:lvl w:ilvl="6" w:tplc="6EE82D8E" w:tentative="1">
      <w:start w:val="1"/>
      <w:numFmt w:val="bullet"/>
      <w:lvlText w:val=""/>
      <w:lvlJc w:val="left"/>
      <w:pPr>
        <w:tabs>
          <w:tab w:val="num" w:pos="5040"/>
        </w:tabs>
        <w:ind w:left="5040" w:hanging="360"/>
      </w:pPr>
      <w:rPr>
        <w:rFonts w:ascii="Wingdings" w:hAnsi="Wingdings" w:hint="default"/>
      </w:rPr>
    </w:lvl>
    <w:lvl w:ilvl="7" w:tplc="09C63DB0" w:tentative="1">
      <w:start w:val="1"/>
      <w:numFmt w:val="bullet"/>
      <w:lvlText w:val=""/>
      <w:lvlJc w:val="left"/>
      <w:pPr>
        <w:tabs>
          <w:tab w:val="num" w:pos="5760"/>
        </w:tabs>
        <w:ind w:left="5760" w:hanging="360"/>
      </w:pPr>
      <w:rPr>
        <w:rFonts w:ascii="Wingdings" w:hAnsi="Wingdings" w:hint="default"/>
      </w:rPr>
    </w:lvl>
    <w:lvl w:ilvl="8" w:tplc="D7906F7A" w:tentative="1">
      <w:start w:val="1"/>
      <w:numFmt w:val="bullet"/>
      <w:lvlText w:val=""/>
      <w:lvlJc w:val="left"/>
      <w:pPr>
        <w:tabs>
          <w:tab w:val="num" w:pos="6480"/>
        </w:tabs>
        <w:ind w:left="6480" w:hanging="360"/>
      </w:pPr>
      <w:rPr>
        <w:rFonts w:ascii="Wingdings" w:hAnsi="Wingdings" w:hint="default"/>
      </w:rPr>
    </w:lvl>
  </w:abstractNum>
  <w:abstractNum w:abstractNumId="22">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1"/>
  </w:num>
  <w:num w:numId="15">
    <w:abstractNumId w:val="16"/>
  </w:num>
  <w:num w:numId="16">
    <w:abstractNumId w:val="13"/>
  </w:num>
  <w:num w:numId="17">
    <w:abstractNumId w:val="23"/>
  </w:num>
  <w:num w:numId="18">
    <w:abstractNumId w:val="25"/>
  </w:num>
  <w:num w:numId="19">
    <w:abstractNumId w:val="22"/>
  </w:num>
  <w:num w:numId="20">
    <w:abstractNumId w:val="12"/>
  </w:num>
  <w:num w:numId="21">
    <w:abstractNumId w:val="18"/>
  </w:num>
  <w:num w:numId="22">
    <w:abstractNumId w:val="26"/>
  </w:num>
  <w:num w:numId="23">
    <w:abstractNumId w:val="17"/>
  </w:num>
  <w:num w:numId="24">
    <w:abstractNumId w:val="20"/>
  </w:num>
  <w:num w:numId="25">
    <w:abstractNumId w:val="24"/>
  </w:num>
  <w:num w:numId="26">
    <w:abstractNumId w:val="19"/>
  </w:num>
  <w:num w:numId="2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C6"/>
    <w:rsid w:val="00002A7D"/>
    <w:rsid w:val="000038A8"/>
    <w:rsid w:val="000041B2"/>
    <w:rsid w:val="00004CB4"/>
    <w:rsid w:val="00006790"/>
    <w:rsid w:val="00027624"/>
    <w:rsid w:val="00050B2C"/>
    <w:rsid w:val="00050F6B"/>
    <w:rsid w:val="00056E1C"/>
    <w:rsid w:val="00057D31"/>
    <w:rsid w:val="00057F00"/>
    <w:rsid w:val="00060675"/>
    <w:rsid w:val="00062540"/>
    <w:rsid w:val="000678CD"/>
    <w:rsid w:val="00072C8C"/>
    <w:rsid w:val="00073BC9"/>
    <w:rsid w:val="00075498"/>
    <w:rsid w:val="00081CE0"/>
    <w:rsid w:val="00081E5B"/>
    <w:rsid w:val="00084D30"/>
    <w:rsid w:val="00090320"/>
    <w:rsid w:val="00091148"/>
    <w:rsid w:val="000918D7"/>
    <w:rsid w:val="000931C0"/>
    <w:rsid w:val="0009455D"/>
    <w:rsid w:val="00097793"/>
    <w:rsid w:val="000A2E09"/>
    <w:rsid w:val="000B175B"/>
    <w:rsid w:val="000B3A0F"/>
    <w:rsid w:val="000B41FA"/>
    <w:rsid w:val="000C2A7D"/>
    <w:rsid w:val="000D5A55"/>
    <w:rsid w:val="000E0415"/>
    <w:rsid w:val="000E233A"/>
    <w:rsid w:val="000E7EB0"/>
    <w:rsid w:val="000F5D2C"/>
    <w:rsid w:val="000F7715"/>
    <w:rsid w:val="001022EF"/>
    <w:rsid w:val="0010324A"/>
    <w:rsid w:val="00103E99"/>
    <w:rsid w:val="00125674"/>
    <w:rsid w:val="00140040"/>
    <w:rsid w:val="0014401A"/>
    <w:rsid w:val="00145C7C"/>
    <w:rsid w:val="00150901"/>
    <w:rsid w:val="00156B99"/>
    <w:rsid w:val="0015713B"/>
    <w:rsid w:val="00161037"/>
    <w:rsid w:val="00166124"/>
    <w:rsid w:val="00167F20"/>
    <w:rsid w:val="0017009E"/>
    <w:rsid w:val="00172600"/>
    <w:rsid w:val="001765D7"/>
    <w:rsid w:val="00176739"/>
    <w:rsid w:val="00184DDA"/>
    <w:rsid w:val="001874B4"/>
    <w:rsid w:val="001900CD"/>
    <w:rsid w:val="00193D85"/>
    <w:rsid w:val="0019444B"/>
    <w:rsid w:val="001A0452"/>
    <w:rsid w:val="001A3481"/>
    <w:rsid w:val="001A4D53"/>
    <w:rsid w:val="001A5F15"/>
    <w:rsid w:val="001B4B04"/>
    <w:rsid w:val="001B5875"/>
    <w:rsid w:val="001C3A25"/>
    <w:rsid w:val="001C4B28"/>
    <w:rsid w:val="001C4B9C"/>
    <w:rsid w:val="001C6663"/>
    <w:rsid w:val="001C7895"/>
    <w:rsid w:val="001D15C4"/>
    <w:rsid w:val="001D26DF"/>
    <w:rsid w:val="001D312D"/>
    <w:rsid w:val="001E0DF6"/>
    <w:rsid w:val="001E294F"/>
    <w:rsid w:val="001E583F"/>
    <w:rsid w:val="001F12DF"/>
    <w:rsid w:val="001F1599"/>
    <w:rsid w:val="001F1961"/>
    <w:rsid w:val="001F19C4"/>
    <w:rsid w:val="001F6B91"/>
    <w:rsid w:val="001F7A8B"/>
    <w:rsid w:val="002043F0"/>
    <w:rsid w:val="002060B9"/>
    <w:rsid w:val="00211E0B"/>
    <w:rsid w:val="00215A1B"/>
    <w:rsid w:val="00216BB2"/>
    <w:rsid w:val="00222F2C"/>
    <w:rsid w:val="00230496"/>
    <w:rsid w:val="00232575"/>
    <w:rsid w:val="0023589F"/>
    <w:rsid w:val="00247258"/>
    <w:rsid w:val="00250356"/>
    <w:rsid w:val="002565C8"/>
    <w:rsid w:val="002574B9"/>
    <w:rsid w:val="00257CAC"/>
    <w:rsid w:val="00264807"/>
    <w:rsid w:val="002815FC"/>
    <w:rsid w:val="00295F1A"/>
    <w:rsid w:val="002974E9"/>
    <w:rsid w:val="002A214F"/>
    <w:rsid w:val="002A6D75"/>
    <w:rsid w:val="002A7F94"/>
    <w:rsid w:val="002B109A"/>
    <w:rsid w:val="002B16A1"/>
    <w:rsid w:val="002B400C"/>
    <w:rsid w:val="002C1973"/>
    <w:rsid w:val="002C3A37"/>
    <w:rsid w:val="002C4661"/>
    <w:rsid w:val="002C57D6"/>
    <w:rsid w:val="002C6D45"/>
    <w:rsid w:val="002D1828"/>
    <w:rsid w:val="002D4CF0"/>
    <w:rsid w:val="002D6E53"/>
    <w:rsid w:val="002D743E"/>
    <w:rsid w:val="002E2296"/>
    <w:rsid w:val="002E23C9"/>
    <w:rsid w:val="002E6087"/>
    <w:rsid w:val="002E6DB4"/>
    <w:rsid w:val="002F024B"/>
    <w:rsid w:val="002F046D"/>
    <w:rsid w:val="003007E7"/>
    <w:rsid w:val="00301764"/>
    <w:rsid w:val="00302B3E"/>
    <w:rsid w:val="003229D8"/>
    <w:rsid w:val="00323AD2"/>
    <w:rsid w:val="0032508A"/>
    <w:rsid w:val="003335B4"/>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806F0"/>
    <w:rsid w:val="00382512"/>
    <w:rsid w:val="00382789"/>
    <w:rsid w:val="0038499B"/>
    <w:rsid w:val="003A1C51"/>
    <w:rsid w:val="003A46BB"/>
    <w:rsid w:val="003A4EC7"/>
    <w:rsid w:val="003A550E"/>
    <w:rsid w:val="003A7295"/>
    <w:rsid w:val="003B115E"/>
    <w:rsid w:val="003B1F60"/>
    <w:rsid w:val="003B3A7E"/>
    <w:rsid w:val="003B4643"/>
    <w:rsid w:val="003C2CC4"/>
    <w:rsid w:val="003C3176"/>
    <w:rsid w:val="003C7026"/>
    <w:rsid w:val="003D4B23"/>
    <w:rsid w:val="003D58A1"/>
    <w:rsid w:val="003D6C76"/>
    <w:rsid w:val="003E278A"/>
    <w:rsid w:val="003E3D94"/>
    <w:rsid w:val="003E65DE"/>
    <w:rsid w:val="004019C8"/>
    <w:rsid w:val="004032CF"/>
    <w:rsid w:val="00413520"/>
    <w:rsid w:val="00414F7A"/>
    <w:rsid w:val="00431D4D"/>
    <w:rsid w:val="004325CB"/>
    <w:rsid w:val="00433A82"/>
    <w:rsid w:val="00440A07"/>
    <w:rsid w:val="00456441"/>
    <w:rsid w:val="00462880"/>
    <w:rsid w:val="0047298C"/>
    <w:rsid w:val="0047429E"/>
    <w:rsid w:val="00476F24"/>
    <w:rsid w:val="0048402E"/>
    <w:rsid w:val="004909E7"/>
    <w:rsid w:val="0049311D"/>
    <w:rsid w:val="004B2A91"/>
    <w:rsid w:val="004B45B0"/>
    <w:rsid w:val="004B7EA2"/>
    <w:rsid w:val="004C55B0"/>
    <w:rsid w:val="004D51F6"/>
    <w:rsid w:val="004D63B1"/>
    <w:rsid w:val="004E4179"/>
    <w:rsid w:val="004E7160"/>
    <w:rsid w:val="004F3F8F"/>
    <w:rsid w:val="004F6BA0"/>
    <w:rsid w:val="00503BEA"/>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73297"/>
    <w:rsid w:val="0058325E"/>
    <w:rsid w:val="00584173"/>
    <w:rsid w:val="005850DE"/>
    <w:rsid w:val="00595520"/>
    <w:rsid w:val="005A0287"/>
    <w:rsid w:val="005A44B9"/>
    <w:rsid w:val="005A548A"/>
    <w:rsid w:val="005B1BA0"/>
    <w:rsid w:val="005B3DB3"/>
    <w:rsid w:val="005C58F0"/>
    <w:rsid w:val="005C700B"/>
    <w:rsid w:val="005D15CA"/>
    <w:rsid w:val="005D1867"/>
    <w:rsid w:val="005D2C39"/>
    <w:rsid w:val="005D390C"/>
    <w:rsid w:val="005E6AAF"/>
    <w:rsid w:val="005F3066"/>
    <w:rsid w:val="005F3E61"/>
    <w:rsid w:val="005F51F6"/>
    <w:rsid w:val="005F69C7"/>
    <w:rsid w:val="005F7732"/>
    <w:rsid w:val="00604DDD"/>
    <w:rsid w:val="006115CC"/>
    <w:rsid w:val="00611FC4"/>
    <w:rsid w:val="00613302"/>
    <w:rsid w:val="006176FB"/>
    <w:rsid w:val="0062380F"/>
    <w:rsid w:val="0062564C"/>
    <w:rsid w:val="00630FCB"/>
    <w:rsid w:val="00632F10"/>
    <w:rsid w:val="0064017F"/>
    <w:rsid w:val="00640B26"/>
    <w:rsid w:val="00642312"/>
    <w:rsid w:val="00642502"/>
    <w:rsid w:val="00651A29"/>
    <w:rsid w:val="006643C6"/>
    <w:rsid w:val="00667D6B"/>
    <w:rsid w:val="006770B2"/>
    <w:rsid w:val="00682407"/>
    <w:rsid w:val="006853B3"/>
    <w:rsid w:val="006940E1"/>
    <w:rsid w:val="006A1D39"/>
    <w:rsid w:val="006A3C72"/>
    <w:rsid w:val="006A7392"/>
    <w:rsid w:val="006A7FC9"/>
    <w:rsid w:val="006B03A1"/>
    <w:rsid w:val="006B67D9"/>
    <w:rsid w:val="006B6FE3"/>
    <w:rsid w:val="006C5535"/>
    <w:rsid w:val="006D0589"/>
    <w:rsid w:val="006D513E"/>
    <w:rsid w:val="006E564B"/>
    <w:rsid w:val="006E7154"/>
    <w:rsid w:val="006F0884"/>
    <w:rsid w:val="006F5B97"/>
    <w:rsid w:val="007003CD"/>
    <w:rsid w:val="00703A6D"/>
    <w:rsid w:val="0070701E"/>
    <w:rsid w:val="0070702F"/>
    <w:rsid w:val="007105E3"/>
    <w:rsid w:val="0071447C"/>
    <w:rsid w:val="00714B5C"/>
    <w:rsid w:val="00715BE5"/>
    <w:rsid w:val="0072632A"/>
    <w:rsid w:val="007358E8"/>
    <w:rsid w:val="00736ECE"/>
    <w:rsid w:val="0074533B"/>
    <w:rsid w:val="00762EA6"/>
    <w:rsid w:val="0076432E"/>
    <w:rsid w:val="007643BC"/>
    <w:rsid w:val="00764F01"/>
    <w:rsid w:val="00770846"/>
    <w:rsid w:val="007810E1"/>
    <w:rsid w:val="00781D93"/>
    <w:rsid w:val="00790877"/>
    <w:rsid w:val="007942D2"/>
    <w:rsid w:val="007959FE"/>
    <w:rsid w:val="00795E37"/>
    <w:rsid w:val="007A0CF1"/>
    <w:rsid w:val="007A38B0"/>
    <w:rsid w:val="007A7CC0"/>
    <w:rsid w:val="007B5DDD"/>
    <w:rsid w:val="007B614B"/>
    <w:rsid w:val="007B6A61"/>
    <w:rsid w:val="007B6BA5"/>
    <w:rsid w:val="007C3390"/>
    <w:rsid w:val="007C42D8"/>
    <w:rsid w:val="007C4F4B"/>
    <w:rsid w:val="007C68C8"/>
    <w:rsid w:val="007D5759"/>
    <w:rsid w:val="007D6D44"/>
    <w:rsid w:val="007D7362"/>
    <w:rsid w:val="007E0763"/>
    <w:rsid w:val="007E36CB"/>
    <w:rsid w:val="007E4914"/>
    <w:rsid w:val="007F2E11"/>
    <w:rsid w:val="007F406E"/>
    <w:rsid w:val="007F546E"/>
    <w:rsid w:val="007F5CE2"/>
    <w:rsid w:val="007F6611"/>
    <w:rsid w:val="00803B7F"/>
    <w:rsid w:val="00810BAC"/>
    <w:rsid w:val="008175E9"/>
    <w:rsid w:val="008203B2"/>
    <w:rsid w:val="0082405C"/>
    <w:rsid w:val="008242D7"/>
    <w:rsid w:val="00825578"/>
    <w:rsid w:val="0082577B"/>
    <w:rsid w:val="00830D15"/>
    <w:rsid w:val="0083344C"/>
    <w:rsid w:val="00834DF7"/>
    <w:rsid w:val="00840627"/>
    <w:rsid w:val="00843148"/>
    <w:rsid w:val="008558E7"/>
    <w:rsid w:val="0086054B"/>
    <w:rsid w:val="00866893"/>
    <w:rsid w:val="00866F02"/>
    <w:rsid w:val="00867D18"/>
    <w:rsid w:val="008707F8"/>
    <w:rsid w:val="00871F9A"/>
    <w:rsid w:val="00871FD5"/>
    <w:rsid w:val="00876B8E"/>
    <w:rsid w:val="0088172E"/>
    <w:rsid w:val="00881EFA"/>
    <w:rsid w:val="00883E28"/>
    <w:rsid w:val="00887A7D"/>
    <w:rsid w:val="0089256A"/>
    <w:rsid w:val="008979B1"/>
    <w:rsid w:val="008A57C8"/>
    <w:rsid w:val="008A6792"/>
    <w:rsid w:val="008A6B25"/>
    <w:rsid w:val="008A6C4F"/>
    <w:rsid w:val="008A7787"/>
    <w:rsid w:val="008B389E"/>
    <w:rsid w:val="008B41F4"/>
    <w:rsid w:val="008B59E3"/>
    <w:rsid w:val="008C5B2D"/>
    <w:rsid w:val="008C5BCB"/>
    <w:rsid w:val="008C6C22"/>
    <w:rsid w:val="008D045E"/>
    <w:rsid w:val="008D0D4F"/>
    <w:rsid w:val="008D3F25"/>
    <w:rsid w:val="008D4D82"/>
    <w:rsid w:val="008E0E09"/>
    <w:rsid w:val="008E0E46"/>
    <w:rsid w:val="008E5A5D"/>
    <w:rsid w:val="008E6C9A"/>
    <w:rsid w:val="008E7116"/>
    <w:rsid w:val="008F143B"/>
    <w:rsid w:val="008F33C4"/>
    <w:rsid w:val="008F3882"/>
    <w:rsid w:val="008F3C40"/>
    <w:rsid w:val="008F4B7C"/>
    <w:rsid w:val="008F4C60"/>
    <w:rsid w:val="00904D63"/>
    <w:rsid w:val="00906BFE"/>
    <w:rsid w:val="00914DC3"/>
    <w:rsid w:val="00915C95"/>
    <w:rsid w:val="00916B9C"/>
    <w:rsid w:val="00924CF0"/>
    <w:rsid w:val="00926E47"/>
    <w:rsid w:val="009324AE"/>
    <w:rsid w:val="009356DA"/>
    <w:rsid w:val="00945B24"/>
    <w:rsid w:val="00946D3D"/>
    <w:rsid w:val="00946EAC"/>
    <w:rsid w:val="00947162"/>
    <w:rsid w:val="00953163"/>
    <w:rsid w:val="009601FF"/>
    <w:rsid w:val="0096068B"/>
    <w:rsid w:val="00960D5D"/>
    <w:rsid w:val="009610D0"/>
    <w:rsid w:val="00962229"/>
    <w:rsid w:val="0096375C"/>
    <w:rsid w:val="009662E6"/>
    <w:rsid w:val="0097095E"/>
    <w:rsid w:val="00971623"/>
    <w:rsid w:val="00974F7C"/>
    <w:rsid w:val="00980F57"/>
    <w:rsid w:val="00982DDC"/>
    <w:rsid w:val="0098592B"/>
    <w:rsid w:val="00985FC4"/>
    <w:rsid w:val="00986DFE"/>
    <w:rsid w:val="00990766"/>
    <w:rsid w:val="00991261"/>
    <w:rsid w:val="0099198F"/>
    <w:rsid w:val="00992C68"/>
    <w:rsid w:val="0099552C"/>
    <w:rsid w:val="00995FA1"/>
    <w:rsid w:val="009964C4"/>
    <w:rsid w:val="009A7B81"/>
    <w:rsid w:val="009C144C"/>
    <w:rsid w:val="009C59B9"/>
    <w:rsid w:val="009D01C0"/>
    <w:rsid w:val="009D0FD7"/>
    <w:rsid w:val="009D6A08"/>
    <w:rsid w:val="009E0A16"/>
    <w:rsid w:val="009E7607"/>
    <w:rsid w:val="009E7970"/>
    <w:rsid w:val="009F2EAC"/>
    <w:rsid w:val="009F57E3"/>
    <w:rsid w:val="00A00D3D"/>
    <w:rsid w:val="00A05ED3"/>
    <w:rsid w:val="00A07EBB"/>
    <w:rsid w:val="00A10F4F"/>
    <w:rsid w:val="00A11067"/>
    <w:rsid w:val="00A138AB"/>
    <w:rsid w:val="00A1704A"/>
    <w:rsid w:val="00A23E9E"/>
    <w:rsid w:val="00A40020"/>
    <w:rsid w:val="00A41BB8"/>
    <w:rsid w:val="00A425EB"/>
    <w:rsid w:val="00A45CB7"/>
    <w:rsid w:val="00A47439"/>
    <w:rsid w:val="00A72F22"/>
    <w:rsid w:val="00A733BC"/>
    <w:rsid w:val="00A748A6"/>
    <w:rsid w:val="00A749C1"/>
    <w:rsid w:val="00A76A69"/>
    <w:rsid w:val="00A77D0C"/>
    <w:rsid w:val="00A824E7"/>
    <w:rsid w:val="00A865A7"/>
    <w:rsid w:val="00A879A4"/>
    <w:rsid w:val="00A910B4"/>
    <w:rsid w:val="00A96696"/>
    <w:rsid w:val="00A976DD"/>
    <w:rsid w:val="00AA0FF8"/>
    <w:rsid w:val="00AA3567"/>
    <w:rsid w:val="00AB2CE7"/>
    <w:rsid w:val="00AC0F2C"/>
    <w:rsid w:val="00AC502A"/>
    <w:rsid w:val="00AC7298"/>
    <w:rsid w:val="00AF3A98"/>
    <w:rsid w:val="00AF58C1"/>
    <w:rsid w:val="00B01321"/>
    <w:rsid w:val="00B03E68"/>
    <w:rsid w:val="00B05D2C"/>
    <w:rsid w:val="00B06643"/>
    <w:rsid w:val="00B133BB"/>
    <w:rsid w:val="00B15055"/>
    <w:rsid w:val="00B17FC5"/>
    <w:rsid w:val="00B2175D"/>
    <w:rsid w:val="00B27044"/>
    <w:rsid w:val="00B30179"/>
    <w:rsid w:val="00B3428C"/>
    <w:rsid w:val="00B37B15"/>
    <w:rsid w:val="00B4482F"/>
    <w:rsid w:val="00B45C02"/>
    <w:rsid w:val="00B4691D"/>
    <w:rsid w:val="00B5114F"/>
    <w:rsid w:val="00B609E7"/>
    <w:rsid w:val="00B628EC"/>
    <w:rsid w:val="00B62EEE"/>
    <w:rsid w:val="00B63F27"/>
    <w:rsid w:val="00B70F5A"/>
    <w:rsid w:val="00B72A1E"/>
    <w:rsid w:val="00B80D50"/>
    <w:rsid w:val="00B81E12"/>
    <w:rsid w:val="00B8509D"/>
    <w:rsid w:val="00B9110C"/>
    <w:rsid w:val="00BA339B"/>
    <w:rsid w:val="00BB2862"/>
    <w:rsid w:val="00BB3D9E"/>
    <w:rsid w:val="00BC1E7E"/>
    <w:rsid w:val="00BC2E45"/>
    <w:rsid w:val="00BC3E26"/>
    <w:rsid w:val="00BC74E9"/>
    <w:rsid w:val="00BD242C"/>
    <w:rsid w:val="00BE36A9"/>
    <w:rsid w:val="00BE618E"/>
    <w:rsid w:val="00BE7BEC"/>
    <w:rsid w:val="00BF0A5A"/>
    <w:rsid w:val="00BF0E63"/>
    <w:rsid w:val="00BF103C"/>
    <w:rsid w:val="00BF12A3"/>
    <w:rsid w:val="00BF16D7"/>
    <w:rsid w:val="00BF218C"/>
    <w:rsid w:val="00BF2373"/>
    <w:rsid w:val="00C044E2"/>
    <w:rsid w:val="00C048CB"/>
    <w:rsid w:val="00C066F3"/>
    <w:rsid w:val="00C06865"/>
    <w:rsid w:val="00C07CA9"/>
    <w:rsid w:val="00C10783"/>
    <w:rsid w:val="00C11B07"/>
    <w:rsid w:val="00C129D5"/>
    <w:rsid w:val="00C15DC2"/>
    <w:rsid w:val="00C250FE"/>
    <w:rsid w:val="00C31A6C"/>
    <w:rsid w:val="00C36878"/>
    <w:rsid w:val="00C443B6"/>
    <w:rsid w:val="00C44BB0"/>
    <w:rsid w:val="00C45BBB"/>
    <w:rsid w:val="00C463DD"/>
    <w:rsid w:val="00C60D93"/>
    <w:rsid w:val="00C62A7A"/>
    <w:rsid w:val="00C635CB"/>
    <w:rsid w:val="00C70809"/>
    <w:rsid w:val="00C745C3"/>
    <w:rsid w:val="00C805A7"/>
    <w:rsid w:val="00C83923"/>
    <w:rsid w:val="00C9213B"/>
    <w:rsid w:val="00CA2221"/>
    <w:rsid w:val="00CA24A4"/>
    <w:rsid w:val="00CA3137"/>
    <w:rsid w:val="00CA3AF1"/>
    <w:rsid w:val="00CA44E1"/>
    <w:rsid w:val="00CB1981"/>
    <w:rsid w:val="00CB348D"/>
    <w:rsid w:val="00CB34BE"/>
    <w:rsid w:val="00CB4FCE"/>
    <w:rsid w:val="00CB51DE"/>
    <w:rsid w:val="00CB5B76"/>
    <w:rsid w:val="00CB75E6"/>
    <w:rsid w:val="00CB763D"/>
    <w:rsid w:val="00CC0178"/>
    <w:rsid w:val="00CC1589"/>
    <w:rsid w:val="00CC1B3A"/>
    <w:rsid w:val="00CC4E06"/>
    <w:rsid w:val="00CC4EC6"/>
    <w:rsid w:val="00CD1C17"/>
    <w:rsid w:val="00CD2214"/>
    <w:rsid w:val="00CD46F5"/>
    <w:rsid w:val="00CD58A9"/>
    <w:rsid w:val="00CD5FEE"/>
    <w:rsid w:val="00CD6883"/>
    <w:rsid w:val="00CD6C29"/>
    <w:rsid w:val="00CE2428"/>
    <w:rsid w:val="00CE4A8F"/>
    <w:rsid w:val="00CE52ED"/>
    <w:rsid w:val="00CF071D"/>
    <w:rsid w:val="00CF116C"/>
    <w:rsid w:val="00D00745"/>
    <w:rsid w:val="00D03595"/>
    <w:rsid w:val="00D15B04"/>
    <w:rsid w:val="00D2031B"/>
    <w:rsid w:val="00D22806"/>
    <w:rsid w:val="00D231B0"/>
    <w:rsid w:val="00D23EAC"/>
    <w:rsid w:val="00D25EC1"/>
    <w:rsid w:val="00D25FE2"/>
    <w:rsid w:val="00D37DA9"/>
    <w:rsid w:val="00D406A7"/>
    <w:rsid w:val="00D43252"/>
    <w:rsid w:val="00D44D86"/>
    <w:rsid w:val="00D4540B"/>
    <w:rsid w:val="00D50B7D"/>
    <w:rsid w:val="00D52012"/>
    <w:rsid w:val="00D52588"/>
    <w:rsid w:val="00D57536"/>
    <w:rsid w:val="00D6633F"/>
    <w:rsid w:val="00D704E5"/>
    <w:rsid w:val="00D72727"/>
    <w:rsid w:val="00D731DD"/>
    <w:rsid w:val="00D73D7E"/>
    <w:rsid w:val="00D8478F"/>
    <w:rsid w:val="00D871AC"/>
    <w:rsid w:val="00D90395"/>
    <w:rsid w:val="00D90415"/>
    <w:rsid w:val="00D917F9"/>
    <w:rsid w:val="00D978C6"/>
    <w:rsid w:val="00DA0956"/>
    <w:rsid w:val="00DA121A"/>
    <w:rsid w:val="00DA357F"/>
    <w:rsid w:val="00DA3E12"/>
    <w:rsid w:val="00DB5900"/>
    <w:rsid w:val="00DB66FA"/>
    <w:rsid w:val="00DC18AD"/>
    <w:rsid w:val="00DC36B8"/>
    <w:rsid w:val="00DC584A"/>
    <w:rsid w:val="00DD3FE8"/>
    <w:rsid w:val="00DE0CB9"/>
    <w:rsid w:val="00DE178B"/>
    <w:rsid w:val="00DE3B64"/>
    <w:rsid w:val="00DE5105"/>
    <w:rsid w:val="00DF1147"/>
    <w:rsid w:val="00DF1A1E"/>
    <w:rsid w:val="00DF4518"/>
    <w:rsid w:val="00DF45EB"/>
    <w:rsid w:val="00DF5DD1"/>
    <w:rsid w:val="00DF6A82"/>
    <w:rsid w:val="00DF7CAE"/>
    <w:rsid w:val="00E00770"/>
    <w:rsid w:val="00E02011"/>
    <w:rsid w:val="00E1773B"/>
    <w:rsid w:val="00E324A0"/>
    <w:rsid w:val="00E37495"/>
    <w:rsid w:val="00E423C0"/>
    <w:rsid w:val="00E50BC6"/>
    <w:rsid w:val="00E53624"/>
    <w:rsid w:val="00E550E7"/>
    <w:rsid w:val="00E57974"/>
    <w:rsid w:val="00E62965"/>
    <w:rsid w:val="00E6414C"/>
    <w:rsid w:val="00E672F0"/>
    <w:rsid w:val="00E7260F"/>
    <w:rsid w:val="00E82C50"/>
    <w:rsid w:val="00E86772"/>
    <w:rsid w:val="00E8702D"/>
    <w:rsid w:val="00E87C7D"/>
    <w:rsid w:val="00E916A9"/>
    <w:rsid w:val="00E916DE"/>
    <w:rsid w:val="00E9388E"/>
    <w:rsid w:val="00E96630"/>
    <w:rsid w:val="00EA586A"/>
    <w:rsid w:val="00EB5B1B"/>
    <w:rsid w:val="00EC10B9"/>
    <w:rsid w:val="00ED18DC"/>
    <w:rsid w:val="00ED6201"/>
    <w:rsid w:val="00ED7A2A"/>
    <w:rsid w:val="00ED7F40"/>
    <w:rsid w:val="00EE4832"/>
    <w:rsid w:val="00EF1D7F"/>
    <w:rsid w:val="00EF4426"/>
    <w:rsid w:val="00F0137E"/>
    <w:rsid w:val="00F0148F"/>
    <w:rsid w:val="00F05A9C"/>
    <w:rsid w:val="00F21786"/>
    <w:rsid w:val="00F237F4"/>
    <w:rsid w:val="00F347BC"/>
    <w:rsid w:val="00F3742B"/>
    <w:rsid w:val="00F40CCF"/>
    <w:rsid w:val="00F41FDB"/>
    <w:rsid w:val="00F5337D"/>
    <w:rsid w:val="00F5390C"/>
    <w:rsid w:val="00F56D63"/>
    <w:rsid w:val="00F609A9"/>
    <w:rsid w:val="00F6280E"/>
    <w:rsid w:val="00F7472D"/>
    <w:rsid w:val="00F75A2B"/>
    <w:rsid w:val="00F80C99"/>
    <w:rsid w:val="00F867EC"/>
    <w:rsid w:val="00F91B2B"/>
    <w:rsid w:val="00FA28CC"/>
    <w:rsid w:val="00FA3135"/>
    <w:rsid w:val="00FA3269"/>
    <w:rsid w:val="00FB468B"/>
    <w:rsid w:val="00FC03CD"/>
    <w:rsid w:val="00FC0646"/>
    <w:rsid w:val="00FC0826"/>
    <w:rsid w:val="00FC2FC6"/>
    <w:rsid w:val="00FC384A"/>
    <w:rsid w:val="00FC55A7"/>
    <w:rsid w:val="00FC68B7"/>
    <w:rsid w:val="00FD0A90"/>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3C6"/>
    <w:pPr>
      <w:spacing w:after="240"/>
    </w:pPr>
    <w:rPr>
      <w:lang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eastAsia="en-US"/>
    </w:rPr>
  </w:style>
  <w:style w:type="table" w:customStyle="1" w:styleId="TableGrid1">
    <w:name w:val="Table Grid1"/>
    <w:basedOn w:val="TableNormal"/>
    <w:next w:val="TableGrid"/>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rsid w:val="00D6633F"/>
    <w:rPr>
      <w:b/>
      <w:sz w:val="24"/>
      <w:lang w:eastAsia="en-US"/>
    </w:rPr>
  </w:style>
  <w:style w:type="character" w:styleId="Emphasis">
    <w:name w:val="Emphasis"/>
    <w:uiPriority w:val="20"/>
    <w:qFormat/>
    <w:rsid w:val="00A40020"/>
    <w:rPr>
      <w:i/>
      <w:iCs/>
    </w:rPr>
  </w:style>
  <w:style w:type="character" w:styleId="Strong">
    <w:name w:val="Strong"/>
    <w:uiPriority w:val="22"/>
    <w:qFormat/>
    <w:rsid w:val="00A40020"/>
    <w:rPr>
      <w:b/>
      <w:bCs/>
    </w:rPr>
  </w:style>
  <w:style w:type="character" w:customStyle="1" w:styleId="SingleTxtGChar">
    <w:name w:val="_ Single Txt_G Char"/>
    <w:rsid w:val="00A40020"/>
    <w:rPr>
      <w:lang w:val="en-GB" w:eastAsia="en-US"/>
    </w:rPr>
  </w:style>
  <w:style w:type="character" w:customStyle="1" w:styleId="spelle">
    <w:name w:val="spelle"/>
    <w:basedOn w:val="DefaultParagraphFont"/>
    <w:rsid w:val="00A40020"/>
  </w:style>
  <w:style w:type="character" w:customStyle="1" w:styleId="grame">
    <w:name w:val="grame"/>
    <w:basedOn w:val="DefaultParagraphFont"/>
    <w:rsid w:val="00A40020"/>
  </w:style>
  <w:style w:type="paragraph" w:styleId="BodyText">
    <w:name w:val="Body Text"/>
    <w:basedOn w:val="Normal"/>
    <w:next w:val="Normal"/>
    <w:link w:val="BodyTextChar"/>
    <w:rsid w:val="00A40020"/>
    <w:pPr>
      <w:suppressAutoHyphens/>
      <w:spacing w:after="0" w:line="240" w:lineRule="atLeast"/>
    </w:pPr>
  </w:style>
  <w:style w:type="character" w:customStyle="1" w:styleId="BodyTextChar">
    <w:name w:val="Body Text Char"/>
    <w:basedOn w:val="DefaultParagraphFont"/>
    <w:link w:val="BodyText"/>
    <w:rsid w:val="00A40020"/>
    <w:rPr>
      <w:lang w:eastAsia="en-US"/>
    </w:rPr>
  </w:style>
  <w:style w:type="paragraph" w:styleId="E-mailSignature">
    <w:name w:val="E-mail Signature"/>
    <w:basedOn w:val="Normal"/>
    <w:link w:val="E-mailSignatureChar"/>
    <w:rsid w:val="007105E3"/>
    <w:pPr>
      <w:suppressAutoHyphens/>
      <w:spacing w:after="0" w:line="240" w:lineRule="atLeast"/>
    </w:pPr>
  </w:style>
  <w:style w:type="character" w:customStyle="1" w:styleId="E-mailSignatureChar">
    <w:name w:val="E-mail Signature Char"/>
    <w:basedOn w:val="DefaultParagraphFont"/>
    <w:link w:val="E-mailSignature"/>
    <w:rsid w:val="007105E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3C6"/>
    <w:pPr>
      <w:spacing w:after="240"/>
    </w:pPr>
    <w:rPr>
      <w:lang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eastAsia="en-US"/>
    </w:rPr>
  </w:style>
  <w:style w:type="table" w:customStyle="1" w:styleId="TableGrid1">
    <w:name w:val="Table Grid1"/>
    <w:basedOn w:val="TableNormal"/>
    <w:next w:val="TableGrid"/>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rsid w:val="00D6633F"/>
    <w:rPr>
      <w:b/>
      <w:sz w:val="24"/>
      <w:lang w:eastAsia="en-US"/>
    </w:rPr>
  </w:style>
  <w:style w:type="character" w:styleId="Emphasis">
    <w:name w:val="Emphasis"/>
    <w:uiPriority w:val="20"/>
    <w:qFormat/>
    <w:rsid w:val="00A40020"/>
    <w:rPr>
      <w:i/>
      <w:iCs/>
    </w:rPr>
  </w:style>
  <w:style w:type="character" w:styleId="Strong">
    <w:name w:val="Strong"/>
    <w:uiPriority w:val="22"/>
    <w:qFormat/>
    <w:rsid w:val="00A40020"/>
    <w:rPr>
      <w:b/>
      <w:bCs/>
    </w:rPr>
  </w:style>
  <w:style w:type="character" w:customStyle="1" w:styleId="SingleTxtGChar">
    <w:name w:val="_ Single Txt_G Char"/>
    <w:rsid w:val="00A40020"/>
    <w:rPr>
      <w:lang w:val="en-GB" w:eastAsia="en-US"/>
    </w:rPr>
  </w:style>
  <w:style w:type="character" w:customStyle="1" w:styleId="spelle">
    <w:name w:val="spelle"/>
    <w:basedOn w:val="DefaultParagraphFont"/>
    <w:rsid w:val="00A40020"/>
  </w:style>
  <w:style w:type="character" w:customStyle="1" w:styleId="grame">
    <w:name w:val="grame"/>
    <w:basedOn w:val="DefaultParagraphFont"/>
    <w:rsid w:val="00A40020"/>
  </w:style>
  <w:style w:type="paragraph" w:styleId="BodyText">
    <w:name w:val="Body Text"/>
    <w:basedOn w:val="Normal"/>
    <w:next w:val="Normal"/>
    <w:link w:val="BodyTextChar"/>
    <w:rsid w:val="00A40020"/>
    <w:pPr>
      <w:suppressAutoHyphens/>
      <w:spacing w:after="0" w:line="240" w:lineRule="atLeast"/>
    </w:pPr>
  </w:style>
  <w:style w:type="character" w:customStyle="1" w:styleId="BodyTextChar">
    <w:name w:val="Body Text Char"/>
    <w:basedOn w:val="DefaultParagraphFont"/>
    <w:link w:val="BodyText"/>
    <w:rsid w:val="00A40020"/>
    <w:rPr>
      <w:lang w:eastAsia="en-US"/>
    </w:rPr>
  </w:style>
  <w:style w:type="paragraph" w:styleId="E-mailSignature">
    <w:name w:val="E-mail Signature"/>
    <w:basedOn w:val="Normal"/>
    <w:link w:val="E-mailSignatureChar"/>
    <w:rsid w:val="007105E3"/>
    <w:pPr>
      <w:suppressAutoHyphens/>
      <w:spacing w:after="0" w:line="240" w:lineRule="atLeast"/>
    </w:pPr>
  </w:style>
  <w:style w:type="character" w:customStyle="1" w:styleId="E-mailSignatureChar">
    <w:name w:val="E-mail Signature Char"/>
    <w:basedOn w:val="DefaultParagraphFont"/>
    <w:link w:val="E-mailSignature"/>
    <w:rsid w:val="007105E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51420-F7C8-408A-8F85-9F91EB46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1033</Words>
  <Characters>5890</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Berthet</dc:creator>
  <cp:lastModifiedBy>barrio-champeau</cp:lastModifiedBy>
  <cp:revision>4</cp:revision>
  <cp:lastPrinted>2015-09-11T15:02:00Z</cp:lastPrinted>
  <dcterms:created xsi:type="dcterms:W3CDTF">2016-09-09T14:39:00Z</dcterms:created>
  <dcterms:modified xsi:type="dcterms:W3CDTF">2016-09-13T10:19:00Z</dcterms:modified>
</cp:coreProperties>
</file>