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DA" w:rsidRDefault="00102ADA" w:rsidP="00102ADA">
      <w:pPr>
        <w:spacing w:line="240" w:lineRule="auto"/>
        <w:rPr>
          <w:sz w:val="2"/>
        </w:rPr>
        <w:sectPr w:rsidR="00102ADA" w:rsidSect="00102AD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02ADA" w:rsidRDefault="00102ADA" w:rsidP="00102ADA">
      <w:pPr>
        <w:pStyle w:val="H1"/>
        <w:spacing w:after="120"/>
        <w:rPr>
          <w:sz w:val="28"/>
        </w:rPr>
      </w:pPr>
      <w:r>
        <w:rPr>
          <w:sz w:val="28"/>
        </w:rPr>
        <w:lastRenderedPageBreak/>
        <w:t>Commission économique pour l’Europe</w:t>
      </w:r>
    </w:p>
    <w:p w:rsidR="00102ADA" w:rsidRDefault="00102ADA" w:rsidP="00102ADA">
      <w:pPr>
        <w:pStyle w:val="H1"/>
        <w:spacing w:after="120" w:line="300" w:lineRule="exact"/>
        <w:rPr>
          <w:b w:val="0"/>
          <w:sz w:val="28"/>
        </w:rPr>
      </w:pPr>
      <w:r>
        <w:rPr>
          <w:b w:val="0"/>
          <w:sz w:val="28"/>
        </w:rPr>
        <w:t>Comité des transports intérieurs</w:t>
      </w:r>
    </w:p>
    <w:p w:rsidR="00102ADA" w:rsidRDefault="000A3A81" w:rsidP="00AD496C">
      <w:pPr>
        <w:pStyle w:val="H1"/>
        <w:spacing w:line="300" w:lineRule="exact"/>
        <w:rPr>
          <w:sz w:val="28"/>
          <w:lang w:val="fr-CH"/>
        </w:rPr>
      </w:pPr>
      <w:r w:rsidRPr="000A3A81">
        <w:rPr>
          <w:sz w:val="28"/>
          <w:lang w:val="fr-CH"/>
        </w:rPr>
        <w:t xml:space="preserve">Groupe de travail des transports </w:t>
      </w:r>
      <w:r>
        <w:rPr>
          <w:sz w:val="28"/>
          <w:lang w:val="fr-CH"/>
        </w:rPr>
        <w:br/>
      </w:r>
      <w:r w:rsidRPr="000A3A81">
        <w:rPr>
          <w:sz w:val="28"/>
          <w:lang w:val="fr-CH"/>
        </w:rPr>
        <w:t>de marchandises dangereuses</w:t>
      </w:r>
    </w:p>
    <w:p w:rsidR="000A3A81" w:rsidRPr="000A3A81" w:rsidRDefault="000A3A81" w:rsidP="000A3A81">
      <w:pPr>
        <w:spacing w:line="120" w:lineRule="exact"/>
        <w:rPr>
          <w:sz w:val="10"/>
          <w:lang w:val="fr-CH"/>
        </w:rPr>
      </w:pPr>
    </w:p>
    <w:p w:rsidR="000A3A81" w:rsidRPr="000A3A81" w:rsidRDefault="000A3A81" w:rsidP="000A3A81">
      <w:pPr>
        <w:pStyle w:val="H23"/>
        <w:rPr>
          <w:lang w:val="fr-CH"/>
        </w:rPr>
      </w:pPr>
      <w:r w:rsidRPr="000A3A81">
        <w:rPr>
          <w:lang w:val="fr-CH"/>
        </w:rPr>
        <w:t xml:space="preserve">Réunion commune de la Commission d’experts du RID </w:t>
      </w:r>
      <w:r>
        <w:rPr>
          <w:lang w:val="fr-CH"/>
        </w:rPr>
        <w:br/>
      </w:r>
      <w:r w:rsidRPr="000A3A81">
        <w:rPr>
          <w:lang w:val="fr-CH"/>
        </w:rPr>
        <w:t xml:space="preserve">et du Groupe de travail des transports </w:t>
      </w:r>
      <w:r>
        <w:rPr>
          <w:lang w:val="fr-CH"/>
        </w:rPr>
        <w:br/>
      </w:r>
      <w:r w:rsidRPr="000A3A81">
        <w:rPr>
          <w:lang w:val="fr-CH"/>
        </w:rPr>
        <w:t>de marchandises dangereuses</w:t>
      </w:r>
    </w:p>
    <w:p w:rsidR="000A3A81" w:rsidRPr="000A3A81" w:rsidRDefault="000A3A81" w:rsidP="000A3A8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Berne, 14-</w:t>
      </w:r>
      <w:r w:rsidRPr="000A3A81">
        <w:rPr>
          <w:lang w:val="fr-CH"/>
        </w:rPr>
        <w:t>18 mars 2016</w:t>
      </w:r>
    </w:p>
    <w:p w:rsidR="000A3A81" w:rsidRPr="000A3A81" w:rsidRDefault="000A3A81" w:rsidP="000A3A8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Pr="000A3A81">
        <w:rPr>
          <w:lang w:val="fr-CH"/>
        </w:rPr>
        <w:t>9 de l’ordre du jour provisoire</w:t>
      </w:r>
    </w:p>
    <w:p w:rsidR="000A3A81" w:rsidRDefault="000A3A81" w:rsidP="000A3A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A3A81">
        <w:rPr>
          <w:lang w:val="fr-CH"/>
        </w:rPr>
        <w:t>Questions diverses</w:t>
      </w:r>
    </w:p>
    <w:p w:rsidR="000A3A81" w:rsidRPr="000A3A81" w:rsidRDefault="000A3A81" w:rsidP="000A3A81">
      <w:pPr>
        <w:spacing w:line="120" w:lineRule="exact"/>
        <w:rPr>
          <w:sz w:val="10"/>
          <w:lang w:val="fr-CH"/>
        </w:rPr>
      </w:pPr>
    </w:p>
    <w:p w:rsidR="000A3A81" w:rsidRPr="000A3A81" w:rsidRDefault="000A3A81" w:rsidP="000A3A81">
      <w:pPr>
        <w:spacing w:line="120" w:lineRule="exact"/>
        <w:rPr>
          <w:sz w:val="10"/>
          <w:lang w:val="fr-CH"/>
        </w:rPr>
      </w:pPr>
    </w:p>
    <w:p w:rsidR="000A3A81" w:rsidRPr="000A3A81" w:rsidRDefault="000A3A81" w:rsidP="000A3A81">
      <w:pPr>
        <w:spacing w:line="120" w:lineRule="exact"/>
        <w:rPr>
          <w:sz w:val="10"/>
          <w:lang w:val="fr-CH"/>
        </w:rPr>
      </w:pPr>
    </w:p>
    <w:p w:rsidR="000A3A81" w:rsidRDefault="000A3A81" w:rsidP="000A3A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0A3A81">
        <w:rPr>
          <w:lang w:val="fr-CH"/>
        </w:rPr>
        <w:t xml:space="preserve">Transport de récipients à pression agréés par le Département des transports des </w:t>
      </w:r>
      <w:r w:rsidRPr="000A3A81">
        <w:rPr>
          <w:lang w:val="fr-FR"/>
        </w:rPr>
        <w:t>États</w:t>
      </w:r>
      <w:r w:rsidRPr="000A3A81">
        <w:rPr>
          <w:lang w:val="fr-CH"/>
        </w:rPr>
        <w:t>-Unis d’Amérique (DOT)</w:t>
      </w:r>
    </w:p>
    <w:p w:rsidR="000A3A81" w:rsidRPr="000A3A81" w:rsidRDefault="000A3A81" w:rsidP="000A3A81">
      <w:pPr>
        <w:pStyle w:val="SingleTxt"/>
        <w:spacing w:after="0" w:line="120" w:lineRule="exact"/>
        <w:rPr>
          <w:sz w:val="10"/>
          <w:lang w:val="fr-CH"/>
        </w:rPr>
      </w:pPr>
    </w:p>
    <w:p w:rsidR="000A3A81" w:rsidRPr="000A3A81" w:rsidRDefault="000A3A81" w:rsidP="000A3A81">
      <w:pPr>
        <w:pStyle w:val="SingleTxt"/>
        <w:spacing w:after="0" w:line="120" w:lineRule="exact"/>
        <w:rPr>
          <w:sz w:val="10"/>
          <w:lang w:val="fr-CH"/>
        </w:rPr>
      </w:pPr>
    </w:p>
    <w:p w:rsidR="000A3A81" w:rsidRDefault="000A3A81" w:rsidP="000A3A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 xml:space="preserve">Communication de l’Association européenne </w:t>
      </w:r>
      <w:r>
        <w:rPr>
          <w:lang w:val="fr-CH"/>
        </w:rPr>
        <w:br/>
      </w:r>
      <w:r w:rsidRPr="000A3A81">
        <w:rPr>
          <w:lang w:val="fr-CH"/>
        </w:rPr>
        <w:t>des gaz industriels (EIGA)</w:t>
      </w:r>
      <w:r w:rsidRPr="000A3A81">
        <w:rPr>
          <w:rStyle w:val="FootnoteReference"/>
          <w:b w:val="0"/>
          <w:sz w:val="20"/>
          <w:szCs w:val="20"/>
          <w:lang w:val="fr-CH"/>
        </w:rPr>
        <w:footnoteReference w:id="1"/>
      </w:r>
      <w:r w:rsidRPr="00AD496C">
        <w:rPr>
          <w:b w:val="0"/>
          <w:position w:val="6"/>
          <w:sz w:val="20"/>
          <w:szCs w:val="20"/>
        </w:rPr>
        <w:t>,</w:t>
      </w:r>
      <w:r w:rsidRPr="000A3A81">
        <w:rPr>
          <w:lang w:val="fr-CH"/>
        </w:rPr>
        <w:t xml:space="preserve"> </w:t>
      </w:r>
      <w:r w:rsidRPr="000A3A81">
        <w:rPr>
          <w:rStyle w:val="FootnoteReference"/>
          <w:b w:val="0"/>
          <w:sz w:val="20"/>
          <w:szCs w:val="20"/>
          <w:lang w:val="fr-CH"/>
        </w:rPr>
        <w:footnoteReference w:id="2"/>
      </w:r>
    </w:p>
    <w:p w:rsidR="000A3A81" w:rsidRPr="000A3A81" w:rsidRDefault="000A3A81" w:rsidP="000A3A81">
      <w:pPr>
        <w:pStyle w:val="SingleTxt"/>
        <w:spacing w:after="0" w:line="120" w:lineRule="exact"/>
        <w:rPr>
          <w:sz w:val="10"/>
          <w:lang w:val="fr-CH"/>
        </w:rPr>
      </w:pPr>
    </w:p>
    <w:p w:rsidR="000A3A81" w:rsidRPr="000A3A81" w:rsidRDefault="000A3A81" w:rsidP="000A3A81">
      <w:pPr>
        <w:pStyle w:val="SingleTxt"/>
        <w:spacing w:after="0" w:line="120" w:lineRule="exact"/>
        <w:rPr>
          <w:sz w:val="10"/>
          <w:lang w:val="fr-CH"/>
        </w:rPr>
      </w:pPr>
    </w:p>
    <w:p w:rsidR="000A3A81" w:rsidRDefault="000A3A81" w:rsidP="000A3A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A3A81">
        <w:rPr>
          <w:lang w:val="fr-CH"/>
        </w:rPr>
        <w:tab/>
        <w:t>Introduction</w:t>
      </w:r>
    </w:p>
    <w:p w:rsidR="000A3A81" w:rsidRPr="000A3A81" w:rsidRDefault="000A3A81" w:rsidP="000A3A81">
      <w:pPr>
        <w:pStyle w:val="SingleTxt"/>
        <w:spacing w:after="0" w:line="120" w:lineRule="exact"/>
        <w:rPr>
          <w:sz w:val="10"/>
          <w:lang w:val="fr-CH"/>
        </w:rPr>
      </w:pPr>
    </w:p>
    <w:p w:rsidR="000A3A81" w:rsidRPr="000A3A81" w:rsidRDefault="000A3A81" w:rsidP="000A3A81">
      <w:pPr>
        <w:pStyle w:val="SingleTxt"/>
        <w:spacing w:after="0" w:line="120" w:lineRule="exact"/>
        <w:rPr>
          <w:sz w:val="10"/>
          <w:lang w:val="fr-CH"/>
        </w:rPr>
      </w:pPr>
    </w:p>
    <w:p w:rsidR="000A3A81" w:rsidRPr="000A3A81" w:rsidRDefault="000A3A81" w:rsidP="000A3A81">
      <w:pPr>
        <w:pStyle w:val="SingleTxt"/>
        <w:numPr>
          <w:ilvl w:val="0"/>
          <w:numId w:val="6"/>
        </w:numPr>
        <w:tabs>
          <w:tab w:val="left" w:pos="1742"/>
        </w:tabs>
        <w:rPr>
          <w:lang w:val="fr-CH"/>
        </w:rPr>
      </w:pPr>
      <w:r w:rsidRPr="000A3A81">
        <w:rPr>
          <w:lang w:val="fr-CH"/>
        </w:rPr>
        <w:t>Lors de la Réunion commune de septembre 2015, le représentant de l’EIGA a soumis le document informel INF.33 résumant les progrès accomplis en matière de transport des récipients à pression agréés par le Département des transports des États-Unis d’Amérique (DOT).</w:t>
      </w:r>
    </w:p>
    <w:p w:rsidR="000A3A81" w:rsidRPr="000A3A81" w:rsidRDefault="000A3A81" w:rsidP="000A3A81">
      <w:pPr>
        <w:pStyle w:val="SingleTxt"/>
        <w:numPr>
          <w:ilvl w:val="0"/>
          <w:numId w:val="6"/>
        </w:numPr>
        <w:tabs>
          <w:tab w:val="left" w:pos="1742"/>
        </w:tabs>
        <w:rPr>
          <w:lang w:val="fr-CH"/>
        </w:rPr>
      </w:pPr>
      <w:r w:rsidRPr="000A3A81">
        <w:rPr>
          <w:lang w:val="fr-CH"/>
        </w:rPr>
        <w:t>Il s’agissait de donner suite au document informel ECE/TRANS/WP.15/AC.1/</w:t>
      </w:r>
      <w:r w:rsidR="00276E35">
        <w:rPr>
          <w:lang w:val="fr-CH"/>
        </w:rPr>
        <w:t xml:space="preserve"> </w:t>
      </w:r>
      <w:r w:rsidRPr="000A3A81">
        <w:rPr>
          <w:lang w:val="fr-CH"/>
        </w:rPr>
        <w:t>2015/4 présenté à la session de mars 2015 de la Réunion commune, où l’EIGA avait engagé la discussion sur la question de savoir s’il convenait de modifier le texte du RID/ADR ou de conclure un nouvel accord multilatéral. Suite aux débats qui ont eu lieu lors de la Réunion commune de mars et à l’intention exprimée par l’EIGA et la CGA de s’associer pour demander au DOT de mettre en place une réglementation permettant la reconnaissance aux États-Unis des récipients à pression agréés par les parties contractantes au RID ou à l’ADR en contrepartie de l’acceptation, pour le transport conforme au RID, à l’ADR et à l’ADN, des récipients à pression agréés par le DOT (Voir le document</w:t>
      </w:r>
      <w:r>
        <w:rPr>
          <w:lang w:val="fr-CH"/>
        </w:rPr>
        <w:t xml:space="preserve"> ECE/TRANS/WP.15/AC.1/138, par. </w:t>
      </w:r>
      <w:r w:rsidR="00F505C6">
        <w:rPr>
          <w:lang w:val="fr-CH"/>
        </w:rPr>
        <w:t>43-47.</w:t>
      </w:r>
    </w:p>
    <w:p w:rsidR="000A3A81" w:rsidRPr="000A3A81" w:rsidRDefault="000A3A81" w:rsidP="000A3A81">
      <w:pPr>
        <w:pStyle w:val="SingleTxt"/>
        <w:numPr>
          <w:ilvl w:val="0"/>
          <w:numId w:val="6"/>
        </w:numPr>
        <w:tabs>
          <w:tab w:val="left" w:pos="1742"/>
        </w:tabs>
        <w:rPr>
          <w:lang w:val="fr-CH"/>
        </w:rPr>
      </w:pPr>
      <w:r w:rsidRPr="000A3A81">
        <w:rPr>
          <w:lang w:val="fr-CH"/>
        </w:rPr>
        <w:lastRenderedPageBreak/>
        <w:t xml:space="preserve">Lors de la Réunion commune de septembre, plusieurs délégations ont fait remarquer que le calendrier de cette procédure restait incertain, tout comme le résultat escompté. Par ailleurs, la reconduction de l’accord multilatéral M237 permettant l’utilisation de récipients DOT pour le transport de gaz entre pays parties contractantes au RID ou à l’ADR </w:t>
      </w:r>
      <w:r w:rsidR="00651E4B">
        <w:rPr>
          <w:lang w:val="fr-CH"/>
        </w:rPr>
        <w:t>–</w:t>
      </w:r>
      <w:r w:rsidRPr="000A3A81">
        <w:rPr>
          <w:lang w:val="fr-CH"/>
        </w:rPr>
        <w:t xml:space="preserve"> qui ne compte actuellement que quinze signataires </w:t>
      </w:r>
      <w:r w:rsidR="00C97B3A">
        <w:rPr>
          <w:lang w:val="fr-CH"/>
        </w:rPr>
        <w:t>–</w:t>
      </w:r>
      <w:r w:rsidRPr="000A3A81">
        <w:rPr>
          <w:lang w:val="fr-CH"/>
        </w:rPr>
        <w:t xml:space="preserve"> relève uniquement de la volonté de chaque pays éventuellement intéressé.</w:t>
      </w:r>
    </w:p>
    <w:p w:rsidR="000A3A81" w:rsidRPr="000A3A81" w:rsidRDefault="000A3A81" w:rsidP="00EB2E2D">
      <w:pPr>
        <w:pStyle w:val="SingleTxt"/>
        <w:keepNext/>
        <w:keepLines/>
        <w:numPr>
          <w:ilvl w:val="0"/>
          <w:numId w:val="6"/>
        </w:numPr>
        <w:tabs>
          <w:tab w:val="left" w:pos="1742"/>
        </w:tabs>
        <w:rPr>
          <w:lang w:val="fr-CH"/>
        </w:rPr>
      </w:pPr>
      <w:r w:rsidRPr="000A3A81">
        <w:rPr>
          <w:lang w:val="fr-CH"/>
        </w:rPr>
        <w:t>Plusieurs délégations ont indiqué qu’elles souhaiteraient davantage d’informations de la part de l’industrie sur les raisons de cette situation qui perdure depuis de longues années, à savoir par exemple</w:t>
      </w:r>
      <w:r w:rsidR="00C97B3A">
        <w:rPr>
          <w:lang w:val="fr-CH"/>
        </w:rPr>
        <w:t> </w:t>
      </w:r>
      <w:r w:rsidRPr="000A3A81">
        <w:rPr>
          <w:lang w:val="fr-CH"/>
        </w:rPr>
        <w:t>:</w:t>
      </w:r>
    </w:p>
    <w:p w:rsidR="000A3A81" w:rsidRPr="000A3A81" w:rsidRDefault="000A3A81" w:rsidP="00C97B3A">
      <w:pPr>
        <w:pStyle w:val="Bullet1"/>
        <w:rPr>
          <w:lang w:val="fr-CH"/>
        </w:rPr>
      </w:pPr>
      <w:r w:rsidRPr="000A3A81">
        <w:rPr>
          <w:lang w:val="fr-CH"/>
        </w:rPr>
        <w:t>Quels sont les gaz concernés;</w:t>
      </w:r>
    </w:p>
    <w:p w:rsidR="000A3A81" w:rsidRPr="000A3A81" w:rsidRDefault="000A3A81" w:rsidP="00C97B3A">
      <w:pPr>
        <w:pStyle w:val="Bullet1"/>
        <w:rPr>
          <w:lang w:val="fr-CH"/>
        </w:rPr>
      </w:pPr>
      <w:r w:rsidRPr="000A3A81">
        <w:rPr>
          <w:lang w:val="fr-CH"/>
        </w:rPr>
        <w:t>Quels sont exactement les obstacles auxquels se heurtent actuellement les échanges transatlantiques en ce qui concerne l’utilisation de récipients RID/ADR, DOT et ONU;</w:t>
      </w:r>
    </w:p>
    <w:p w:rsidR="000A3A81" w:rsidRPr="000A3A81" w:rsidRDefault="000A3A81" w:rsidP="00C97B3A">
      <w:pPr>
        <w:pStyle w:val="Bullet1"/>
        <w:rPr>
          <w:lang w:val="fr-CH"/>
        </w:rPr>
      </w:pPr>
      <w:r w:rsidRPr="000A3A81">
        <w:rPr>
          <w:lang w:val="fr-CH"/>
        </w:rPr>
        <w:t>Quel est le nombre des récipients concernés;</w:t>
      </w:r>
    </w:p>
    <w:p w:rsidR="000A3A81" w:rsidRPr="000A3A81" w:rsidRDefault="000A3A81" w:rsidP="00C97B3A">
      <w:pPr>
        <w:pStyle w:val="Bullet1"/>
        <w:rPr>
          <w:lang w:val="fr-CH"/>
        </w:rPr>
      </w:pPr>
      <w:r w:rsidRPr="000A3A81">
        <w:rPr>
          <w:lang w:val="fr-CH"/>
        </w:rPr>
        <w:t>Quels sont les problèmes liés au remplissage des récipients quand ils sont exportés des États-Unis vers l’Europe ou importées aux États-Unis depuis l’Europe.</w:t>
      </w:r>
    </w:p>
    <w:p w:rsidR="000A3A81" w:rsidRDefault="000A3A81" w:rsidP="00EB2E2D">
      <w:pPr>
        <w:pStyle w:val="SingleTxt"/>
        <w:numPr>
          <w:ilvl w:val="0"/>
          <w:numId w:val="6"/>
        </w:numPr>
        <w:tabs>
          <w:tab w:val="left" w:pos="1742"/>
        </w:tabs>
        <w:rPr>
          <w:lang w:val="fr-CH"/>
        </w:rPr>
      </w:pPr>
      <w:r w:rsidRPr="000A3A81">
        <w:rPr>
          <w:lang w:val="fr-CH"/>
        </w:rPr>
        <w:t>L’EIGA et ses membres se sont employés à réunir les informations demandées, qui sont présentées ci-après. L’EIGA voudrait également attirer l’attention de la Réunion commune sur les travaux qui sont actuellement menés au sein du Sous-Comité d’experts du transport des marchandises dangereuses. Lors de sa réunion, le Sous-Comité a abordé la question de la reconnaissance mutuelle ainsi que celle de l’identification des obstacles. L’EIGA et la CGA ont participé activement à cette discussion, en informant notamment les délégués au Sous-Comité des progrès réalis</w:t>
      </w:r>
      <w:r w:rsidR="00EB2E2D">
        <w:rPr>
          <w:lang w:val="fr-CH"/>
        </w:rPr>
        <w:t>és lors de la Réunion commune.</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A53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Quels sont les gaz concernés?</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Pr="000A3A81" w:rsidRDefault="000A3A81" w:rsidP="00EB2E2D">
      <w:pPr>
        <w:pStyle w:val="SingleTxt"/>
        <w:numPr>
          <w:ilvl w:val="0"/>
          <w:numId w:val="6"/>
        </w:numPr>
        <w:tabs>
          <w:tab w:val="left" w:pos="1742"/>
        </w:tabs>
        <w:rPr>
          <w:lang w:val="fr-CH"/>
        </w:rPr>
      </w:pPr>
      <w:r w:rsidRPr="000A3A81">
        <w:rPr>
          <w:lang w:val="fr-CH"/>
        </w:rPr>
        <w:t xml:space="preserve">Les membres de l’EIGA ont fourni la liste des gaz qu’ils importaient des États-Unis en Europe (voir annexe). Il s’agit de gaz spéciaux qui ne sont pas communément disponibles. Il est à relever que cette liste de gaz n’est pas exhaustive et que de nouveaux composés pas encore mis au point pourraient être appelés à être transportés. </w:t>
      </w:r>
    </w:p>
    <w:p w:rsidR="000A3A81" w:rsidRPr="00A53A86" w:rsidRDefault="000A3A81"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A53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Quel est le nombre des récipients à pression concernés?</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EB2E2D">
      <w:pPr>
        <w:pStyle w:val="SingleTxt"/>
        <w:numPr>
          <w:ilvl w:val="0"/>
          <w:numId w:val="6"/>
        </w:numPr>
        <w:tabs>
          <w:tab w:val="left" w:pos="1742"/>
        </w:tabs>
        <w:rPr>
          <w:lang w:val="fr-CH"/>
        </w:rPr>
      </w:pPr>
      <w:r w:rsidRPr="000A3A81">
        <w:rPr>
          <w:lang w:val="fr-CH"/>
        </w:rPr>
        <w:t>Il ressort des informations communiquées que le nombre de bouteill</w:t>
      </w:r>
      <w:r w:rsidR="00EB2E2D">
        <w:rPr>
          <w:lang w:val="fr-CH"/>
        </w:rPr>
        <w:t>es concernées ne dépasse pas 10 </w:t>
      </w:r>
      <w:r w:rsidRPr="000A3A81">
        <w:rPr>
          <w:lang w:val="fr-CH"/>
        </w:rPr>
        <w:t>000 par an. Sur un nombre total de bouteilles destinées au transport</w:t>
      </w:r>
      <w:r w:rsidR="00EB2E2D">
        <w:rPr>
          <w:lang w:val="fr-CH"/>
        </w:rPr>
        <w:t xml:space="preserve"> de gaz industriels estimé à 35 </w:t>
      </w:r>
      <w:r w:rsidRPr="000A3A81">
        <w:rPr>
          <w:lang w:val="fr-CH"/>
        </w:rPr>
        <w:t xml:space="preserve">millions en Europe, il est certain que ce nombre ne représente qu’un très faible pourcentage. </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A53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Quelles sont les applications?</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Pr="000A3A81" w:rsidRDefault="000A3A81" w:rsidP="00EB2E2D">
      <w:pPr>
        <w:pStyle w:val="SingleTxt"/>
        <w:numPr>
          <w:ilvl w:val="0"/>
          <w:numId w:val="6"/>
        </w:numPr>
        <w:tabs>
          <w:tab w:val="left" w:pos="1742"/>
        </w:tabs>
        <w:rPr>
          <w:lang w:val="fr-CH"/>
        </w:rPr>
      </w:pPr>
      <w:r w:rsidRPr="000A3A81">
        <w:rPr>
          <w:lang w:val="fr-CH"/>
        </w:rPr>
        <w:t>Les membres de l’EIGA ont été en mesure de préciser que les applications des produits dont ils ont connaissance concernent notamment</w:t>
      </w:r>
      <w:r w:rsidR="00EB2E2D">
        <w:rPr>
          <w:lang w:val="fr-CH"/>
        </w:rPr>
        <w:t> </w:t>
      </w:r>
      <w:r w:rsidRPr="000A3A81">
        <w:rPr>
          <w:lang w:val="fr-CH"/>
        </w:rPr>
        <w:t>:</w:t>
      </w:r>
    </w:p>
    <w:p w:rsidR="000A3A81" w:rsidRPr="000A3A81" w:rsidRDefault="000A3A81" w:rsidP="00EB2E2D">
      <w:pPr>
        <w:pStyle w:val="Bullet1"/>
        <w:rPr>
          <w:lang w:val="fr-CH"/>
        </w:rPr>
      </w:pPr>
      <w:r w:rsidRPr="000A3A81">
        <w:rPr>
          <w:lang w:val="fr-CH"/>
        </w:rPr>
        <w:t>Production de fibres de verre</w:t>
      </w:r>
      <w:r w:rsidR="00EB2E2D">
        <w:rPr>
          <w:lang w:val="fr-CH"/>
        </w:rPr>
        <w:t>;</w:t>
      </w:r>
    </w:p>
    <w:p w:rsidR="000A3A81" w:rsidRPr="000A3A81" w:rsidRDefault="000A3A81" w:rsidP="00EB2E2D">
      <w:pPr>
        <w:pStyle w:val="Bullet1"/>
        <w:rPr>
          <w:lang w:val="en-GB"/>
        </w:rPr>
      </w:pPr>
      <w:r w:rsidRPr="000A3A81">
        <w:rPr>
          <w:lang w:val="fr-CH"/>
        </w:rPr>
        <w:t>P</w:t>
      </w:r>
      <w:proofErr w:type="spellStart"/>
      <w:r w:rsidRPr="000A3A81">
        <w:rPr>
          <w:lang w:val="en-GB"/>
        </w:rPr>
        <w:t>roduction</w:t>
      </w:r>
      <w:proofErr w:type="spellEnd"/>
      <w:r w:rsidRPr="000A3A81">
        <w:rPr>
          <w:lang w:val="en-GB"/>
        </w:rPr>
        <w:t xml:space="preserve"> de semi-</w:t>
      </w:r>
      <w:proofErr w:type="spellStart"/>
      <w:r w:rsidRPr="000A3A81">
        <w:rPr>
          <w:lang w:val="en-GB"/>
        </w:rPr>
        <w:t>conducteurs</w:t>
      </w:r>
      <w:proofErr w:type="spellEnd"/>
      <w:r w:rsidR="00EB2E2D">
        <w:rPr>
          <w:lang w:val="en-GB"/>
        </w:rPr>
        <w:t>;</w:t>
      </w:r>
    </w:p>
    <w:p w:rsidR="000A3A81" w:rsidRPr="000A3A81" w:rsidRDefault="000A3A81" w:rsidP="00EB2E2D">
      <w:pPr>
        <w:pStyle w:val="Bullet1"/>
        <w:rPr>
          <w:lang w:val="fr-CH"/>
        </w:rPr>
      </w:pPr>
      <w:r w:rsidRPr="000A3A81">
        <w:rPr>
          <w:lang w:val="fr-CH"/>
        </w:rPr>
        <w:t>Recherche dans le domaine des télécommunications</w:t>
      </w:r>
      <w:r w:rsidR="00EB2E2D">
        <w:rPr>
          <w:lang w:val="fr-CH"/>
        </w:rPr>
        <w:t>;</w:t>
      </w:r>
    </w:p>
    <w:p w:rsidR="000A3A81" w:rsidRPr="000A3A81" w:rsidRDefault="000A3A81" w:rsidP="00EB2E2D">
      <w:pPr>
        <w:pStyle w:val="Bullet1"/>
        <w:rPr>
          <w:lang w:val="fr-CH"/>
        </w:rPr>
      </w:pPr>
      <w:r w:rsidRPr="000A3A81">
        <w:rPr>
          <w:lang w:val="fr-CH"/>
        </w:rPr>
        <w:t>Recherche dans le domaine photovoltaïque</w:t>
      </w:r>
      <w:r w:rsidR="00EB2E2D">
        <w:rPr>
          <w:lang w:val="fr-CH"/>
        </w:rPr>
        <w:t>;</w:t>
      </w:r>
    </w:p>
    <w:p w:rsidR="000A3A81" w:rsidRPr="000A3A81" w:rsidRDefault="000A3A81" w:rsidP="00EB2E2D">
      <w:pPr>
        <w:pStyle w:val="Bullet1"/>
        <w:rPr>
          <w:lang w:val="fr-CH"/>
        </w:rPr>
      </w:pPr>
      <w:r w:rsidRPr="000A3A81">
        <w:rPr>
          <w:lang w:val="fr-CH"/>
        </w:rPr>
        <w:lastRenderedPageBreak/>
        <w:t xml:space="preserve">Gravure par plasma des galettes de silicium </w:t>
      </w:r>
      <w:proofErr w:type="spellStart"/>
      <w:r w:rsidRPr="000A3A81">
        <w:rPr>
          <w:lang w:val="fr-CH"/>
        </w:rPr>
        <w:t>polycristallin</w:t>
      </w:r>
      <w:proofErr w:type="spellEnd"/>
      <w:r w:rsidR="00EB2E2D">
        <w:rPr>
          <w:lang w:val="fr-CH"/>
        </w:rPr>
        <w:t>;</w:t>
      </w:r>
    </w:p>
    <w:p w:rsidR="000A3A81" w:rsidRPr="000A3A81" w:rsidRDefault="000A3A81" w:rsidP="00EB2E2D">
      <w:pPr>
        <w:pStyle w:val="Bullet1"/>
        <w:rPr>
          <w:lang w:val="fr-CH"/>
        </w:rPr>
      </w:pPr>
      <w:r w:rsidRPr="000A3A81">
        <w:rPr>
          <w:lang w:val="fr-CH"/>
        </w:rPr>
        <w:t xml:space="preserve">Dopage de galettes de silicium </w:t>
      </w:r>
      <w:proofErr w:type="spellStart"/>
      <w:r w:rsidRPr="000A3A81">
        <w:rPr>
          <w:lang w:val="fr-CH"/>
        </w:rPr>
        <w:t>polycristallin</w:t>
      </w:r>
      <w:proofErr w:type="spellEnd"/>
      <w:r w:rsidR="00EB2E2D">
        <w:rPr>
          <w:lang w:val="fr-CH"/>
        </w:rPr>
        <w:t>;</w:t>
      </w:r>
    </w:p>
    <w:p w:rsidR="000A3A81" w:rsidRPr="000A3A81" w:rsidRDefault="00EB2E2D" w:rsidP="00EB2E2D">
      <w:pPr>
        <w:pStyle w:val="Bullet1"/>
        <w:rPr>
          <w:lang w:val="en-GB"/>
        </w:rPr>
      </w:pPr>
      <w:r>
        <w:rPr>
          <w:lang w:val="en-GB"/>
        </w:rPr>
        <w:t>LASERS;</w:t>
      </w:r>
    </w:p>
    <w:p w:rsidR="000A3A81" w:rsidRPr="000A3A81" w:rsidRDefault="000A3A81" w:rsidP="00EB2E2D">
      <w:pPr>
        <w:pStyle w:val="Bullet1"/>
        <w:rPr>
          <w:lang w:val="en-GB"/>
        </w:rPr>
      </w:pPr>
      <w:r w:rsidRPr="000A3A81">
        <w:rPr>
          <w:lang w:val="en-GB"/>
        </w:rPr>
        <w:t xml:space="preserve">Correction </w:t>
      </w:r>
      <w:proofErr w:type="spellStart"/>
      <w:r w:rsidRPr="000A3A81">
        <w:rPr>
          <w:lang w:val="en-GB"/>
        </w:rPr>
        <w:t>oculaire</w:t>
      </w:r>
      <w:proofErr w:type="spellEnd"/>
      <w:r w:rsidR="00EB2E2D">
        <w:rPr>
          <w:lang w:val="en-GB"/>
        </w:rPr>
        <w:t>;</w:t>
      </w:r>
    </w:p>
    <w:p w:rsidR="000A3A81" w:rsidRPr="000A3A81" w:rsidRDefault="000A3A81" w:rsidP="00EB2E2D">
      <w:pPr>
        <w:pStyle w:val="Bullet1"/>
        <w:rPr>
          <w:lang w:val="fr-CH"/>
        </w:rPr>
      </w:pPr>
      <w:r w:rsidRPr="000A3A81">
        <w:rPr>
          <w:lang w:val="fr-CH"/>
        </w:rPr>
        <w:t>Recherche et applications médicales</w:t>
      </w:r>
      <w:r w:rsidR="00EB2E2D">
        <w:rPr>
          <w:lang w:val="fr-CH"/>
        </w:rPr>
        <w:t>;</w:t>
      </w:r>
    </w:p>
    <w:p w:rsidR="000A3A81" w:rsidRPr="000A3A81" w:rsidRDefault="000A3A81" w:rsidP="00EB2E2D">
      <w:pPr>
        <w:pStyle w:val="Bullet1"/>
        <w:rPr>
          <w:lang w:val="fr-CH"/>
        </w:rPr>
      </w:pPr>
      <w:r w:rsidRPr="000A3A81">
        <w:rPr>
          <w:lang w:val="fr-CH"/>
        </w:rPr>
        <w:t>Ablation par impulsion laser UV</w:t>
      </w:r>
      <w:r w:rsidR="00EB2E2D">
        <w:rPr>
          <w:lang w:val="fr-CH"/>
        </w:rPr>
        <w:t>;</w:t>
      </w:r>
    </w:p>
    <w:p w:rsidR="000A3A81" w:rsidRPr="000A3A81" w:rsidRDefault="000A3A81" w:rsidP="00EB2E2D">
      <w:pPr>
        <w:pStyle w:val="Bullet1"/>
        <w:rPr>
          <w:lang w:val="fr-CH"/>
        </w:rPr>
      </w:pPr>
      <w:r w:rsidRPr="000A3A81">
        <w:rPr>
          <w:lang w:val="fr-CH"/>
        </w:rPr>
        <w:t>Lithographie/articles médicaux jetables</w:t>
      </w:r>
      <w:r w:rsidR="00EB2E2D">
        <w:rPr>
          <w:lang w:val="fr-CH"/>
        </w:rPr>
        <w:t>;</w:t>
      </w:r>
    </w:p>
    <w:p w:rsidR="000A3A81" w:rsidRPr="000A3A81" w:rsidRDefault="000A3A81" w:rsidP="00EB2E2D">
      <w:pPr>
        <w:pStyle w:val="Bullet1"/>
        <w:rPr>
          <w:lang w:val="fr-CH"/>
        </w:rPr>
      </w:pPr>
      <w:r w:rsidRPr="000A3A81">
        <w:rPr>
          <w:lang w:val="fr-CH"/>
        </w:rPr>
        <w:t>Recherche et développement/marquage de matériaux</w:t>
      </w:r>
      <w:r w:rsidR="00EB2E2D">
        <w:rPr>
          <w:lang w:val="fr-CH"/>
        </w:rPr>
        <w:t>;</w:t>
      </w:r>
    </w:p>
    <w:p w:rsidR="000A3A81" w:rsidRPr="000A3A81" w:rsidRDefault="000A3A81" w:rsidP="00EB2E2D">
      <w:pPr>
        <w:pStyle w:val="Bullet1"/>
        <w:rPr>
          <w:lang w:val="fr-CH"/>
        </w:rPr>
      </w:pPr>
      <w:r w:rsidRPr="000A3A81">
        <w:rPr>
          <w:lang w:val="fr-CH"/>
        </w:rPr>
        <w:t>Recuit de s</w:t>
      </w:r>
      <w:r w:rsidR="00EB2E2D">
        <w:rPr>
          <w:lang w:val="fr-CH"/>
        </w:rPr>
        <w:t>ilicium pour écrans plats;</w:t>
      </w:r>
    </w:p>
    <w:p w:rsidR="000A3A81" w:rsidRPr="000A3A81" w:rsidRDefault="000A3A81" w:rsidP="00EB2E2D">
      <w:pPr>
        <w:pStyle w:val="Bullet1"/>
        <w:rPr>
          <w:lang w:val="en-GB"/>
        </w:rPr>
      </w:pPr>
      <w:r w:rsidRPr="000A3A81">
        <w:rPr>
          <w:lang w:val="en-GB"/>
        </w:rPr>
        <w:t xml:space="preserve">Sciences </w:t>
      </w:r>
      <w:proofErr w:type="spellStart"/>
      <w:r w:rsidRPr="000A3A81">
        <w:rPr>
          <w:lang w:val="en-GB"/>
        </w:rPr>
        <w:t>végétales</w:t>
      </w:r>
      <w:proofErr w:type="spellEnd"/>
      <w:r w:rsidR="00EB2E2D">
        <w:rPr>
          <w:lang w:val="en-GB"/>
        </w:rPr>
        <w:t>;</w:t>
      </w:r>
    </w:p>
    <w:p w:rsidR="000A3A81" w:rsidRPr="000A3A81" w:rsidRDefault="000A3A81" w:rsidP="00EB2E2D">
      <w:pPr>
        <w:pStyle w:val="Bullet1"/>
        <w:rPr>
          <w:lang w:val="fr-CH"/>
        </w:rPr>
      </w:pPr>
      <w:r w:rsidRPr="000A3A81">
        <w:rPr>
          <w:lang w:val="fr-CH"/>
        </w:rPr>
        <w:t>Recherche et développement en matière de réfrigération</w:t>
      </w:r>
      <w:r w:rsidR="00EB2E2D">
        <w:rPr>
          <w:lang w:val="fr-CH"/>
        </w:rPr>
        <w:t>.</w:t>
      </w:r>
    </w:p>
    <w:p w:rsidR="000A3A81" w:rsidRDefault="000A3A81" w:rsidP="000A3A81">
      <w:pPr>
        <w:pStyle w:val="SingleTxt"/>
        <w:rPr>
          <w:lang w:val="fr-CH"/>
        </w:rPr>
      </w:pPr>
      <w:r w:rsidRPr="000A3A81">
        <w:rPr>
          <w:lang w:val="fr-CH"/>
        </w:rPr>
        <w:t>Il existe d’autres applications, généralement en matière de recherche et de développement, dont l’utilisateur final ne souhaite pas parler au fournisseur pour des raisons commerciales.</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A53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 xml:space="preserve">Pourquoi a-t-on besoin en Europe de récipients à pression agréées </w:t>
      </w:r>
      <w:r w:rsidR="00EB2E2D">
        <w:rPr>
          <w:lang w:val="fr-CH"/>
        </w:rPr>
        <w:br/>
      </w:r>
      <w:r w:rsidRPr="000A3A81">
        <w:rPr>
          <w:lang w:val="fr-CH"/>
        </w:rPr>
        <w:t>par le Département des transports des États-Unis d’Amérique?</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Pr="000A3A81" w:rsidRDefault="00EB2E2D" w:rsidP="00EB2E2D">
      <w:pPr>
        <w:pStyle w:val="SingleTxt"/>
        <w:numPr>
          <w:ilvl w:val="0"/>
          <w:numId w:val="6"/>
        </w:numPr>
        <w:tabs>
          <w:tab w:val="left" w:pos="1742"/>
        </w:tabs>
        <w:rPr>
          <w:lang w:val="fr-CH"/>
        </w:rPr>
      </w:pPr>
      <w:r>
        <w:rPr>
          <w:lang w:val="fr-CH"/>
        </w:rPr>
        <w:t>L</w:t>
      </w:r>
      <w:r w:rsidR="000A3A81" w:rsidRPr="000A3A81">
        <w:rPr>
          <w:lang w:val="fr-CH"/>
        </w:rPr>
        <w:t>es membres de l’EIGA ont été priés d’expliquer pourquoi il est nécessaire de disposer de récipients à pression agréées par le DOT pour effectuer des transports des États-Unis d’Amérique vers l’Europe et les raisons invoquées sont les suivantes</w:t>
      </w:r>
      <w:r>
        <w:rPr>
          <w:lang w:val="fr-CH"/>
        </w:rPr>
        <w:t> </w:t>
      </w:r>
      <w:r w:rsidR="000A3A81" w:rsidRPr="000A3A81">
        <w:rPr>
          <w:lang w:val="fr-CH"/>
        </w:rPr>
        <w:t>:</w:t>
      </w:r>
    </w:p>
    <w:p w:rsidR="000A3A81" w:rsidRPr="000A3A81" w:rsidRDefault="00EB2E2D" w:rsidP="000A3A81">
      <w:pPr>
        <w:pStyle w:val="SingleTxt"/>
        <w:rPr>
          <w:lang w:val="fr-CH"/>
        </w:rPr>
      </w:pPr>
      <w:r>
        <w:rPr>
          <w:lang w:val="fr-CH"/>
        </w:rPr>
        <w:tab/>
      </w:r>
      <w:r w:rsidR="000A3A81" w:rsidRPr="000A3A81">
        <w:rPr>
          <w:lang w:val="fr-CH"/>
        </w:rPr>
        <w:t>a)</w:t>
      </w:r>
      <w:r w:rsidR="000A3A81" w:rsidRPr="000A3A81">
        <w:rPr>
          <w:lang w:val="fr-CH"/>
        </w:rPr>
        <w:tab/>
        <w:t>Les clients exigent des produits provenant des États-Unis dans des bouteilles DOT pour l’une des deux raisons suivantes</w:t>
      </w:r>
      <w:r>
        <w:rPr>
          <w:lang w:val="fr-CH"/>
        </w:rPr>
        <w:t> </w:t>
      </w:r>
      <w:r w:rsidR="000A3A81" w:rsidRPr="000A3A81">
        <w:rPr>
          <w:lang w:val="fr-CH"/>
        </w:rPr>
        <w:t>:</w:t>
      </w:r>
    </w:p>
    <w:p w:rsidR="000A3A81" w:rsidRPr="000A3A81" w:rsidRDefault="00EB2E2D" w:rsidP="00EB2E2D">
      <w:pPr>
        <w:pStyle w:val="SingleTxt"/>
        <w:ind w:left="1742" w:hanging="475"/>
        <w:rPr>
          <w:lang w:val="fr-CH"/>
        </w:rPr>
      </w:pPr>
      <w:r>
        <w:rPr>
          <w:lang w:val="fr-CH"/>
        </w:rPr>
        <w:tab/>
      </w:r>
      <w:r w:rsidR="000A3A81" w:rsidRPr="000A3A81">
        <w:rPr>
          <w:lang w:val="fr-CH"/>
        </w:rPr>
        <w:t>i)</w:t>
      </w:r>
      <w:r w:rsidR="000A3A81" w:rsidRPr="000A3A81">
        <w:rPr>
          <w:lang w:val="fr-CH"/>
        </w:rPr>
        <w:tab/>
        <w:t>Le récipient à pression convient parfaitement à un équipement p</w:t>
      </w:r>
      <w:r>
        <w:rPr>
          <w:lang w:val="fr-CH"/>
        </w:rPr>
        <w:t>articulier (en général coûteux);</w:t>
      </w:r>
      <w:r w:rsidR="000A3A81" w:rsidRPr="000A3A81">
        <w:rPr>
          <w:lang w:val="fr-CH"/>
        </w:rPr>
        <w:t xml:space="preserve"> et/ou </w:t>
      </w:r>
    </w:p>
    <w:p w:rsidR="000A3A81" w:rsidRPr="000A3A81" w:rsidRDefault="00EB2E2D" w:rsidP="00EB2E2D">
      <w:pPr>
        <w:pStyle w:val="SingleTxt"/>
        <w:ind w:left="1742" w:hanging="475"/>
        <w:rPr>
          <w:lang w:val="fr-CH"/>
        </w:rPr>
      </w:pPr>
      <w:r>
        <w:rPr>
          <w:lang w:val="fr-CH"/>
        </w:rPr>
        <w:tab/>
      </w:r>
      <w:r w:rsidR="000A3A81" w:rsidRPr="000A3A81">
        <w:rPr>
          <w:lang w:val="fr-CH"/>
        </w:rPr>
        <w:t>ii)</w:t>
      </w:r>
      <w:r w:rsidR="000A3A81" w:rsidRPr="000A3A81">
        <w:rPr>
          <w:lang w:val="fr-CH"/>
        </w:rPr>
        <w:tab/>
        <w:t>Le gaz utilisé l’est dans un procédé qui a été qualifié avec du gaz provenant d’une installation mondiale déterminée. L’utilisateur sait que le procédé fonctionne avec l’ensemble de récipient à pression combiné et il n’est pas disposé à requalifier le procédé ni à compromettre sa production. C’est particulièrement le cas en ce qui concerne la fabrication de semi-conducteurs où aucun changeme</w:t>
      </w:r>
      <w:r>
        <w:rPr>
          <w:lang w:val="fr-CH"/>
        </w:rPr>
        <w:t xml:space="preserve">nt n’est souhaité ou autorisé; </w:t>
      </w:r>
    </w:p>
    <w:p w:rsidR="000A3A81" w:rsidRPr="000A3A81" w:rsidRDefault="00EB2E2D" w:rsidP="000A3A81">
      <w:pPr>
        <w:pStyle w:val="SingleTxt"/>
        <w:rPr>
          <w:lang w:val="fr-CH"/>
        </w:rPr>
      </w:pPr>
      <w:r>
        <w:rPr>
          <w:lang w:val="fr-CH"/>
        </w:rPr>
        <w:tab/>
      </w:r>
      <w:r w:rsidR="000A3A81" w:rsidRPr="000A3A81">
        <w:rPr>
          <w:lang w:val="fr-CH"/>
        </w:rPr>
        <w:t>b)</w:t>
      </w:r>
      <w:r w:rsidR="000A3A81" w:rsidRPr="000A3A81">
        <w:rPr>
          <w:lang w:val="fr-CH"/>
        </w:rPr>
        <w:tab/>
        <w:t>Il n’existe qu’un seul site de production pour le produit et il se trouve aux États-Unis d’Amérique. (Il convient de souligner que l’inverse se produit également quand certains produits sont exclusivement fabriqués en Europe et don</w:t>
      </w:r>
      <w:r>
        <w:rPr>
          <w:lang w:val="fr-CH"/>
        </w:rPr>
        <w:t>c exportés vers les États-Unis);</w:t>
      </w:r>
    </w:p>
    <w:p w:rsidR="000A3A81" w:rsidRDefault="00EB2E2D" w:rsidP="000A3A81">
      <w:pPr>
        <w:pStyle w:val="SingleTxt"/>
        <w:rPr>
          <w:lang w:val="fr-CH"/>
        </w:rPr>
      </w:pPr>
      <w:r>
        <w:rPr>
          <w:lang w:val="fr-CH"/>
        </w:rPr>
        <w:tab/>
      </w:r>
      <w:r w:rsidR="000A3A81" w:rsidRPr="000A3A81">
        <w:rPr>
          <w:lang w:val="fr-CH"/>
        </w:rPr>
        <w:t>c)</w:t>
      </w:r>
      <w:r w:rsidR="000A3A81" w:rsidRPr="000A3A81">
        <w:rPr>
          <w:lang w:val="fr-CH"/>
        </w:rPr>
        <w:tab/>
        <w:t xml:space="preserve">Dans le cas de certains mélanges dont la stabilité est critique pour l’application considérée, un seul producteur dans le monde est capable de l’assurer. Ainsi, par exemple, la production d’un mélange de vingt composants et le contrôle de sa stabilité peut prendre jusqu’à six mois, ce qui signifie que l’installation pourrait être entièrement consacrée à la production d’un seul type de mélange. </w:t>
      </w:r>
    </w:p>
    <w:p w:rsidR="00EB2E2D" w:rsidRPr="00A53A86" w:rsidRDefault="00EB2E2D" w:rsidP="00A53A86">
      <w:pPr>
        <w:pStyle w:val="SingleTxt"/>
        <w:spacing w:after="0" w:line="120" w:lineRule="exact"/>
        <w:rPr>
          <w:sz w:val="10"/>
          <w:lang w:val="fr-CH"/>
        </w:rPr>
      </w:pPr>
    </w:p>
    <w:p w:rsidR="00A53A86" w:rsidRPr="00EB2E2D" w:rsidRDefault="00A53A86" w:rsidP="00EB2E2D">
      <w:pPr>
        <w:pStyle w:val="SingleTxt"/>
        <w:spacing w:after="0" w:line="120" w:lineRule="exact"/>
        <w:rPr>
          <w:sz w:val="10"/>
          <w:lang w:val="fr-CH"/>
        </w:rPr>
      </w:pPr>
    </w:p>
    <w:p w:rsidR="000A3A81" w:rsidRDefault="000A3A81" w:rsidP="00A53A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lastRenderedPageBreak/>
        <w:tab/>
      </w:r>
      <w:r w:rsidRPr="000A3A81">
        <w:rPr>
          <w:lang w:val="fr-CH"/>
        </w:rPr>
        <w:tab/>
        <w:t>Quels sont exactement les obstacles auxquels se heurtent actuellement les échanges transatlantiques en ce qui concerne l’utilisation de récipients RID/ADR, DOT et</w:t>
      </w:r>
      <w:r w:rsidR="00EB2E2D">
        <w:rPr>
          <w:lang w:val="fr-CH"/>
        </w:rPr>
        <w:t> </w:t>
      </w:r>
      <w:r w:rsidRPr="000A3A81">
        <w:rPr>
          <w:lang w:val="fr-CH"/>
        </w:rPr>
        <w:t>ONU?</w:t>
      </w:r>
    </w:p>
    <w:p w:rsidR="00EB2E2D" w:rsidRPr="00A53A86" w:rsidRDefault="00EB2E2D" w:rsidP="00A53A86">
      <w:pPr>
        <w:pStyle w:val="SingleTxt"/>
        <w:keepNext/>
        <w:keepLines/>
        <w:spacing w:after="0" w:line="120" w:lineRule="exact"/>
        <w:rPr>
          <w:sz w:val="10"/>
          <w:lang w:val="fr-CH"/>
        </w:rPr>
      </w:pPr>
    </w:p>
    <w:p w:rsidR="00A53A86" w:rsidRPr="00EB2E2D" w:rsidRDefault="00A53A86" w:rsidP="00A53A86">
      <w:pPr>
        <w:pStyle w:val="SingleTxt"/>
        <w:keepNext/>
        <w:keepLines/>
        <w:spacing w:after="0" w:line="120" w:lineRule="exact"/>
        <w:rPr>
          <w:sz w:val="10"/>
          <w:lang w:val="fr-CH"/>
        </w:rPr>
      </w:pPr>
    </w:p>
    <w:p w:rsidR="000A3A81" w:rsidRPr="000A3A81" w:rsidRDefault="000A3A81" w:rsidP="00EB2E2D">
      <w:pPr>
        <w:pStyle w:val="SingleTxt"/>
        <w:numPr>
          <w:ilvl w:val="0"/>
          <w:numId w:val="6"/>
        </w:numPr>
        <w:tabs>
          <w:tab w:val="left" w:pos="1742"/>
        </w:tabs>
        <w:rPr>
          <w:lang w:val="fr-CH"/>
        </w:rPr>
      </w:pPr>
      <w:r w:rsidRPr="000A3A81">
        <w:rPr>
          <w:lang w:val="fr-CH"/>
        </w:rPr>
        <w:t xml:space="preserve">Les membres de l’EIGA sont d’avis que tous les récipients à pression de l’ONU peuvent être transportés sans restriction entre les parties contractantes de l’ADR mais qu’ils ne peuvent pas être </w:t>
      </w:r>
      <w:r w:rsidR="00EB2E2D">
        <w:rPr>
          <w:lang w:val="fr-CH"/>
        </w:rPr>
        <w:t>« </w:t>
      </w:r>
      <w:r w:rsidRPr="000A3A81">
        <w:rPr>
          <w:lang w:val="fr-CH"/>
        </w:rPr>
        <w:t>mis sur le marché</w:t>
      </w:r>
      <w:r w:rsidR="00EB2E2D">
        <w:rPr>
          <w:lang w:val="fr-CH"/>
        </w:rPr>
        <w:t> »</w:t>
      </w:r>
      <w:r w:rsidRPr="000A3A81">
        <w:rPr>
          <w:lang w:val="fr-CH"/>
        </w:rPr>
        <w:t xml:space="preserve"> à moins d’avoir été approuvé par un organisme notifié de l’UE ou par la partie contractante concernée. Ainsi, par exemple, un récipient à pression marqué </w:t>
      </w:r>
      <w:r w:rsidR="00EB2E2D">
        <w:rPr>
          <w:lang w:val="fr-CH"/>
        </w:rPr>
        <w:t>« </w:t>
      </w:r>
      <w:r w:rsidRPr="000A3A81">
        <w:rPr>
          <w:lang w:val="fr-CH"/>
        </w:rPr>
        <w:t>UN</w:t>
      </w:r>
      <w:r w:rsidR="00EB2E2D">
        <w:rPr>
          <w:lang w:val="fr-CH"/>
        </w:rPr>
        <w:t> »</w:t>
      </w:r>
      <w:r w:rsidRPr="000A3A81">
        <w:rPr>
          <w:lang w:val="fr-CH"/>
        </w:rPr>
        <w:t xml:space="preserve"> en provenance des États-Unis peut être importé, transporté, entreposé immédiatement, transporté à nouveau et vidé dans une partie contractante à l’ADR. Ce récipient à pression de l’ONU peut ensuite être rempli à nouveau et transporté hors de la région dans laquelle l’ADR s’applique. Le récipient à pression de l’ONU ne peut pas être utilisé au sein d’une partie contractante à l’ADR. </w:t>
      </w:r>
    </w:p>
    <w:p w:rsidR="000A3A81" w:rsidRPr="000A3A81" w:rsidRDefault="000A3A81" w:rsidP="00EB2E2D">
      <w:pPr>
        <w:pStyle w:val="SingleTxt"/>
        <w:numPr>
          <w:ilvl w:val="0"/>
          <w:numId w:val="6"/>
        </w:numPr>
        <w:tabs>
          <w:tab w:val="left" w:pos="1742"/>
        </w:tabs>
        <w:rPr>
          <w:lang w:val="fr-CH"/>
        </w:rPr>
      </w:pPr>
      <w:r w:rsidRPr="000A3A81">
        <w:rPr>
          <w:lang w:val="fr-CH"/>
        </w:rPr>
        <w:t>En vertu de l’accord multilatéral M237, les récipients à pression approuvés par le DOT</w:t>
      </w:r>
      <w:r w:rsidR="00B05E5F">
        <w:rPr>
          <w:lang w:val="fr-CH"/>
        </w:rPr>
        <w:t xml:space="preserve"> </w:t>
      </w:r>
      <w:r w:rsidRPr="000A3A81">
        <w:rPr>
          <w:lang w:val="fr-CH"/>
        </w:rPr>
        <w:t>peuvent être importés dans une partie contractante à l’ADR et, qui plus est, faire l’objet d’un entreposage intermédiaire avant d’être acheminés vers leur lieu d’utilisation. Sans l’accord multilatéral M237, les</w:t>
      </w:r>
      <w:r w:rsidR="00B05E5F">
        <w:rPr>
          <w:lang w:val="fr-CH"/>
        </w:rPr>
        <w:t xml:space="preserve"> </w:t>
      </w:r>
      <w:r w:rsidRPr="000A3A81">
        <w:rPr>
          <w:lang w:val="fr-CH"/>
        </w:rPr>
        <w:t>récipients à pression approuvés par le DOT devrait être envoyés directement au lieu d’utilisation.</w:t>
      </w:r>
      <w:r w:rsidR="00B05E5F">
        <w:rPr>
          <w:lang w:val="fr-CH"/>
        </w:rPr>
        <w:t xml:space="preserve"> </w:t>
      </w:r>
      <w:r w:rsidRPr="000A3A81">
        <w:rPr>
          <w:lang w:val="fr-CH"/>
        </w:rPr>
        <w:t>Ce ne serait pas viable d’un point de vue logistique car il en résulterait une beaucoup plus grande accumulation des stocks chez les clients.</w:t>
      </w:r>
    </w:p>
    <w:p w:rsidR="000A3A81" w:rsidRDefault="000A3A81" w:rsidP="00EB2E2D">
      <w:pPr>
        <w:pStyle w:val="SingleTxt"/>
        <w:numPr>
          <w:ilvl w:val="0"/>
          <w:numId w:val="6"/>
        </w:numPr>
        <w:tabs>
          <w:tab w:val="left" w:pos="1742"/>
        </w:tabs>
        <w:rPr>
          <w:lang w:val="fr-CH"/>
        </w:rPr>
      </w:pPr>
      <w:r w:rsidRPr="000A3A81">
        <w:rPr>
          <w:lang w:val="fr-CH"/>
        </w:rPr>
        <w:t xml:space="preserve">Pour qu’un récipient à pression de l’ONU puisse être importé aux États-Unis il faut qu’il ait reçu l’agrément de ce pays ou du Canada. Un récipient à pression de l’ONU venu d’Europe dépourvu de l’agrément </w:t>
      </w:r>
      <w:r w:rsidR="009C7A20">
        <w:rPr>
          <w:lang w:val="fr-CH"/>
        </w:rPr>
        <w:t>« </w:t>
      </w:r>
      <w:r w:rsidRPr="000A3A81">
        <w:rPr>
          <w:lang w:val="fr-CH"/>
        </w:rPr>
        <w:t>USA</w:t>
      </w:r>
      <w:r w:rsidR="009C7A20">
        <w:rPr>
          <w:lang w:val="fr-CH"/>
        </w:rPr>
        <w:t> »</w:t>
      </w:r>
      <w:r w:rsidRPr="000A3A81">
        <w:rPr>
          <w:lang w:val="fr-CH"/>
        </w:rPr>
        <w:t xml:space="preserve"> ou </w:t>
      </w:r>
      <w:r w:rsidR="009C7A20">
        <w:rPr>
          <w:lang w:val="fr-CH"/>
        </w:rPr>
        <w:t>« </w:t>
      </w:r>
      <w:r w:rsidRPr="000A3A81">
        <w:rPr>
          <w:lang w:val="fr-CH"/>
        </w:rPr>
        <w:t>CAN</w:t>
      </w:r>
      <w:r w:rsidR="009C7A20">
        <w:rPr>
          <w:lang w:val="fr-CH"/>
        </w:rPr>
        <w:t> »</w:t>
      </w:r>
      <w:r w:rsidRPr="000A3A81">
        <w:rPr>
          <w:lang w:val="fr-CH"/>
        </w:rPr>
        <w:t xml:space="preserve"> ne peut donc pas sortir de la zone portuaire. Les exigences concernant l’importation ou l’exportation des récipients à pression vers ou à partir des États-Unis d’Amérique ont été</w:t>
      </w:r>
      <w:r w:rsidR="009C7A20">
        <w:rPr>
          <w:lang w:val="fr-CH"/>
        </w:rPr>
        <w:t xml:space="preserve"> résumées par le CGA ci-après.</w:t>
      </w:r>
    </w:p>
    <w:p w:rsidR="009C7A20" w:rsidRPr="001E4572" w:rsidRDefault="009C7A20" w:rsidP="001E4572">
      <w:pPr>
        <w:pStyle w:val="SingleTxt"/>
        <w:spacing w:after="0" w:line="120" w:lineRule="exact"/>
        <w:rPr>
          <w:sz w:val="10"/>
          <w:lang w:val="fr-CH"/>
        </w:rPr>
      </w:pPr>
    </w:p>
    <w:p w:rsidR="001E4572" w:rsidRPr="009C7A20" w:rsidRDefault="001E4572" w:rsidP="009C7A20">
      <w:pPr>
        <w:pStyle w:val="SingleTxt"/>
        <w:spacing w:after="0" w:line="120" w:lineRule="exact"/>
        <w:rPr>
          <w:sz w:val="10"/>
          <w:lang w:val="fr-CH"/>
        </w:rPr>
      </w:pPr>
    </w:p>
    <w:p w:rsidR="000A3A81" w:rsidRDefault="000A3A81" w:rsidP="001E45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 xml:space="preserve">Quels sont les problèmes liés au remplissage des récipients </w:t>
      </w:r>
      <w:r w:rsidR="001E4572">
        <w:rPr>
          <w:lang w:val="fr-CH"/>
        </w:rPr>
        <w:br/>
      </w:r>
      <w:r w:rsidRPr="000A3A81">
        <w:rPr>
          <w:lang w:val="fr-CH"/>
        </w:rPr>
        <w:t xml:space="preserve">quand ils sont exportés des États-Unis vers l’Europe </w:t>
      </w:r>
      <w:r w:rsidR="001E4572">
        <w:rPr>
          <w:lang w:val="fr-CH"/>
        </w:rPr>
        <w:br/>
      </w:r>
      <w:r w:rsidRPr="000A3A81">
        <w:rPr>
          <w:lang w:val="fr-CH"/>
        </w:rPr>
        <w:t>ou importés aux États-Unis depuis l’Europe?</w:t>
      </w:r>
    </w:p>
    <w:p w:rsidR="009C7A20" w:rsidRPr="001E4572" w:rsidRDefault="009C7A20" w:rsidP="001E4572">
      <w:pPr>
        <w:pStyle w:val="SingleTxt"/>
        <w:spacing w:after="0" w:line="120" w:lineRule="exact"/>
        <w:rPr>
          <w:sz w:val="10"/>
          <w:lang w:val="fr-CH"/>
        </w:rPr>
      </w:pPr>
    </w:p>
    <w:p w:rsidR="001E4572" w:rsidRPr="009C7A20" w:rsidRDefault="001E4572" w:rsidP="009C7A20">
      <w:pPr>
        <w:pStyle w:val="SingleTxt"/>
        <w:spacing w:after="0" w:line="120" w:lineRule="exact"/>
        <w:rPr>
          <w:sz w:val="10"/>
          <w:lang w:val="fr-CH"/>
        </w:rPr>
      </w:pPr>
    </w:p>
    <w:p w:rsidR="000A3A81" w:rsidRDefault="000A3A81" w:rsidP="00EB2E2D">
      <w:pPr>
        <w:pStyle w:val="SingleTxt"/>
        <w:numPr>
          <w:ilvl w:val="0"/>
          <w:numId w:val="6"/>
        </w:numPr>
        <w:tabs>
          <w:tab w:val="left" w:pos="1742"/>
        </w:tabs>
        <w:rPr>
          <w:b/>
          <w:lang w:val="fr-CH"/>
        </w:rPr>
      </w:pPr>
      <w:r w:rsidRPr="000A3A81">
        <w:rPr>
          <w:b/>
          <w:lang w:val="fr-CH"/>
        </w:rPr>
        <w:t>Remplissage pour l’exportation depuis les États-Unis d’Amérique</w:t>
      </w:r>
    </w:p>
    <w:p w:rsidR="009C7A20" w:rsidRPr="009C7A20" w:rsidRDefault="009C7A20" w:rsidP="009C7A20">
      <w:pPr>
        <w:pStyle w:val="SingleTxt"/>
        <w:spacing w:after="0" w:line="120" w:lineRule="exact"/>
        <w:rPr>
          <w:b/>
          <w:sz w:val="10"/>
          <w:lang w:val="fr-CH"/>
        </w:rPr>
      </w:pPr>
    </w:p>
    <w:p w:rsidR="000A3A81" w:rsidRPr="000A3A81" w:rsidRDefault="009C7A20" w:rsidP="000A3A81">
      <w:pPr>
        <w:pStyle w:val="SingleTxt"/>
        <w:rPr>
          <w:lang w:val="fr-CH"/>
        </w:rPr>
      </w:pPr>
      <w:r>
        <w:rPr>
          <w:lang w:val="fr-CH"/>
        </w:rPr>
        <w:tab/>
        <w:t>a)</w:t>
      </w:r>
      <w:r>
        <w:rPr>
          <w:lang w:val="fr-CH"/>
        </w:rPr>
        <w:tab/>
        <w:t>Le paragraphe 171.23 </w:t>
      </w:r>
      <w:r w:rsidR="000A3A81" w:rsidRPr="000A3A81">
        <w:rPr>
          <w:lang w:val="fr-CH"/>
        </w:rPr>
        <w:t>a)</w:t>
      </w:r>
      <w:r>
        <w:rPr>
          <w:lang w:val="fr-CH"/>
        </w:rPr>
        <w:t> </w:t>
      </w:r>
      <w:r w:rsidR="000A3A81" w:rsidRPr="000A3A81">
        <w:rPr>
          <w:lang w:val="fr-CH"/>
        </w:rPr>
        <w:t>4) de la disposition</w:t>
      </w:r>
      <w:r>
        <w:rPr>
          <w:lang w:val="fr-CH"/>
        </w:rPr>
        <w:t> </w:t>
      </w:r>
      <w:r w:rsidR="000A3A81" w:rsidRPr="000A3A81">
        <w:rPr>
          <w:lang w:val="fr-CH"/>
        </w:rPr>
        <w:t>49 du Code de réglementation fédérale (CFR49) des États-Unis comporte des dispositions relatives au remplissage et au transport des bouteilles étrangères pour l’exportation; toutefois, la requalification (contrôles et essais périodiques) de la bouteille est requise conformément aux prescriptions des États-Unis et doit être répétée tous les cinq ans. Pour procéder à la requalification par une méthode autre que l’épreuve hydrostatique (émission acoustique ou contrôle par ultrasons) il faut disposer d’un agrément</w:t>
      </w:r>
      <w:r w:rsidR="00307C92">
        <w:rPr>
          <w:lang w:val="fr-CH"/>
        </w:rPr>
        <w:t xml:space="preserve"> ou d’une autorisation spéciale;</w:t>
      </w:r>
      <w:r w:rsidR="000A3A81" w:rsidRPr="000A3A81">
        <w:rPr>
          <w:lang w:val="fr-CH"/>
        </w:rPr>
        <w:t xml:space="preserve"> (Il est à noter que dans le cas de l’épreuve hydrostatique, l’introduction d’eau dans les récipients à pression peut endommager le conditionnement </w:t>
      </w:r>
      <w:r>
        <w:rPr>
          <w:lang w:val="fr-CH"/>
        </w:rPr>
        <w:t>de leurs surfaces intérieures.)</w:t>
      </w:r>
    </w:p>
    <w:p w:rsidR="000A3A81" w:rsidRPr="000A3A81" w:rsidRDefault="009C7A20" w:rsidP="000A3A81">
      <w:pPr>
        <w:pStyle w:val="SingleTxt"/>
        <w:rPr>
          <w:lang w:val="fr-CH"/>
        </w:rPr>
      </w:pPr>
      <w:r>
        <w:rPr>
          <w:lang w:val="fr-CH"/>
        </w:rPr>
        <w:tab/>
      </w:r>
      <w:proofErr w:type="gramStart"/>
      <w:r>
        <w:rPr>
          <w:lang w:val="fr-CH"/>
        </w:rPr>
        <w:t>b</w:t>
      </w:r>
      <w:proofErr w:type="gramEnd"/>
      <w:r>
        <w:rPr>
          <w:lang w:val="fr-CH"/>
        </w:rPr>
        <w:t>)</w:t>
      </w:r>
      <w:r>
        <w:rPr>
          <w:lang w:val="fr-CH"/>
        </w:rPr>
        <w:tab/>
        <w:t>Le paragraphe 171.23 a) </w:t>
      </w:r>
      <w:r w:rsidR="000A3A81" w:rsidRPr="000A3A81">
        <w:rPr>
          <w:lang w:val="fr-CH"/>
        </w:rPr>
        <w:t>4)</w:t>
      </w:r>
      <w:r>
        <w:rPr>
          <w:lang w:val="fr-CH"/>
        </w:rPr>
        <w:t> </w:t>
      </w:r>
      <w:r w:rsidR="000A3A81" w:rsidRPr="000A3A81">
        <w:rPr>
          <w:lang w:val="fr-CH"/>
        </w:rPr>
        <w:t>ii) de la disposition</w:t>
      </w:r>
      <w:r>
        <w:rPr>
          <w:lang w:val="fr-CH"/>
        </w:rPr>
        <w:t> </w:t>
      </w:r>
      <w:r w:rsidR="000A3A81" w:rsidRPr="000A3A81">
        <w:rPr>
          <w:lang w:val="fr-CH"/>
        </w:rPr>
        <w:t>49 ne permet de remplir les bouteilles étrangères destinées à l’exportation qu’au maximum de la densité de remplissage ou de la pression de remplissag</w:t>
      </w:r>
      <w:r>
        <w:rPr>
          <w:lang w:val="fr-CH"/>
        </w:rPr>
        <w:t>e autorisées aux États-Unis;</w:t>
      </w:r>
    </w:p>
    <w:p w:rsidR="000A3A81" w:rsidRPr="000A3A81" w:rsidRDefault="009C7A20" w:rsidP="009C7A20">
      <w:pPr>
        <w:pStyle w:val="SingleTxt"/>
        <w:ind w:left="1742" w:hanging="475"/>
        <w:rPr>
          <w:b/>
          <w:lang w:val="fr-CH"/>
        </w:rPr>
      </w:pPr>
      <w:r>
        <w:rPr>
          <w:b/>
          <w:lang w:val="fr-CH"/>
        </w:rPr>
        <w:tab/>
      </w:r>
      <w:r w:rsidR="000A3A81" w:rsidRPr="000A3A81">
        <w:rPr>
          <w:b/>
          <w:lang w:val="fr-CH"/>
        </w:rPr>
        <w:t>NOTE</w:t>
      </w:r>
      <w:r>
        <w:rPr>
          <w:b/>
          <w:lang w:val="fr-CH"/>
        </w:rPr>
        <w:t> </w:t>
      </w:r>
      <w:r w:rsidR="000A3A81" w:rsidRPr="00B05E5F">
        <w:rPr>
          <w:lang w:val="fr-CH"/>
        </w:rPr>
        <w:t>:</w:t>
      </w:r>
      <w:r w:rsidR="000A3A81" w:rsidRPr="000A3A81">
        <w:rPr>
          <w:b/>
          <w:lang w:val="fr-CH"/>
        </w:rPr>
        <w:tab/>
      </w:r>
      <w:r>
        <w:rPr>
          <w:lang w:val="fr-CH"/>
        </w:rPr>
        <w:t>Le paragraphe 171.23 </w:t>
      </w:r>
      <w:r w:rsidR="000A3A81" w:rsidRPr="000A3A81">
        <w:rPr>
          <w:lang w:val="fr-CH"/>
        </w:rPr>
        <w:t>a)</w:t>
      </w:r>
      <w:r>
        <w:rPr>
          <w:lang w:val="fr-CH"/>
        </w:rPr>
        <w:t> </w:t>
      </w:r>
      <w:r w:rsidR="000A3A81" w:rsidRPr="000A3A81">
        <w:rPr>
          <w:lang w:val="fr-CH"/>
        </w:rPr>
        <w:t xml:space="preserve">5) de la disposition 49 ne prévoit le remplissage et le transport de bouteilles conformes à la spécification DOT ou de bouteilles de l’ONU reconnues (par exemple avec l’agrément </w:t>
      </w:r>
      <w:r>
        <w:rPr>
          <w:lang w:val="fr-CH"/>
        </w:rPr>
        <w:t>« </w:t>
      </w:r>
      <w:r w:rsidR="000A3A81" w:rsidRPr="000A3A81">
        <w:rPr>
          <w:lang w:val="fr-CH"/>
        </w:rPr>
        <w:t>USA</w:t>
      </w:r>
      <w:r>
        <w:rPr>
          <w:lang w:val="fr-CH"/>
        </w:rPr>
        <w:t> »</w:t>
      </w:r>
      <w:r w:rsidR="000A3A81" w:rsidRPr="000A3A81">
        <w:rPr>
          <w:lang w:val="fr-CH"/>
        </w:rPr>
        <w:t xml:space="preserve"> ou </w:t>
      </w:r>
      <w:r>
        <w:rPr>
          <w:lang w:val="fr-CH"/>
        </w:rPr>
        <w:t>« </w:t>
      </w:r>
      <w:r w:rsidR="000A3A81" w:rsidRPr="000A3A81">
        <w:rPr>
          <w:lang w:val="fr-CH"/>
        </w:rPr>
        <w:t>CAN</w:t>
      </w:r>
      <w:r>
        <w:rPr>
          <w:lang w:val="fr-CH"/>
        </w:rPr>
        <w:t> »</w:t>
      </w:r>
      <w:r w:rsidR="000A3A81" w:rsidRPr="000A3A81">
        <w:rPr>
          <w:lang w:val="fr-CH"/>
        </w:rPr>
        <w:t>) sans dispositif de surpression que pour l’exportation.</w:t>
      </w:r>
      <w:r w:rsidR="00B05E5F">
        <w:rPr>
          <w:lang w:val="fr-CH"/>
        </w:rPr>
        <w:t xml:space="preserve"> </w:t>
      </w:r>
      <w:r w:rsidR="000A3A81" w:rsidRPr="000A3A81">
        <w:rPr>
          <w:lang w:val="fr-CH"/>
        </w:rPr>
        <w:t>Les récipients à pression étrangers</w:t>
      </w:r>
      <w:r w:rsidR="00B05E5F">
        <w:rPr>
          <w:lang w:val="fr-CH"/>
        </w:rPr>
        <w:t xml:space="preserve"> </w:t>
      </w:r>
      <w:r w:rsidR="000A3A81" w:rsidRPr="000A3A81">
        <w:rPr>
          <w:lang w:val="fr-CH"/>
        </w:rPr>
        <w:t>ne peuvent pas être remplis et transporté en vue de leur exportation sans dispositif de surpression (bien que cela ait été permis moyennan</w:t>
      </w:r>
      <w:r>
        <w:rPr>
          <w:lang w:val="fr-CH"/>
        </w:rPr>
        <w:t>t une autorisation spéciale);</w:t>
      </w:r>
    </w:p>
    <w:p w:rsidR="000A3A81" w:rsidRPr="000A3A81" w:rsidRDefault="009C7A20" w:rsidP="000A3A81">
      <w:pPr>
        <w:pStyle w:val="SingleTxt"/>
        <w:rPr>
          <w:lang w:val="fr-CH"/>
        </w:rPr>
      </w:pPr>
      <w:r>
        <w:rPr>
          <w:lang w:val="fr-CH"/>
        </w:rPr>
        <w:tab/>
        <w:t>c)</w:t>
      </w:r>
      <w:r>
        <w:rPr>
          <w:lang w:val="fr-CH"/>
        </w:rPr>
        <w:tab/>
        <w:t>Le paragraphe </w:t>
      </w:r>
      <w:r w:rsidR="000A3A81" w:rsidRPr="000A3A81">
        <w:rPr>
          <w:lang w:val="fr-CH"/>
        </w:rPr>
        <w:t>171.12 a)</w:t>
      </w:r>
      <w:r>
        <w:rPr>
          <w:lang w:val="fr-CH"/>
        </w:rPr>
        <w:t> </w:t>
      </w:r>
      <w:r w:rsidR="000A3A81" w:rsidRPr="000A3A81">
        <w:rPr>
          <w:lang w:val="fr-CH"/>
        </w:rPr>
        <w:t>4) de la disposition 49 comporte des dispositions supplémentaires concernant le transport et l’utilisation de certaines bouteilles canadiennes aux États-Unis.</w:t>
      </w:r>
    </w:p>
    <w:p w:rsidR="000A3A81" w:rsidRPr="000A3A81" w:rsidRDefault="000A3A81" w:rsidP="00EB2E2D">
      <w:pPr>
        <w:pStyle w:val="SingleTxt"/>
        <w:numPr>
          <w:ilvl w:val="0"/>
          <w:numId w:val="6"/>
        </w:numPr>
        <w:tabs>
          <w:tab w:val="left" w:pos="1742"/>
        </w:tabs>
        <w:rPr>
          <w:b/>
          <w:lang w:val="fr-CH"/>
        </w:rPr>
      </w:pPr>
      <w:r w:rsidRPr="000A3A81">
        <w:rPr>
          <w:b/>
          <w:lang w:val="fr-CH"/>
        </w:rPr>
        <w:t>Vidange des bouteilles importées aux États-Unis d’Amérique</w:t>
      </w:r>
    </w:p>
    <w:p w:rsidR="000A3A81" w:rsidRPr="000A3A81" w:rsidRDefault="009C7A20" w:rsidP="000A3A81">
      <w:pPr>
        <w:pStyle w:val="SingleTxt"/>
        <w:rPr>
          <w:lang w:val="fr-CH"/>
        </w:rPr>
      </w:pPr>
      <w:r>
        <w:rPr>
          <w:lang w:val="fr-CH"/>
        </w:rPr>
        <w:tab/>
        <w:t>a)</w:t>
      </w:r>
      <w:r>
        <w:rPr>
          <w:lang w:val="fr-CH"/>
        </w:rPr>
        <w:tab/>
        <w:t>Le paragraphe 171.23 a) </w:t>
      </w:r>
      <w:r w:rsidR="000A3A81" w:rsidRPr="000A3A81">
        <w:rPr>
          <w:lang w:val="fr-CH"/>
        </w:rPr>
        <w:t>3) de la disposition 49 permet l’importation de bouteilles étrangères remplies pour le transport et le déchargement dans une seule zone portuaire, avec agrément (Il est à relever que l’acheminement ultérieur et le déchargement au-delà d’une seule zone portuaire ont été permis moyennant une autorisation spéciale). Pour solliciter un tel agrément (ou autorisation spéciale) il faut pouvoir démontrer un niveau de sécurité équivalent à celui d’un récipient à pression agréé par le DO</w:t>
      </w:r>
      <w:r w:rsidR="00CD571F">
        <w:rPr>
          <w:lang w:val="fr-CH"/>
        </w:rPr>
        <w:t>T ou de l’ONU comparable;</w:t>
      </w:r>
    </w:p>
    <w:p w:rsidR="000A3A81" w:rsidRPr="000A3A81" w:rsidRDefault="00CD571F" w:rsidP="000A3A81">
      <w:pPr>
        <w:pStyle w:val="SingleTxt"/>
        <w:rPr>
          <w:lang w:val="fr-CH"/>
        </w:rPr>
      </w:pPr>
      <w:r>
        <w:rPr>
          <w:lang w:val="fr-CH"/>
        </w:rPr>
        <w:tab/>
      </w:r>
      <w:r w:rsidR="009C7A20">
        <w:rPr>
          <w:lang w:val="fr-CH"/>
        </w:rPr>
        <w:t>b)</w:t>
      </w:r>
      <w:r w:rsidR="009C7A20">
        <w:rPr>
          <w:lang w:val="fr-CH"/>
        </w:rPr>
        <w:tab/>
        <w:t>Le paragraphe 171.12 </w:t>
      </w:r>
      <w:r w:rsidR="000A3A81" w:rsidRPr="000A3A81">
        <w:rPr>
          <w:lang w:val="fr-CH"/>
        </w:rPr>
        <w:t>a)</w:t>
      </w:r>
      <w:r w:rsidR="009C7A20">
        <w:rPr>
          <w:lang w:val="fr-CH"/>
        </w:rPr>
        <w:t> </w:t>
      </w:r>
      <w:r w:rsidR="000A3A81" w:rsidRPr="000A3A81">
        <w:rPr>
          <w:lang w:val="fr-CH"/>
        </w:rPr>
        <w:t>4) de la disposition 49 comporte des dispositions supplémentaires concernant le transport et l’utilisation de certaines boutei</w:t>
      </w:r>
      <w:r>
        <w:rPr>
          <w:lang w:val="fr-CH"/>
        </w:rPr>
        <w:t>lles canadiennes aux États-Uni</w:t>
      </w:r>
      <w:r w:rsidR="00A8429E">
        <w:rPr>
          <w:lang w:val="fr-CH"/>
        </w:rPr>
        <w:t>s</w:t>
      </w:r>
      <w:r>
        <w:rPr>
          <w:lang w:val="fr-CH"/>
        </w:rPr>
        <w:t>.</w:t>
      </w:r>
    </w:p>
    <w:p w:rsidR="000A3A81" w:rsidRPr="000A3A81" w:rsidRDefault="000A3A81" w:rsidP="00EB2E2D">
      <w:pPr>
        <w:pStyle w:val="SingleTxt"/>
        <w:numPr>
          <w:ilvl w:val="0"/>
          <w:numId w:val="6"/>
        </w:numPr>
        <w:tabs>
          <w:tab w:val="left" w:pos="1742"/>
        </w:tabs>
        <w:rPr>
          <w:lang w:val="fr-CH"/>
        </w:rPr>
      </w:pPr>
      <w:r w:rsidRPr="000A3A81">
        <w:rPr>
          <w:b/>
          <w:lang w:val="fr-CH"/>
        </w:rPr>
        <w:t>Transport pour l’exportation depuis les États-Unis d’Amérique</w:t>
      </w:r>
    </w:p>
    <w:p w:rsidR="000A3A81" w:rsidRPr="000A3A81" w:rsidRDefault="009C7A20" w:rsidP="000A3A81">
      <w:pPr>
        <w:pStyle w:val="SingleTxt"/>
        <w:rPr>
          <w:lang w:val="fr-CH"/>
        </w:rPr>
      </w:pPr>
      <w:r>
        <w:rPr>
          <w:lang w:val="fr-CH"/>
        </w:rPr>
        <w:tab/>
        <w:t>a)</w:t>
      </w:r>
      <w:r>
        <w:rPr>
          <w:lang w:val="fr-CH"/>
        </w:rPr>
        <w:tab/>
        <w:t>Le paragraphe 171.23 </w:t>
      </w:r>
      <w:r w:rsidR="000A3A81" w:rsidRPr="000A3A81">
        <w:rPr>
          <w:lang w:val="fr-CH"/>
        </w:rPr>
        <w:t>a) de la disposition 49 prescrit que les bouteilles transportées aux États-Unis en vertu des instructions techniques de l’OACI ou du code IMDG doivent être conformes aux spécifications et prescriptions des États-Unis (bouteilles DOT), sauf dans cert</w:t>
      </w:r>
      <w:r w:rsidR="00B05E5F">
        <w:rPr>
          <w:lang w:val="fr-CH"/>
        </w:rPr>
        <w:t>aines cas (détaillés ci-après);</w:t>
      </w:r>
    </w:p>
    <w:p w:rsidR="000A3A81" w:rsidRPr="000A3A81" w:rsidRDefault="009C7A20" w:rsidP="000A3A81">
      <w:pPr>
        <w:pStyle w:val="SingleTxt"/>
        <w:rPr>
          <w:lang w:val="fr-CH"/>
        </w:rPr>
      </w:pPr>
      <w:r>
        <w:rPr>
          <w:lang w:val="fr-CH"/>
        </w:rPr>
        <w:tab/>
        <w:t>b)</w:t>
      </w:r>
      <w:r>
        <w:rPr>
          <w:lang w:val="fr-CH"/>
        </w:rPr>
        <w:tab/>
        <w:t>Le paragraphe 171.23 a) </w:t>
      </w:r>
      <w:r w:rsidR="000A3A81" w:rsidRPr="000A3A81">
        <w:rPr>
          <w:lang w:val="fr-CH"/>
        </w:rPr>
        <w:t xml:space="preserve">4) de la disposition 49 du Code de réglementation fédérale (CFR49) des États-Unis comporte des dispositions relatives au remplissage et au transport des bouteilles étrangères pour l’exportation; toutefois, la requalification (contrôles et essais périodiques) de la bouteille est requise conformément aux prescriptions des États-Unis et doit être répétée tous les cinq ans. Pour procéder à la requalification par une méthode autre que l’épreuve hydrostatique (émission acoustique ou contrôle par ultrasons) il faut disposer d’un agrément ou d’une autorisation spéciale. (Il est à noter que dans le cas de l’épreuve hydrostatique, l’introduction d’eau dans les récipients à pression peut endommager le conditionnement </w:t>
      </w:r>
      <w:r w:rsidR="00B05E5F">
        <w:rPr>
          <w:lang w:val="fr-CH"/>
        </w:rPr>
        <w:t>de leurs surfaces intérieures.);</w:t>
      </w:r>
    </w:p>
    <w:p w:rsidR="000A3A81" w:rsidRPr="000A3A81" w:rsidRDefault="00B05E5F" w:rsidP="000A3A81">
      <w:pPr>
        <w:pStyle w:val="SingleTxt"/>
        <w:rPr>
          <w:lang w:val="fr-CH"/>
        </w:rPr>
      </w:pPr>
      <w:r>
        <w:rPr>
          <w:lang w:val="fr-CH"/>
        </w:rPr>
        <w:tab/>
      </w:r>
      <w:proofErr w:type="gramStart"/>
      <w:r>
        <w:rPr>
          <w:lang w:val="fr-CH"/>
        </w:rPr>
        <w:t>c)</w:t>
      </w:r>
      <w:proofErr w:type="gramEnd"/>
      <w:r>
        <w:rPr>
          <w:lang w:val="fr-CH"/>
        </w:rPr>
        <w:tab/>
        <w:t>Le paragraphe 171.23 a) 4) </w:t>
      </w:r>
      <w:r w:rsidR="000A3A81" w:rsidRPr="000A3A81">
        <w:rPr>
          <w:lang w:val="fr-CH"/>
        </w:rPr>
        <w:t>ii) de la disposition 49 ne permet de remplir les bouteilles étrangères destinées à l’exportation qu’au maximum de la densité de remplissage ou de la pression de remplissag</w:t>
      </w:r>
      <w:r>
        <w:rPr>
          <w:lang w:val="fr-CH"/>
        </w:rPr>
        <w:t>e autorisées aux États-Unis;</w:t>
      </w:r>
    </w:p>
    <w:p w:rsidR="000A3A81" w:rsidRPr="000A3A81" w:rsidRDefault="00B05E5F" w:rsidP="00B05E5F">
      <w:pPr>
        <w:pStyle w:val="SingleTxt"/>
        <w:ind w:left="1742" w:hanging="475"/>
        <w:rPr>
          <w:lang w:val="fr-CH"/>
        </w:rPr>
      </w:pPr>
      <w:r>
        <w:rPr>
          <w:b/>
          <w:lang w:val="fr-CH"/>
        </w:rPr>
        <w:tab/>
      </w:r>
      <w:r w:rsidR="000A3A81" w:rsidRPr="000A3A81">
        <w:rPr>
          <w:b/>
          <w:lang w:val="fr-CH"/>
        </w:rPr>
        <w:t>NOTE</w:t>
      </w:r>
      <w:r>
        <w:rPr>
          <w:b/>
          <w:lang w:val="fr-CH"/>
        </w:rPr>
        <w:t> </w:t>
      </w:r>
      <w:r w:rsidR="000A3A81" w:rsidRPr="00B05E5F">
        <w:rPr>
          <w:lang w:val="fr-CH"/>
        </w:rPr>
        <w:t>:</w:t>
      </w:r>
      <w:r>
        <w:rPr>
          <w:lang w:val="fr-CH"/>
        </w:rPr>
        <w:tab/>
        <w:t>Le paragraphe 171.23 a) </w:t>
      </w:r>
      <w:r w:rsidR="000A3A81" w:rsidRPr="000A3A81">
        <w:rPr>
          <w:lang w:val="fr-CH"/>
        </w:rPr>
        <w:t xml:space="preserve">5) de la disposition 49 ne prévoit le remplissage et le transport des bouteilles conformes à la spécification DOT ou des bouteilles de l’ONU reconnues (par exemple avec l’agrément </w:t>
      </w:r>
      <w:r>
        <w:rPr>
          <w:lang w:val="fr-CH"/>
        </w:rPr>
        <w:t>« </w:t>
      </w:r>
      <w:r w:rsidR="000A3A81" w:rsidRPr="000A3A81">
        <w:rPr>
          <w:lang w:val="fr-CH"/>
        </w:rPr>
        <w:t>USA</w:t>
      </w:r>
      <w:r>
        <w:rPr>
          <w:lang w:val="fr-CH"/>
        </w:rPr>
        <w:t> » ou « </w:t>
      </w:r>
      <w:r w:rsidR="000A3A81" w:rsidRPr="000A3A81">
        <w:rPr>
          <w:lang w:val="fr-CH"/>
        </w:rPr>
        <w:t>CAN</w:t>
      </w:r>
      <w:r>
        <w:rPr>
          <w:lang w:val="fr-CH"/>
        </w:rPr>
        <w:t> »</w:t>
      </w:r>
      <w:r w:rsidR="000A3A81" w:rsidRPr="000A3A81">
        <w:rPr>
          <w:lang w:val="fr-CH"/>
        </w:rPr>
        <w:t>) sans dispositif de surpr</w:t>
      </w:r>
      <w:r>
        <w:rPr>
          <w:lang w:val="fr-CH"/>
        </w:rPr>
        <w:t xml:space="preserve">ession que pour l’exportation. </w:t>
      </w:r>
      <w:r w:rsidR="000A3A81" w:rsidRPr="000A3A81">
        <w:rPr>
          <w:lang w:val="fr-CH"/>
        </w:rPr>
        <w:t>Les récipients à pression étrangers</w:t>
      </w:r>
      <w:r>
        <w:rPr>
          <w:lang w:val="fr-CH"/>
        </w:rPr>
        <w:t xml:space="preserve"> </w:t>
      </w:r>
      <w:r w:rsidR="000A3A81" w:rsidRPr="000A3A81">
        <w:rPr>
          <w:lang w:val="fr-CH"/>
        </w:rPr>
        <w:t>ne peuvent pas être remplis et transporté en vue de leur exportation sans dispositif de surpression (bien que cela ait été permis moyen</w:t>
      </w:r>
      <w:r>
        <w:rPr>
          <w:lang w:val="fr-CH"/>
        </w:rPr>
        <w:t>nant une autorisation spéciale);</w:t>
      </w:r>
    </w:p>
    <w:p w:rsidR="000A3A81" w:rsidRPr="000A3A81" w:rsidRDefault="00B05E5F" w:rsidP="000A3A81">
      <w:pPr>
        <w:pStyle w:val="SingleTxt"/>
        <w:rPr>
          <w:lang w:val="fr-CH"/>
        </w:rPr>
      </w:pPr>
      <w:r>
        <w:rPr>
          <w:lang w:val="fr-CH"/>
        </w:rPr>
        <w:tab/>
        <w:t>d)</w:t>
      </w:r>
      <w:r>
        <w:rPr>
          <w:lang w:val="fr-CH"/>
        </w:rPr>
        <w:tab/>
        <w:t>Le paragraphe </w:t>
      </w:r>
      <w:r w:rsidR="000A3A81" w:rsidRPr="000A3A81">
        <w:rPr>
          <w:lang w:val="fr-CH"/>
        </w:rPr>
        <w:t>171.12 a) 4) de la disposition 49 comporte des dispositions supplémentaires concernant le transport et l’utilisation de certaines bouteilles canadiennes aux États-Unis.</w:t>
      </w:r>
    </w:p>
    <w:p w:rsidR="000A3A81" w:rsidRPr="000A3A81" w:rsidRDefault="000A3A81" w:rsidP="00EB2E2D">
      <w:pPr>
        <w:pStyle w:val="SingleTxt"/>
        <w:numPr>
          <w:ilvl w:val="0"/>
          <w:numId w:val="6"/>
        </w:numPr>
        <w:tabs>
          <w:tab w:val="left" w:pos="1742"/>
        </w:tabs>
        <w:rPr>
          <w:b/>
          <w:lang w:val="fr-CH"/>
        </w:rPr>
      </w:pPr>
      <w:r w:rsidRPr="000A3A81">
        <w:rPr>
          <w:b/>
          <w:lang w:val="fr-CH"/>
        </w:rPr>
        <w:t>Transport pour l’importation aux États-Unis d’Amérique</w:t>
      </w:r>
    </w:p>
    <w:p w:rsidR="000A3A81" w:rsidRPr="000A3A81" w:rsidRDefault="00B05E5F" w:rsidP="000A3A81">
      <w:pPr>
        <w:pStyle w:val="SingleTxt"/>
        <w:rPr>
          <w:lang w:val="fr-CH"/>
        </w:rPr>
      </w:pPr>
      <w:r>
        <w:rPr>
          <w:lang w:val="fr-CH"/>
        </w:rPr>
        <w:tab/>
      </w:r>
      <w:r w:rsidR="000A3A81" w:rsidRPr="000A3A81">
        <w:rPr>
          <w:lang w:val="fr-CH"/>
        </w:rPr>
        <w:t>a)</w:t>
      </w:r>
      <w:r w:rsidR="000A3A81" w:rsidRPr="000A3A81">
        <w:rPr>
          <w:lang w:val="fr-CH"/>
        </w:rPr>
        <w:tab/>
        <w:t>Le paragraphe</w:t>
      </w:r>
      <w:r>
        <w:rPr>
          <w:lang w:val="fr-CH"/>
        </w:rPr>
        <w:t> 171.23 </w:t>
      </w:r>
      <w:r w:rsidR="000A3A81" w:rsidRPr="000A3A81">
        <w:rPr>
          <w:lang w:val="fr-CH"/>
        </w:rPr>
        <w:t>a) de la disposition 49 prescrit que les bouteilles transportées aux États-Unis en vertu des instructions techniques de l’OACI ou du code IMDG doivent être conformes aux spécifications et prescriptions des États-Unis (bouteilles DOT), sauf dans cert</w:t>
      </w:r>
      <w:r>
        <w:rPr>
          <w:lang w:val="fr-CH"/>
        </w:rPr>
        <w:t>aines cas (détaillés ci-après);</w:t>
      </w:r>
    </w:p>
    <w:p w:rsidR="000A3A81" w:rsidRPr="000A3A81" w:rsidRDefault="00B05E5F" w:rsidP="000A3A81">
      <w:pPr>
        <w:pStyle w:val="SingleTxt"/>
        <w:rPr>
          <w:lang w:val="fr-CH"/>
        </w:rPr>
      </w:pPr>
      <w:r>
        <w:rPr>
          <w:lang w:val="fr-CH"/>
        </w:rPr>
        <w:tab/>
      </w:r>
      <w:r w:rsidR="000A3A81" w:rsidRPr="000A3A81">
        <w:rPr>
          <w:lang w:val="fr-CH"/>
        </w:rPr>
        <w:t>b)</w:t>
      </w:r>
      <w:r w:rsidR="000A3A81" w:rsidRPr="000A3A81">
        <w:rPr>
          <w:lang w:val="fr-CH"/>
        </w:rPr>
        <w:tab/>
        <w:t>Le paragraphe</w:t>
      </w:r>
      <w:r>
        <w:rPr>
          <w:lang w:val="fr-CH"/>
        </w:rPr>
        <w:t> 171.23 a) </w:t>
      </w:r>
      <w:r w:rsidR="000A3A81" w:rsidRPr="000A3A81">
        <w:rPr>
          <w:lang w:val="fr-CH"/>
        </w:rPr>
        <w:t>3) de la disposition 49 permet l’importation de bouteilles étrangères remplies pour le transport et le déchargement dans une seule</w:t>
      </w:r>
      <w:r>
        <w:rPr>
          <w:lang w:val="fr-CH"/>
        </w:rPr>
        <w:t xml:space="preserve"> zone portuaire, avec agrément;</w:t>
      </w:r>
    </w:p>
    <w:p w:rsidR="000A3A81" w:rsidRPr="000A3A81" w:rsidRDefault="00B05E5F" w:rsidP="00B05E5F">
      <w:pPr>
        <w:pStyle w:val="SingleTxt"/>
        <w:ind w:left="1742" w:hanging="475"/>
        <w:rPr>
          <w:lang w:val="fr-CH"/>
        </w:rPr>
      </w:pPr>
      <w:r>
        <w:rPr>
          <w:lang w:val="fr-CH"/>
        </w:rPr>
        <w:tab/>
      </w:r>
      <w:r w:rsidR="000A3A81" w:rsidRPr="000A3A81">
        <w:rPr>
          <w:lang w:val="fr-CH"/>
        </w:rPr>
        <w:t>NOTE</w:t>
      </w:r>
      <w:r>
        <w:rPr>
          <w:lang w:val="fr-CH"/>
        </w:rPr>
        <w:t> </w:t>
      </w:r>
      <w:r w:rsidR="000A3A81" w:rsidRPr="000A3A81">
        <w:rPr>
          <w:lang w:val="fr-CH"/>
        </w:rPr>
        <w:t>:</w:t>
      </w:r>
      <w:r w:rsidR="000A3A81" w:rsidRPr="000A3A81">
        <w:rPr>
          <w:lang w:val="fr-CH"/>
        </w:rPr>
        <w:tab/>
        <w:t xml:space="preserve">L’acheminement ultérieur et le déchargement au-delà d’une seule zone portuaire ont été permis moyennant une autorisation spéciale). Pour solliciter un tel agrément (ou autorisation spéciale) il faut pouvoir démontrer un niveau de sécurité équivalent à celui d’un récipient à pression agréé par le DOT ou de l’ONU comparable. </w:t>
      </w:r>
    </w:p>
    <w:p w:rsidR="000A3A81" w:rsidRDefault="00B05E5F" w:rsidP="000A3A81">
      <w:pPr>
        <w:pStyle w:val="SingleTxt"/>
        <w:rPr>
          <w:lang w:val="fr-CH"/>
        </w:rPr>
      </w:pPr>
      <w:r>
        <w:rPr>
          <w:lang w:val="fr-CH"/>
        </w:rPr>
        <w:tab/>
      </w:r>
      <w:r w:rsidR="000A3A81" w:rsidRPr="000A3A81">
        <w:rPr>
          <w:lang w:val="fr-CH"/>
        </w:rPr>
        <w:t>c)</w:t>
      </w:r>
      <w:r w:rsidR="000A3A81" w:rsidRPr="000A3A81">
        <w:rPr>
          <w:lang w:val="fr-CH"/>
        </w:rPr>
        <w:tab/>
        <w:t>Le paragraphe</w:t>
      </w:r>
      <w:r>
        <w:rPr>
          <w:lang w:val="fr-CH"/>
        </w:rPr>
        <w:t> </w:t>
      </w:r>
      <w:r w:rsidR="000A3A81" w:rsidRPr="000A3A81">
        <w:rPr>
          <w:lang w:val="fr-CH"/>
        </w:rPr>
        <w:t>171.12 a) 4) de la disposition 49 comporte des dispositions supplémentaires concernant le transport et l’utilisation de certaines bouteilles canadiennes aux États-Unis.</w:t>
      </w:r>
    </w:p>
    <w:p w:rsidR="00B05E5F" w:rsidRPr="00B05E5F" w:rsidRDefault="00B05E5F" w:rsidP="00B05E5F">
      <w:pPr>
        <w:pStyle w:val="SingleTxt"/>
        <w:spacing w:after="0" w:line="120" w:lineRule="exact"/>
        <w:rPr>
          <w:sz w:val="10"/>
          <w:lang w:val="fr-CH"/>
        </w:rPr>
      </w:pPr>
    </w:p>
    <w:p w:rsidR="00B05E5F" w:rsidRPr="00B05E5F" w:rsidRDefault="00B05E5F" w:rsidP="00B05E5F">
      <w:pPr>
        <w:pStyle w:val="SingleTxt"/>
        <w:spacing w:after="0" w:line="120" w:lineRule="exact"/>
        <w:rPr>
          <w:sz w:val="10"/>
          <w:lang w:val="fr-CH"/>
        </w:rPr>
      </w:pPr>
    </w:p>
    <w:p w:rsidR="000A3A81" w:rsidRDefault="00B05E5F" w:rsidP="00B05E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A3A81" w:rsidRPr="000A3A81">
        <w:rPr>
          <w:lang w:val="fr-CH"/>
        </w:rPr>
        <w:t xml:space="preserve">Quelles mesures prennent les membres de l’EIGA </w:t>
      </w:r>
      <w:r>
        <w:rPr>
          <w:lang w:val="fr-CH"/>
        </w:rPr>
        <w:br/>
      </w:r>
      <w:r w:rsidR="000A3A81" w:rsidRPr="000A3A81">
        <w:rPr>
          <w:lang w:val="fr-CH"/>
        </w:rPr>
        <w:t>et d’autres pour</w:t>
      </w:r>
      <w:r>
        <w:rPr>
          <w:lang w:val="fr-CH"/>
        </w:rPr>
        <w:t xml:space="preserve"> </w:t>
      </w:r>
      <w:r w:rsidR="000A3A81" w:rsidRPr="000A3A81">
        <w:rPr>
          <w:lang w:val="fr-CH"/>
        </w:rPr>
        <w:t>réduire les problèmes?</w:t>
      </w:r>
    </w:p>
    <w:p w:rsidR="00B05E5F" w:rsidRPr="00B05E5F" w:rsidRDefault="00B05E5F" w:rsidP="00B05E5F">
      <w:pPr>
        <w:pStyle w:val="SingleTxt"/>
        <w:spacing w:after="0" w:line="120" w:lineRule="exact"/>
        <w:rPr>
          <w:sz w:val="10"/>
          <w:lang w:val="fr-CH"/>
        </w:rPr>
      </w:pPr>
    </w:p>
    <w:p w:rsidR="00B05E5F" w:rsidRPr="00B05E5F" w:rsidRDefault="00B05E5F" w:rsidP="00B05E5F">
      <w:pPr>
        <w:pStyle w:val="SingleTxt"/>
        <w:spacing w:after="0" w:line="120" w:lineRule="exact"/>
        <w:rPr>
          <w:sz w:val="10"/>
          <w:lang w:val="fr-CH"/>
        </w:rPr>
      </w:pPr>
    </w:p>
    <w:p w:rsidR="000A3A81" w:rsidRPr="000A3A81" w:rsidRDefault="000A3A81" w:rsidP="00EB2E2D">
      <w:pPr>
        <w:pStyle w:val="SingleTxt"/>
        <w:numPr>
          <w:ilvl w:val="0"/>
          <w:numId w:val="6"/>
        </w:numPr>
        <w:tabs>
          <w:tab w:val="left" w:pos="1742"/>
        </w:tabs>
        <w:rPr>
          <w:lang w:val="fr-CH"/>
        </w:rPr>
      </w:pPr>
      <w:r w:rsidRPr="000A3A81">
        <w:rPr>
          <w:lang w:val="fr-CH"/>
        </w:rPr>
        <w:t>Les membres de l’EIGA souhaitent qu’une solution permanente soit apportée au problème du transport des récipients à pression vers et à partir des États-Unis et leur programme consiste pour cela à</w:t>
      </w:r>
      <w:r w:rsidR="00B05E5F">
        <w:rPr>
          <w:lang w:val="fr-CH"/>
        </w:rPr>
        <w:t> </w:t>
      </w:r>
      <w:r w:rsidRPr="000A3A81">
        <w:rPr>
          <w:lang w:val="fr-CH"/>
        </w:rPr>
        <w:t xml:space="preserve">: </w:t>
      </w:r>
    </w:p>
    <w:p w:rsidR="000A3A81" w:rsidRPr="000A3A81" w:rsidRDefault="000A3A81" w:rsidP="000A3A81">
      <w:pPr>
        <w:pStyle w:val="SingleTxt"/>
        <w:rPr>
          <w:lang w:val="fr-CH"/>
        </w:rPr>
      </w:pPr>
      <w:r w:rsidRPr="000A3A81">
        <w:rPr>
          <w:lang w:val="fr-CH"/>
        </w:rPr>
        <w:tab/>
        <w:t>a)</w:t>
      </w:r>
      <w:r w:rsidRPr="000A3A81">
        <w:rPr>
          <w:lang w:val="fr-CH"/>
        </w:rPr>
        <w:tab/>
        <w:t xml:space="preserve">Acheter le cas échéant des récipients à pression de l’ONU portant l’agrément régional, qui est </w:t>
      </w:r>
      <w:r w:rsidR="00B05E5F">
        <w:rPr>
          <w:lang w:val="fr-CH"/>
        </w:rPr>
        <w:t>« </w:t>
      </w:r>
      <w:r w:rsidRPr="000A3A81">
        <w:rPr>
          <w:lang w:val="fr-CH"/>
        </w:rPr>
        <w:t>pi</w:t>
      </w:r>
      <w:r w:rsidR="00B05E5F">
        <w:rPr>
          <w:lang w:val="fr-CH"/>
        </w:rPr>
        <w:t> »</w:t>
      </w:r>
      <w:r w:rsidRPr="000A3A81">
        <w:rPr>
          <w:lang w:val="fr-CH"/>
        </w:rPr>
        <w:t xml:space="preserve"> ou </w:t>
      </w:r>
      <w:r w:rsidR="00B05E5F">
        <w:rPr>
          <w:lang w:val="fr-CH"/>
        </w:rPr>
        <w:t>« </w:t>
      </w:r>
      <w:r w:rsidRPr="000A3A81">
        <w:rPr>
          <w:lang w:val="fr-CH"/>
        </w:rPr>
        <w:t>USA &amp; CAN</w:t>
      </w:r>
      <w:r w:rsidR="00B05E5F">
        <w:rPr>
          <w:lang w:val="fr-CH"/>
        </w:rPr>
        <w:t> »;</w:t>
      </w:r>
    </w:p>
    <w:p w:rsidR="000A3A81" w:rsidRPr="000A3A81" w:rsidRDefault="00B05E5F" w:rsidP="000A3A81">
      <w:pPr>
        <w:pStyle w:val="SingleTxt"/>
        <w:rPr>
          <w:u w:val="single"/>
          <w:lang w:val="fr-CH"/>
        </w:rPr>
      </w:pPr>
      <w:r>
        <w:rPr>
          <w:u w:val="single"/>
          <w:lang w:val="fr-CH"/>
        </w:rPr>
        <w:t>Quand? </w:t>
      </w:r>
      <w:r w:rsidR="000A3A81" w:rsidRPr="000A3A81">
        <w:rPr>
          <w:u w:val="single"/>
          <w:lang w:val="fr-CH"/>
        </w:rPr>
        <w:t xml:space="preserve">: </w:t>
      </w:r>
      <w:proofErr w:type="gramStart"/>
      <w:r w:rsidR="000A3A81" w:rsidRPr="000A3A81">
        <w:rPr>
          <w:u w:val="single"/>
          <w:lang w:val="fr-CH"/>
        </w:rPr>
        <w:t>en</w:t>
      </w:r>
      <w:proofErr w:type="gramEnd"/>
      <w:r w:rsidR="000A3A81" w:rsidRPr="000A3A81">
        <w:rPr>
          <w:u w:val="single"/>
          <w:lang w:val="fr-CH"/>
        </w:rPr>
        <w:t xml:space="preserve"> cours</w:t>
      </w:r>
    </w:p>
    <w:p w:rsidR="000A3A81" w:rsidRPr="000A3A81" w:rsidRDefault="000A3A81" w:rsidP="000A3A81">
      <w:pPr>
        <w:pStyle w:val="SingleTxt"/>
        <w:rPr>
          <w:lang w:val="fr-CH"/>
        </w:rPr>
      </w:pPr>
      <w:r w:rsidRPr="000A3A81">
        <w:rPr>
          <w:lang w:val="fr-CH"/>
        </w:rPr>
        <w:tab/>
        <w:t>b)</w:t>
      </w:r>
      <w:r w:rsidRPr="000A3A81">
        <w:rPr>
          <w:lang w:val="fr-CH"/>
        </w:rPr>
        <w:tab/>
        <w:t>Œuvrer avec la CGA pour que la réglementation prévoie un permis spécial permettant aux récipients à pression européens d’un type à déterminer d’être importés aux États-Unis pour y être transportés et déchargés ainsi que</w:t>
      </w:r>
      <w:r w:rsidR="00B05E5F">
        <w:rPr>
          <w:lang w:val="fr-CH"/>
        </w:rPr>
        <w:t xml:space="preserve"> remplis en vue d’être exportés; </w:t>
      </w:r>
    </w:p>
    <w:p w:rsidR="000A3A81" w:rsidRPr="000A3A81" w:rsidRDefault="000A3A81" w:rsidP="000A3A81">
      <w:pPr>
        <w:pStyle w:val="SingleTxt"/>
        <w:rPr>
          <w:u w:val="single"/>
          <w:lang w:val="fr-CH"/>
        </w:rPr>
      </w:pPr>
      <w:r w:rsidRPr="000A3A81">
        <w:rPr>
          <w:u w:val="single"/>
          <w:lang w:val="fr-CH"/>
        </w:rPr>
        <w:t xml:space="preserve">Quand? : </w:t>
      </w:r>
      <w:proofErr w:type="gramStart"/>
      <w:r w:rsidRPr="000A3A81">
        <w:rPr>
          <w:u w:val="single"/>
          <w:lang w:val="fr-CH"/>
        </w:rPr>
        <w:t>travail</w:t>
      </w:r>
      <w:proofErr w:type="gramEnd"/>
      <w:r w:rsidRPr="000A3A81">
        <w:rPr>
          <w:u w:val="single"/>
          <w:lang w:val="fr-CH"/>
        </w:rPr>
        <w:t xml:space="preserve"> en cours, qui devrait être soumis au Département des transports des États-Unis d’Amérique (DOT) d’ici </w:t>
      </w:r>
      <w:r w:rsidR="005E262E">
        <w:rPr>
          <w:u w:val="single"/>
          <w:lang w:val="fr-CH"/>
        </w:rPr>
        <w:t>au</w:t>
      </w:r>
      <w:r w:rsidRPr="000A3A81">
        <w:rPr>
          <w:u w:val="single"/>
          <w:lang w:val="fr-CH"/>
        </w:rPr>
        <w:t xml:space="preserve"> deuxième trimestre de 2016; on ne sait pas encore quand auront lieu les consultations ultérieures et quand seront prises les mesures nécessaires. </w:t>
      </w:r>
    </w:p>
    <w:p w:rsidR="000A3A81" w:rsidRPr="000A3A81" w:rsidRDefault="000A3A81" w:rsidP="000A3A81">
      <w:pPr>
        <w:pStyle w:val="SingleTxt"/>
        <w:rPr>
          <w:lang w:val="fr-CH"/>
        </w:rPr>
      </w:pPr>
      <w:r w:rsidRPr="000A3A81">
        <w:rPr>
          <w:lang w:val="fr-CH"/>
        </w:rPr>
        <w:tab/>
        <w:t>c)</w:t>
      </w:r>
      <w:r w:rsidRPr="000A3A81">
        <w:rPr>
          <w:lang w:val="fr-CH"/>
        </w:rPr>
        <w:tab/>
        <w:t>Collaboration avec les autorités européennes compétentes en vue de modifier le texte du RID/ADR pour y incorporer le texte de l’accord multilatéral M237.</w:t>
      </w:r>
      <w:r w:rsidR="00B05E5F">
        <w:rPr>
          <w:lang w:val="fr-CH"/>
        </w:rPr>
        <w:t>;</w:t>
      </w:r>
    </w:p>
    <w:p w:rsidR="000A3A81" w:rsidRPr="000A3A81" w:rsidRDefault="000A3A81" w:rsidP="000A3A81">
      <w:pPr>
        <w:pStyle w:val="SingleTxt"/>
        <w:rPr>
          <w:u w:val="single"/>
          <w:lang w:val="fr-CH"/>
        </w:rPr>
      </w:pPr>
      <w:r w:rsidRPr="000A3A81">
        <w:rPr>
          <w:u w:val="single"/>
          <w:lang w:val="fr-CH"/>
        </w:rPr>
        <w:t xml:space="preserve">Quand? : </w:t>
      </w:r>
      <w:proofErr w:type="gramStart"/>
      <w:r w:rsidRPr="000A3A81">
        <w:rPr>
          <w:u w:val="single"/>
          <w:lang w:val="fr-CH"/>
        </w:rPr>
        <w:t>en</w:t>
      </w:r>
      <w:proofErr w:type="gramEnd"/>
      <w:r w:rsidRPr="000A3A81">
        <w:rPr>
          <w:u w:val="single"/>
          <w:lang w:val="fr-CH"/>
        </w:rPr>
        <w:t xml:space="preserve"> cours</w:t>
      </w:r>
    </w:p>
    <w:p w:rsidR="000A3A81" w:rsidRPr="000A3A81" w:rsidRDefault="000A3A81" w:rsidP="000A3A81">
      <w:pPr>
        <w:pStyle w:val="SingleTxt"/>
        <w:rPr>
          <w:lang w:val="fr-CH"/>
        </w:rPr>
      </w:pPr>
      <w:r w:rsidRPr="000A3A81">
        <w:rPr>
          <w:lang w:val="fr-CH"/>
        </w:rPr>
        <w:tab/>
        <w:t>d)</w:t>
      </w:r>
      <w:r w:rsidRPr="000A3A81">
        <w:rPr>
          <w:lang w:val="fr-CH"/>
        </w:rPr>
        <w:tab/>
        <w:t>Travail en vue de la conclusion d’un nouvel accord multilatéral destiné à couvrir la période de transition ava</w:t>
      </w:r>
      <w:r w:rsidR="00B05E5F">
        <w:rPr>
          <w:lang w:val="fr-CH"/>
        </w:rPr>
        <w:t>nt que le point b) soit réalisé;</w:t>
      </w:r>
      <w:r w:rsidRPr="000A3A81">
        <w:rPr>
          <w:lang w:val="fr-CH"/>
        </w:rPr>
        <w:t xml:space="preserve"> </w:t>
      </w:r>
    </w:p>
    <w:p w:rsidR="000A3A81" w:rsidRDefault="000A3A81" w:rsidP="000A3A81">
      <w:pPr>
        <w:pStyle w:val="SingleTxt"/>
        <w:rPr>
          <w:u w:val="single"/>
          <w:lang w:val="fr-CH"/>
        </w:rPr>
      </w:pPr>
      <w:r w:rsidRPr="000A3A81">
        <w:rPr>
          <w:u w:val="single"/>
          <w:lang w:val="fr-CH"/>
        </w:rPr>
        <w:t xml:space="preserve">Quand? : </w:t>
      </w:r>
      <w:proofErr w:type="gramStart"/>
      <w:r w:rsidRPr="000A3A81">
        <w:rPr>
          <w:u w:val="single"/>
          <w:lang w:val="fr-CH"/>
        </w:rPr>
        <w:t>en</w:t>
      </w:r>
      <w:proofErr w:type="gramEnd"/>
      <w:r w:rsidRPr="000A3A81">
        <w:rPr>
          <w:u w:val="single"/>
          <w:lang w:val="fr-CH"/>
        </w:rPr>
        <w:t xml:space="preserve"> cours</w:t>
      </w:r>
    </w:p>
    <w:p w:rsidR="00B05E5F" w:rsidRPr="00B05E5F" w:rsidRDefault="00B05E5F" w:rsidP="00B05E5F">
      <w:pPr>
        <w:pStyle w:val="SingleTxt"/>
        <w:spacing w:after="0" w:line="120" w:lineRule="exact"/>
        <w:rPr>
          <w:sz w:val="10"/>
          <w:u w:val="single"/>
          <w:lang w:val="fr-CH"/>
        </w:rPr>
      </w:pPr>
    </w:p>
    <w:p w:rsidR="00B05E5F" w:rsidRPr="00B05E5F" w:rsidRDefault="00B05E5F" w:rsidP="00B05E5F">
      <w:pPr>
        <w:pStyle w:val="SingleTxt"/>
        <w:spacing w:after="0" w:line="120" w:lineRule="exact"/>
        <w:rPr>
          <w:sz w:val="10"/>
          <w:u w:val="single"/>
          <w:lang w:val="fr-CH"/>
        </w:rPr>
      </w:pPr>
    </w:p>
    <w:p w:rsidR="000A3A81" w:rsidRDefault="000A3A81" w:rsidP="00B05E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A3A81">
        <w:rPr>
          <w:lang w:val="fr-CH"/>
        </w:rPr>
        <w:tab/>
      </w:r>
      <w:r w:rsidRPr="000A3A81">
        <w:rPr>
          <w:lang w:val="fr-CH"/>
        </w:rPr>
        <w:tab/>
        <w:t xml:space="preserve">Pourquoi est-il besoin d’une modification du texte du RID/ADR </w:t>
      </w:r>
      <w:r w:rsidR="00B05E5F">
        <w:rPr>
          <w:lang w:val="fr-CH"/>
        </w:rPr>
        <w:br/>
      </w:r>
      <w:r w:rsidRPr="000A3A81">
        <w:rPr>
          <w:lang w:val="fr-CH"/>
        </w:rPr>
        <w:t>et d’un accord multilatéral?</w:t>
      </w:r>
    </w:p>
    <w:p w:rsidR="00B05E5F" w:rsidRPr="00B05E5F" w:rsidRDefault="00B05E5F" w:rsidP="00B05E5F">
      <w:pPr>
        <w:pStyle w:val="SingleTxt"/>
        <w:spacing w:after="0" w:line="120" w:lineRule="exact"/>
        <w:rPr>
          <w:sz w:val="10"/>
          <w:lang w:val="fr-CH"/>
        </w:rPr>
      </w:pPr>
    </w:p>
    <w:p w:rsidR="00B05E5F" w:rsidRPr="00B05E5F" w:rsidRDefault="00B05E5F" w:rsidP="00B05E5F">
      <w:pPr>
        <w:pStyle w:val="SingleTxt"/>
        <w:spacing w:after="0" w:line="120" w:lineRule="exact"/>
        <w:rPr>
          <w:sz w:val="10"/>
          <w:lang w:val="fr-CH"/>
        </w:rPr>
      </w:pPr>
    </w:p>
    <w:p w:rsidR="000A3A81" w:rsidRPr="00C5191C" w:rsidRDefault="000A3A81" w:rsidP="00EB2E2D">
      <w:pPr>
        <w:pStyle w:val="SingleTxt"/>
        <w:numPr>
          <w:ilvl w:val="0"/>
          <w:numId w:val="6"/>
        </w:numPr>
        <w:tabs>
          <w:tab w:val="left" w:pos="1742"/>
        </w:tabs>
        <w:rPr>
          <w:lang w:val="fr-CH"/>
        </w:rPr>
      </w:pPr>
      <w:r w:rsidRPr="000A3A81">
        <w:rPr>
          <w:lang w:val="fr-CH"/>
        </w:rPr>
        <w:t>Même si les récipients à pression de l’ONU sont achetés, toutes les bouteilles ne seront pas converties en récipients à pression de l’ONU et même si des progrès sensibles sont réalisés il y aura à l’occasion en Europe une demande de produits spécialisés ayant la souplesse nécessaire à un entreposage intermédiaire.</w:t>
      </w:r>
      <w:r w:rsidRPr="00C5191C">
        <w:rPr>
          <w:lang w:val="fr-CH"/>
        </w:rPr>
        <w:t xml:space="preserve"> </w:t>
      </w:r>
    </w:p>
    <w:p w:rsidR="000A3A81" w:rsidRDefault="000A3A81">
      <w:pPr>
        <w:spacing w:line="240" w:lineRule="auto"/>
      </w:pPr>
      <w:r>
        <w:br w:type="page"/>
      </w:r>
    </w:p>
    <w:p w:rsidR="00D979E9" w:rsidRDefault="000A3A81" w:rsidP="00D979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Annexe</w:t>
      </w:r>
    </w:p>
    <w:p w:rsidR="000A3A81" w:rsidRDefault="000A3A81" w:rsidP="00D979E9">
      <w:pPr>
        <w:pStyle w:val="SingleTxt"/>
        <w:ind w:right="0"/>
        <w:jc w:val="right"/>
      </w:pPr>
      <w:r>
        <w:t>[</w:t>
      </w:r>
      <w:r w:rsidR="00D979E9" w:rsidRPr="00D979E9">
        <w:rPr>
          <w:i/>
        </w:rPr>
        <w:t>Anglais seulement</w:t>
      </w:r>
      <w:r>
        <w:t>]</w:t>
      </w:r>
    </w:p>
    <w:p w:rsidR="00D979E9" w:rsidRPr="00D979E9" w:rsidRDefault="00D979E9" w:rsidP="00D979E9">
      <w:pPr>
        <w:spacing w:line="120" w:lineRule="exact"/>
        <w:rPr>
          <w:sz w:val="10"/>
        </w:rPr>
      </w:pPr>
    </w:p>
    <w:p w:rsidR="00D979E9" w:rsidRPr="00D979E9" w:rsidRDefault="00D979E9" w:rsidP="00D979E9">
      <w:pPr>
        <w:spacing w:line="120" w:lineRule="exact"/>
        <w:rPr>
          <w:sz w:val="10"/>
        </w:rPr>
      </w:pPr>
    </w:p>
    <w:tbl>
      <w:tblPr>
        <w:tblStyle w:val="TableGrid1"/>
        <w:tblW w:w="0" w:type="auto"/>
        <w:tblInd w:w="1267" w:type="dxa"/>
        <w:tblLayout w:type="fixed"/>
        <w:tblCellMar>
          <w:left w:w="14" w:type="dxa"/>
          <w:right w:w="14" w:type="dxa"/>
        </w:tblCellMar>
        <w:tblLook w:val="04A0" w:firstRow="1" w:lastRow="0" w:firstColumn="1" w:lastColumn="0" w:noHBand="0" w:noVBand="1"/>
      </w:tblPr>
      <w:tblGrid>
        <w:gridCol w:w="5587"/>
        <w:gridCol w:w="1575"/>
        <w:gridCol w:w="1575"/>
      </w:tblGrid>
      <w:tr w:rsidR="000A3A81" w:rsidTr="00D979E9">
        <w:trPr>
          <w:trHeight w:val="53"/>
        </w:trPr>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jc w:val="center"/>
              <w:rPr>
                <w:rFonts w:cs="Times New Roman"/>
                <w:b/>
                <w:bCs/>
                <w:spacing w:val="-6"/>
                <w:w w:val="105"/>
                <w:sz w:val="20"/>
                <w:szCs w:val="20"/>
                <w:lang w:val="en-GB"/>
              </w:rPr>
            </w:pPr>
            <w:proofErr w:type="spellStart"/>
            <w:r>
              <w:rPr>
                <w:rFonts w:cs="Times New Roman"/>
                <w:b/>
                <w:bCs/>
                <w:spacing w:val="-6"/>
                <w:w w:val="105"/>
                <w:sz w:val="20"/>
                <w:szCs w:val="20"/>
              </w:rPr>
              <w:t>Chemical</w:t>
            </w:r>
            <w:proofErr w:type="spellEnd"/>
            <w:r>
              <w:rPr>
                <w:rFonts w:cs="Times New Roman"/>
                <w:b/>
                <w:bCs/>
                <w:spacing w:val="-6"/>
                <w:w w:val="105"/>
                <w:sz w:val="20"/>
                <w:szCs w:val="20"/>
              </w:rPr>
              <w:t xml:space="preserve"> </w:t>
            </w:r>
            <w:proofErr w:type="spellStart"/>
            <w:r>
              <w:rPr>
                <w:rFonts w:cs="Times New Roman"/>
                <w:b/>
                <w:bCs/>
                <w:spacing w:val="-6"/>
                <w:w w:val="105"/>
                <w:sz w:val="20"/>
                <w:szCs w:val="20"/>
              </w:rPr>
              <w:t>name</w:t>
            </w:r>
            <w:proofErr w:type="spellEnd"/>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ind w:left="57"/>
              <w:jc w:val="center"/>
              <w:rPr>
                <w:rFonts w:cs="Times New Roman"/>
                <w:b/>
                <w:bCs/>
                <w:spacing w:val="-6"/>
                <w:w w:val="105"/>
                <w:sz w:val="20"/>
                <w:szCs w:val="20"/>
                <w:lang w:val="en-GB"/>
              </w:rPr>
            </w:pPr>
            <w:r>
              <w:rPr>
                <w:rFonts w:cs="Times New Roman"/>
                <w:b/>
                <w:bCs/>
                <w:spacing w:val="-6"/>
                <w:w w:val="105"/>
                <w:sz w:val="20"/>
                <w:szCs w:val="20"/>
              </w:rPr>
              <w:t>Formula</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b/>
                <w:sz w:val="20"/>
                <w:szCs w:val="20"/>
                <w:lang w:val="en-GB"/>
              </w:rPr>
            </w:pPr>
            <w:r>
              <w:rPr>
                <w:rFonts w:cs="Times New Roman"/>
                <w:b/>
                <w:sz w:val="20"/>
                <w:szCs w:val="20"/>
              </w:rPr>
              <w:t xml:space="preserve">UN </w:t>
            </w:r>
            <w:proofErr w:type="spellStart"/>
            <w:r>
              <w:rPr>
                <w:rFonts w:cs="Times New Roman"/>
                <w:b/>
                <w:sz w:val="20"/>
                <w:szCs w:val="20"/>
              </w:rPr>
              <w:t>Number</w:t>
            </w:r>
            <w:proofErr w:type="spellEnd"/>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 xml:space="preserve">0.1% </w:t>
            </w:r>
            <w:proofErr w:type="spellStart"/>
            <w:r>
              <w:rPr>
                <w:rFonts w:cs="Times New Roman"/>
                <w:sz w:val="20"/>
                <w:szCs w:val="20"/>
              </w:rPr>
              <w:t>Methylsilane</w:t>
            </w:r>
            <w:proofErr w:type="spellEnd"/>
            <w:r>
              <w:rPr>
                <w:rFonts w:cs="Times New Roman"/>
                <w:sz w:val="20"/>
                <w:szCs w:val="20"/>
              </w:rPr>
              <w:t xml:space="preserve"> in H2</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UN1954</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Ammonia</w:t>
            </w:r>
            <w:proofErr w:type="spellEnd"/>
            <w:r>
              <w:rPr>
                <w:rFonts w:cs="Times New Roman"/>
                <w:sz w:val="20"/>
                <w:szCs w:val="20"/>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NH3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1005</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B2H6 in H2</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Boron</w:t>
            </w:r>
            <w:proofErr w:type="spellEnd"/>
            <w:r>
              <w:rPr>
                <w:rFonts w:cs="Times New Roman"/>
                <w:sz w:val="20"/>
                <w:szCs w:val="20"/>
              </w:rPr>
              <w:t xml:space="preserve"> </w:t>
            </w:r>
            <w:proofErr w:type="spellStart"/>
            <w:r>
              <w:rPr>
                <w:rFonts w:cs="Times New Roman"/>
                <w:sz w:val="20"/>
                <w:szCs w:val="20"/>
              </w:rPr>
              <w:t>trichloride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BCl3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1741</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Boron</w:t>
            </w:r>
            <w:proofErr w:type="spellEnd"/>
            <w:r>
              <w:rPr>
                <w:rFonts w:cs="Times New Roman"/>
                <w:sz w:val="20"/>
                <w:szCs w:val="20"/>
              </w:rPr>
              <w:t xml:space="preserve"> </w:t>
            </w:r>
            <w:proofErr w:type="spellStart"/>
            <w:r>
              <w:rPr>
                <w:rFonts w:cs="Times New Roman"/>
                <w:sz w:val="20"/>
                <w:szCs w:val="20"/>
              </w:rPr>
              <w:t>trifluoride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BF3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1008</w:t>
            </w:r>
          </w:p>
        </w:tc>
      </w:tr>
      <w:tr w:rsidR="000A3A81" w:rsidRPr="00082D87"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sidRPr="00C5191C">
              <w:rPr>
                <w:rFonts w:cs="Times New Roman"/>
                <w:sz w:val="20"/>
                <w:szCs w:val="20"/>
                <w:lang w:val="en-GB"/>
              </w:rPr>
              <w:t>Calibration Mixtures</w:t>
            </w:r>
            <w:r w:rsidR="00B05E5F" w:rsidRPr="00C5191C">
              <w:rPr>
                <w:rFonts w:cs="Times New Roman"/>
                <w:sz w:val="20"/>
                <w:szCs w:val="20"/>
                <w:lang w:val="en-GB"/>
              </w:rPr>
              <w:t xml:space="preserve"> </w:t>
            </w:r>
            <w:r w:rsidRPr="00C5191C">
              <w:rPr>
                <w:rFonts w:cs="Times New Roman"/>
                <w:sz w:val="20"/>
                <w:szCs w:val="20"/>
                <w:lang w:val="en-GB"/>
              </w:rPr>
              <w:t>(N2 or quad-mixes (10 VPPM H2S+25 VPPM CO+2.2 VOL % CH4+18 VOL % O2 in N2)</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Carbon</w:t>
            </w:r>
            <w:proofErr w:type="spellEnd"/>
            <w:r>
              <w:rPr>
                <w:rFonts w:cs="Times New Roman"/>
                <w:sz w:val="20"/>
                <w:szCs w:val="20"/>
              </w:rPr>
              <w:t xml:space="preserve"> </w:t>
            </w:r>
            <w:proofErr w:type="spellStart"/>
            <w:r>
              <w:rPr>
                <w:rFonts w:cs="Times New Roman"/>
                <w:sz w:val="20"/>
                <w:szCs w:val="20"/>
              </w:rPr>
              <w:t>Monoxide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CO</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1016</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Carbon</w:t>
            </w:r>
            <w:proofErr w:type="spellEnd"/>
            <w:r>
              <w:rPr>
                <w:rFonts w:cs="Times New Roman"/>
                <w:sz w:val="20"/>
                <w:szCs w:val="20"/>
              </w:rPr>
              <w:t xml:space="preserve"> </w:t>
            </w:r>
            <w:proofErr w:type="spellStart"/>
            <w:r>
              <w:rPr>
                <w:rFonts w:cs="Times New Roman"/>
                <w:sz w:val="20"/>
                <w:szCs w:val="20"/>
              </w:rPr>
              <w:t>Tetrafluoride</w:t>
            </w:r>
            <w:proofErr w:type="spellEnd"/>
            <w:r>
              <w:rPr>
                <w:rFonts w:cs="Times New Roman"/>
                <w:sz w:val="20"/>
                <w:szCs w:val="20"/>
              </w:rPr>
              <w:t xml:space="preserve"> (H-14) (CF4)</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Chlorine</w:t>
            </w:r>
            <w:proofErr w:type="spellEnd"/>
            <w:r>
              <w:rPr>
                <w:rFonts w:cs="Times New Roman"/>
                <w:sz w:val="20"/>
                <w:szCs w:val="20"/>
              </w:rPr>
              <w:t xml:space="preserve"> </w:t>
            </w:r>
            <w:proofErr w:type="spellStart"/>
            <w:r>
              <w:rPr>
                <w:rFonts w:cs="Times New Roman"/>
                <w:sz w:val="20"/>
                <w:szCs w:val="20"/>
              </w:rPr>
              <w:t>Trifluoride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1749</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Deuterated</w:t>
            </w:r>
            <w:proofErr w:type="spellEnd"/>
            <w:r>
              <w:rPr>
                <w:rFonts w:cs="Times New Roman"/>
                <w:sz w:val="20"/>
                <w:szCs w:val="20"/>
              </w:rPr>
              <w:t xml:space="preserve"> Silane</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Deuterium</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D</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1957</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Diborane</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B2H6 mixtures</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1911</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Dichlorosilane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SiH2Cl2</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2189</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Dietil</w:t>
            </w:r>
            <w:proofErr w:type="spellEnd"/>
            <w:r>
              <w:rPr>
                <w:rFonts w:cs="Times New Roman"/>
                <w:sz w:val="20"/>
                <w:szCs w:val="20"/>
              </w:rPr>
              <w:t xml:space="preserve"> </w:t>
            </w:r>
            <w:proofErr w:type="spellStart"/>
            <w:r>
              <w:rPr>
                <w:rFonts w:cs="Times New Roman"/>
                <w:sz w:val="20"/>
                <w:szCs w:val="20"/>
              </w:rPr>
              <w:t>Tellerum</w:t>
            </w:r>
            <w:proofErr w:type="spellEnd"/>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Disilane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Si2H6</w:t>
            </w: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Fluorine</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F</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1045</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fr-CH"/>
              </w:rPr>
            </w:pPr>
            <w:r>
              <w:rPr>
                <w:rFonts w:cs="Times New Roman"/>
                <w:sz w:val="20"/>
                <w:szCs w:val="20"/>
                <w:lang w:val="fr-CH"/>
              </w:rPr>
              <w:t>GAS TYPE PT14-3GASIC22 (UN 3161)</w:t>
            </w:r>
            <w:r w:rsidR="00B05E5F">
              <w:rPr>
                <w:rFonts w:cs="Times New Roman"/>
                <w:sz w:val="20"/>
                <w:szCs w:val="20"/>
                <w:lang w:val="fr-CH"/>
              </w:rPr>
              <w:t xml:space="preserve"> </w:t>
            </w:r>
            <w:r>
              <w:rPr>
                <w:rFonts w:cs="Times New Roman"/>
                <w:sz w:val="20"/>
                <w:szCs w:val="20"/>
                <w:lang w:val="fr-CH"/>
              </w:rPr>
              <w:t>-</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fr-CH"/>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fr-CH"/>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Germane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GeH4</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2192</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Germane</w:t>
            </w:r>
            <w:proofErr w:type="spellEnd"/>
            <w:r>
              <w:rPr>
                <w:rFonts w:cs="Times New Roman"/>
                <w:sz w:val="20"/>
                <w:szCs w:val="20"/>
              </w:rPr>
              <w:t xml:space="preserve"> Mixtures</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Germaniun</w:t>
            </w:r>
            <w:proofErr w:type="spellEnd"/>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2192</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Hexafluoroethane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C2F6</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2193</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Hydrogen</w:t>
            </w:r>
            <w:proofErr w:type="spellEnd"/>
            <w:r>
              <w:rPr>
                <w:rFonts w:cs="Times New Roman"/>
                <w:sz w:val="20"/>
                <w:szCs w:val="20"/>
              </w:rPr>
              <w:t xml:space="preserve"> </w:t>
            </w:r>
            <w:proofErr w:type="spellStart"/>
            <w:r>
              <w:rPr>
                <w:rFonts w:cs="Times New Roman"/>
                <w:sz w:val="20"/>
                <w:szCs w:val="20"/>
              </w:rPr>
              <w:t>bromide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HBr</w:t>
            </w:r>
            <w:proofErr w:type="spellEnd"/>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1048</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Hydrogen</w:t>
            </w:r>
            <w:proofErr w:type="spellEnd"/>
            <w:r>
              <w:rPr>
                <w:rFonts w:cs="Times New Roman"/>
                <w:sz w:val="20"/>
                <w:szCs w:val="20"/>
              </w:rPr>
              <w:t xml:space="preserve"> </w:t>
            </w:r>
            <w:proofErr w:type="spellStart"/>
            <w:r>
              <w:rPr>
                <w:rFonts w:cs="Times New Roman"/>
                <w:sz w:val="20"/>
                <w:szCs w:val="20"/>
              </w:rPr>
              <w:t>fluoride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HF</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1052</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Hydrogen</w:t>
            </w:r>
            <w:proofErr w:type="spellEnd"/>
            <w:r>
              <w:rPr>
                <w:rFonts w:cs="Times New Roman"/>
                <w:sz w:val="20"/>
                <w:szCs w:val="20"/>
              </w:rPr>
              <w:t xml:space="preserve"> </w:t>
            </w:r>
            <w:proofErr w:type="spellStart"/>
            <w:r>
              <w:rPr>
                <w:rFonts w:cs="Times New Roman"/>
                <w:sz w:val="20"/>
                <w:szCs w:val="20"/>
              </w:rPr>
              <w:t>selenide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H2Se</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3526 &amp; UN 2202</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Krypton</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|Kr</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1056</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Methyl</w:t>
            </w:r>
            <w:proofErr w:type="spellEnd"/>
            <w:r>
              <w:rPr>
                <w:rFonts w:cs="Times New Roman"/>
                <w:sz w:val="20"/>
                <w:szCs w:val="20"/>
              </w:rPr>
              <w:t xml:space="preserve"> </w:t>
            </w:r>
            <w:proofErr w:type="spellStart"/>
            <w:r>
              <w:rPr>
                <w:rFonts w:cs="Times New Roman"/>
                <w:sz w:val="20"/>
                <w:szCs w:val="20"/>
              </w:rPr>
              <w:t>Fluoride</w:t>
            </w:r>
            <w:proofErr w:type="spellEnd"/>
            <w:r>
              <w:rPr>
                <w:rFonts w:cs="Times New Roman"/>
                <w:sz w:val="20"/>
                <w:szCs w:val="20"/>
              </w:rPr>
              <w:t xml:space="preserve"> </w:t>
            </w:r>
            <w:proofErr w:type="spellStart"/>
            <w:r>
              <w:rPr>
                <w:rFonts w:cs="Times New Roman"/>
                <w:sz w:val="20"/>
                <w:szCs w:val="20"/>
              </w:rPr>
              <w:t>Methyl</w:t>
            </w:r>
            <w:proofErr w:type="spellEnd"/>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Methylsilane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SiH3CH3</w:t>
            </w: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rPr>
                <w:rFonts w:cs="Times New Roman"/>
                <w:sz w:val="20"/>
                <w:szCs w:val="20"/>
                <w:lang w:val="en-GB"/>
              </w:rPr>
            </w:pPr>
          </w:p>
        </w:tc>
      </w:tr>
      <w:tr w:rsidR="000A3A81" w:rsidRPr="00082D87"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sidRPr="00C5191C">
              <w:rPr>
                <w:rFonts w:cs="Times New Roman"/>
                <w:sz w:val="20"/>
                <w:szCs w:val="20"/>
                <w:lang w:val="en-GB"/>
              </w:rPr>
              <w:t>Mixes containing chlorine, phosphine or diborane</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Nitrous</w:t>
            </w:r>
            <w:proofErr w:type="spellEnd"/>
            <w:r>
              <w:rPr>
                <w:rFonts w:cs="Times New Roman"/>
                <w:sz w:val="20"/>
                <w:szCs w:val="20"/>
              </w:rPr>
              <w:t xml:space="preserve"> </w:t>
            </w:r>
            <w:proofErr w:type="spellStart"/>
            <w:r>
              <w:rPr>
                <w:rFonts w:cs="Times New Roman"/>
                <w:sz w:val="20"/>
                <w:szCs w:val="20"/>
              </w:rPr>
              <w:t>Oxide</w:t>
            </w:r>
            <w:proofErr w:type="spellEnd"/>
            <w:r>
              <w:rPr>
                <w:rFonts w:cs="Times New Roman"/>
                <w:sz w:val="20"/>
                <w:szCs w:val="20"/>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N2O</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1070</w:t>
            </w:r>
          </w:p>
        </w:tc>
      </w:tr>
      <w:tr w:rsidR="000A3A81" w:rsidRPr="00082D87"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sidRPr="00C5191C">
              <w:rPr>
                <w:rFonts w:cs="Times New Roman"/>
                <w:sz w:val="20"/>
                <w:szCs w:val="20"/>
                <w:lang w:val="en-GB"/>
              </w:rPr>
              <w:t>Per/Octa/fluoropropane (H-218) (C3F</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PH3 in H2</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rFonts w:cs="Times New Roman"/>
                <w:sz w:val="20"/>
                <w:szCs w:val="20"/>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Phosphine</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PH3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2199</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Phosphorous</w:t>
            </w:r>
            <w:proofErr w:type="spellEnd"/>
            <w:r>
              <w:rPr>
                <w:rFonts w:cs="Times New Roman"/>
                <w:sz w:val="20"/>
                <w:szCs w:val="20"/>
              </w:rPr>
              <w:t xml:space="preserve"> </w:t>
            </w:r>
            <w:proofErr w:type="spellStart"/>
            <w:r>
              <w:rPr>
                <w:rFonts w:cs="Times New Roman"/>
                <w:sz w:val="20"/>
                <w:szCs w:val="20"/>
              </w:rPr>
              <w:t>Trifluoride</w:t>
            </w:r>
            <w:proofErr w:type="spellEnd"/>
            <w:r>
              <w:rPr>
                <w:rFonts w:cs="Times New Roman"/>
                <w:sz w:val="20"/>
                <w:szCs w:val="20"/>
              </w:rPr>
              <w:t xml:space="preserve"> 7X</w:t>
            </w:r>
            <w:r w:rsidR="00B05E5F">
              <w:rPr>
                <w:rFonts w:cs="Times New Roman"/>
                <w:sz w:val="20"/>
                <w:szCs w:val="20"/>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PF3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(UN3308)</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Propylene</w:t>
            </w:r>
            <w:proofErr w:type="spellEnd"/>
            <w:r>
              <w:rPr>
                <w:rFonts w:cs="Times New Roman"/>
                <w:sz w:val="20"/>
                <w:szCs w:val="20"/>
              </w:rPr>
              <w:t xml:space="preserve"> (C3H6)</w:t>
            </w:r>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ind w:left="57"/>
              <w:rPr>
                <w:rFonts w:cs="Times New Roman"/>
                <w:sz w:val="20"/>
                <w:szCs w:val="20"/>
                <w:lang w:val="en-GB"/>
              </w:rPr>
            </w:pPr>
            <w:r>
              <w:rPr>
                <w:rFonts w:cs="Times New Roman"/>
                <w:sz w:val="20"/>
                <w:szCs w:val="20"/>
              </w:rPr>
              <w:t>UN 1077</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Silicon</w:t>
            </w:r>
            <w:proofErr w:type="spellEnd"/>
            <w:r>
              <w:rPr>
                <w:rFonts w:cs="Times New Roman"/>
                <w:sz w:val="20"/>
                <w:szCs w:val="20"/>
              </w:rPr>
              <w:t xml:space="preserve"> </w:t>
            </w:r>
            <w:proofErr w:type="spellStart"/>
            <w:r>
              <w:rPr>
                <w:rFonts w:cs="Times New Roman"/>
                <w:sz w:val="20"/>
                <w:szCs w:val="20"/>
              </w:rPr>
              <w:t>tetrachloride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SiCl4</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1818</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Sulphur</w:t>
            </w:r>
            <w:proofErr w:type="spellEnd"/>
            <w:r>
              <w:rPr>
                <w:rFonts w:cs="Times New Roman"/>
                <w:sz w:val="20"/>
                <w:szCs w:val="20"/>
              </w:rPr>
              <w:t xml:space="preserve"> </w:t>
            </w:r>
            <w:proofErr w:type="spellStart"/>
            <w:r>
              <w:rPr>
                <w:rFonts w:cs="Times New Roman"/>
                <w:sz w:val="20"/>
                <w:szCs w:val="20"/>
              </w:rPr>
              <w:t>Tetrafluoride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tcPr>
          <w:p w:rsidR="000A3A81" w:rsidRDefault="000A3A81">
            <w:pPr>
              <w:spacing w:line="240" w:lineRule="auto"/>
              <w:ind w:left="57"/>
              <w:rPr>
                <w:rFonts w:cs="Times New Roman"/>
                <w:sz w:val="20"/>
                <w:szCs w:val="20"/>
                <w:lang w:val="en-GB"/>
              </w:rPr>
            </w:pP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1859</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Tetramethylsilane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Si(CH</w:t>
            </w:r>
            <w:r>
              <w:rPr>
                <w:rFonts w:ascii="Cambria Math" w:hAnsi="Cambria Math" w:cs="Cambria Math"/>
                <w:sz w:val="20"/>
                <w:szCs w:val="20"/>
              </w:rPr>
              <w:t>₃</w:t>
            </w:r>
            <w:proofErr w:type="gramStart"/>
            <w:r>
              <w:rPr>
                <w:rFonts w:cs="Times New Roman"/>
                <w:sz w:val="20"/>
                <w:szCs w:val="20"/>
              </w:rPr>
              <w:t>)</w:t>
            </w:r>
            <w:r>
              <w:rPr>
                <w:rFonts w:ascii="Cambria Math" w:hAnsi="Cambria Math" w:cs="Cambria Math"/>
                <w:sz w:val="20"/>
                <w:szCs w:val="20"/>
              </w:rPr>
              <w:t>₄</w:t>
            </w:r>
            <w:proofErr w:type="gramEnd"/>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2749</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Titanium</w:t>
            </w:r>
            <w:proofErr w:type="spellEnd"/>
            <w:r>
              <w:rPr>
                <w:rFonts w:cs="Times New Roman"/>
                <w:sz w:val="20"/>
                <w:szCs w:val="20"/>
              </w:rPr>
              <w:t xml:space="preserve"> </w:t>
            </w:r>
            <w:proofErr w:type="spellStart"/>
            <w:r>
              <w:rPr>
                <w:rFonts w:cs="Times New Roman"/>
                <w:sz w:val="20"/>
                <w:szCs w:val="20"/>
              </w:rPr>
              <w:t>tetrachloride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TiCl4</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1838</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Trichlorosilane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SiHCl3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1295</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Trifluoromethane</w:t>
            </w:r>
            <w:proofErr w:type="spellEnd"/>
            <w:r>
              <w:rPr>
                <w:rFonts w:cs="Times New Roman"/>
                <w:sz w:val="20"/>
                <w:szCs w:val="20"/>
              </w:rPr>
              <w:t> </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CHF3</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1984</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Trimethylsilane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SiH</w:t>
            </w:r>
            <w:proofErr w:type="spellEnd"/>
            <w:r>
              <w:rPr>
                <w:rFonts w:cs="Times New Roman"/>
                <w:sz w:val="20"/>
                <w:szCs w:val="20"/>
              </w:rPr>
              <w:t>(CH</w:t>
            </w:r>
            <w:r>
              <w:rPr>
                <w:rFonts w:ascii="Cambria Math" w:hAnsi="Cambria Math" w:cs="Cambria Math"/>
                <w:sz w:val="20"/>
                <w:szCs w:val="20"/>
              </w:rPr>
              <w:t>₃</w:t>
            </w:r>
            <w:proofErr w:type="gramStart"/>
            <w:r>
              <w:rPr>
                <w:rFonts w:cs="Times New Roman"/>
                <w:sz w:val="20"/>
                <w:szCs w:val="20"/>
              </w:rPr>
              <w:t>)</w:t>
            </w:r>
            <w:r>
              <w:rPr>
                <w:rFonts w:ascii="Cambria Math" w:hAnsi="Cambria Math" w:cs="Cambria Math"/>
                <w:sz w:val="20"/>
                <w:szCs w:val="20"/>
              </w:rPr>
              <w:t>₃</w:t>
            </w:r>
            <w:proofErr w:type="gramEnd"/>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1954</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Trimethylborane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b/>
                <w:bCs/>
                <w:sz w:val="20"/>
                <w:szCs w:val="20"/>
              </w:rPr>
              <w:t> </w:t>
            </w:r>
            <w:r>
              <w:rPr>
                <w:rFonts w:cs="Times New Roman"/>
                <w:sz w:val="20"/>
                <w:szCs w:val="20"/>
              </w:rPr>
              <w:t>C</w:t>
            </w:r>
            <w:r>
              <w:rPr>
                <w:rFonts w:cs="Times New Roman"/>
                <w:sz w:val="20"/>
                <w:szCs w:val="20"/>
                <w:vertAlign w:val="subscript"/>
              </w:rPr>
              <w:t>3</w:t>
            </w:r>
            <w:r>
              <w:rPr>
                <w:rFonts w:cs="Times New Roman"/>
                <w:sz w:val="20"/>
                <w:szCs w:val="20"/>
              </w:rPr>
              <w:t>H</w:t>
            </w:r>
            <w:r>
              <w:rPr>
                <w:rFonts w:cs="Times New Roman"/>
                <w:sz w:val="20"/>
                <w:szCs w:val="20"/>
                <w:vertAlign w:val="subscript"/>
              </w:rPr>
              <w:t>9</w:t>
            </w:r>
            <w:r>
              <w:rPr>
                <w:rFonts w:cs="Times New Roman"/>
                <w:sz w:val="20"/>
                <w:szCs w:val="20"/>
              </w:rPr>
              <w:t>B</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3160</w:t>
            </w: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Tungsten</w:t>
            </w:r>
            <w:proofErr w:type="spellEnd"/>
            <w:r>
              <w:rPr>
                <w:rFonts w:cs="Times New Roman"/>
                <w:sz w:val="20"/>
                <w:szCs w:val="20"/>
              </w:rPr>
              <w:t xml:space="preserve"> </w:t>
            </w:r>
            <w:proofErr w:type="spellStart"/>
            <w:r>
              <w:rPr>
                <w:rFonts w:cs="Times New Roman"/>
                <w:sz w:val="20"/>
                <w:szCs w:val="20"/>
              </w:rPr>
              <w:t>hexafluoride</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r>
              <w:rPr>
                <w:rFonts w:cs="Times New Roman"/>
                <w:sz w:val="20"/>
                <w:szCs w:val="20"/>
              </w:rPr>
              <w:t>WF6</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rPr>
                <w:rFonts w:cs="Times New Roman"/>
                <w:sz w:val="20"/>
                <w:szCs w:val="20"/>
                <w:lang w:val="en-GB"/>
              </w:rPr>
            </w:pPr>
            <w:r>
              <w:rPr>
                <w:rFonts w:cs="Times New Roman"/>
                <w:sz w:val="20"/>
                <w:szCs w:val="20"/>
              </w:rPr>
              <w:t>UN 2196</w:t>
            </w:r>
          </w:p>
        </w:tc>
      </w:tr>
      <w:tr w:rsidR="000A3A81" w:rsidRPr="00082D87" w:rsidTr="00D979E9">
        <w:tc>
          <w:tcPr>
            <w:tcW w:w="5587"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ind w:left="57"/>
              <w:rPr>
                <w:rFonts w:cs="Times New Roman"/>
                <w:sz w:val="20"/>
                <w:szCs w:val="20"/>
                <w:lang w:val="en-GB"/>
              </w:rPr>
            </w:pPr>
            <w:r w:rsidRPr="00C5191C">
              <w:rPr>
                <w:rFonts w:cs="Times New Roman"/>
                <w:sz w:val="20"/>
                <w:szCs w:val="20"/>
                <w:lang w:val="en-GB"/>
              </w:rPr>
              <w:t>Various multicomponent mixtures containing Fluorine + Argon/Helium/Krypton/Xenon/Neon</w:t>
            </w: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pacing w:line="240" w:lineRule="auto"/>
              <w:ind w:left="57"/>
              <w:rPr>
                <w:lang w:val="en-GB"/>
              </w:rPr>
            </w:pPr>
          </w:p>
        </w:tc>
        <w:tc>
          <w:tcPr>
            <w:tcW w:w="1575" w:type="dxa"/>
            <w:tcBorders>
              <w:top w:val="single" w:sz="4" w:space="0" w:color="auto"/>
              <w:left w:val="single" w:sz="4" w:space="0" w:color="auto"/>
              <w:bottom w:val="single" w:sz="4" w:space="0" w:color="auto"/>
              <w:right w:val="single" w:sz="4" w:space="0" w:color="auto"/>
            </w:tcBorders>
          </w:tcPr>
          <w:p w:rsidR="000A3A81" w:rsidRDefault="000A3A81">
            <w:pPr>
              <w:suppressAutoHyphens/>
              <w:spacing w:line="240" w:lineRule="atLeast"/>
              <w:rPr>
                <w:lang w:val="en-GB"/>
              </w:rPr>
            </w:pPr>
          </w:p>
        </w:tc>
      </w:tr>
      <w:tr w:rsidR="000A3A81" w:rsidTr="00D979E9">
        <w:tc>
          <w:tcPr>
            <w:tcW w:w="5587"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ind w:left="57"/>
              <w:rPr>
                <w:rFonts w:cs="Times New Roman"/>
                <w:sz w:val="20"/>
                <w:szCs w:val="20"/>
                <w:lang w:val="en-GB"/>
              </w:rPr>
            </w:pPr>
            <w:proofErr w:type="spellStart"/>
            <w:r>
              <w:rPr>
                <w:rFonts w:cs="Times New Roman"/>
                <w:sz w:val="20"/>
                <w:szCs w:val="20"/>
              </w:rPr>
              <w:t>Xenon</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rsidR="000A3A81" w:rsidRDefault="000A3A81">
            <w:pPr>
              <w:spacing w:line="240" w:lineRule="auto"/>
              <w:rPr>
                <w:rFonts w:cs="Times New Roman"/>
                <w:sz w:val="20"/>
                <w:szCs w:val="20"/>
                <w:lang w:val="en-GB"/>
              </w:rPr>
            </w:pPr>
            <w:r>
              <w:rPr>
                <w:rFonts w:cs="Times New Roman"/>
                <w:sz w:val="20"/>
                <w:szCs w:val="20"/>
              </w:rPr>
              <w:t>Xe</w:t>
            </w:r>
          </w:p>
        </w:tc>
        <w:tc>
          <w:tcPr>
            <w:tcW w:w="1575" w:type="dxa"/>
            <w:tcBorders>
              <w:top w:val="single" w:sz="4" w:space="0" w:color="auto"/>
              <w:left w:val="single" w:sz="4" w:space="0" w:color="auto"/>
              <w:bottom w:val="single" w:sz="4" w:space="0" w:color="auto"/>
              <w:right w:val="single" w:sz="4" w:space="0" w:color="auto"/>
            </w:tcBorders>
            <w:hideMark/>
          </w:tcPr>
          <w:p w:rsidR="000A3A81" w:rsidRDefault="000A3A81">
            <w:pPr>
              <w:spacing w:line="240" w:lineRule="auto"/>
              <w:ind w:left="57"/>
              <w:rPr>
                <w:rFonts w:cs="Times New Roman"/>
                <w:sz w:val="20"/>
                <w:szCs w:val="20"/>
                <w:lang w:val="en-GB"/>
              </w:rPr>
            </w:pPr>
            <w:r>
              <w:rPr>
                <w:rFonts w:cs="Times New Roman"/>
                <w:sz w:val="20"/>
                <w:szCs w:val="20"/>
              </w:rPr>
              <w:t>UN 2036</w:t>
            </w:r>
          </w:p>
        </w:tc>
      </w:tr>
    </w:tbl>
    <w:p w:rsidR="00102ADA" w:rsidRPr="00D979E9" w:rsidRDefault="00D979E9" w:rsidP="00D979E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2ADA" w:rsidRPr="00D979E9" w:rsidSect="00102ADA">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69" w:rsidRDefault="00571A69" w:rsidP="00F3330B">
      <w:pPr>
        <w:spacing w:line="240" w:lineRule="auto"/>
      </w:pPr>
      <w:r>
        <w:separator/>
      </w:r>
    </w:p>
  </w:endnote>
  <w:endnote w:type="continuationSeparator" w:id="0">
    <w:p w:rsidR="00571A69" w:rsidRDefault="00571A6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02ADA" w:rsidTr="00102ADA">
      <w:trPr>
        <w:jc w:val="center"/>
      </w:trPr>
      <w:tc>
        <w:tcPr>
          <w:tcW w:w="5126" w:type="dxa"/>
          <w:shd w:val="clear" w:color="auto" w:fill="auto"/>
        </w:tcPr>
        <w:p w:rsidR="00102ADA" w:rsidRPr="00102ADA" w:rsidRDefault="00102ADA" w:rsidP="00102A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2D87">
            <w:rPr>
              <w:b w:val="0"/>
              <w:w w:val="103"/>
              <w:sz w:val="14"/>
            </w:rPr>
            <w:t>GE.15-22668</w:t>
          </w:r>
          <w:r>
            <w:rPr>
              <w:b w:val="0"/>
              <w:w w:val="103"/>
              <w:sz w:val="14"/>
            </w:rPr>
            <w:fldChar w:fldCharType="end"/>
          </w:r>
        </w:p>
      </w:tc>
      <w:tc>
        <w:tcPr>
          <w:tcW w:w="5127" w:type="dxa"/>
          <w:shd w:val="clear" w:color="auto" w:fill="auto"/>
        </w:tcPr>
        <w:p w:rsidR="00102ADA" w:rsidRPr="00102ADA" w:rsidRDefault="00102ADA" w:rsidP="00102ADA">
          <w:pPr>
            <w:pStyle w:val="Footer"/>
            <w:rPr>
              <w:w w:val="103"/>
            </w:rPr>
          </w:pPr>
          <w:r>
            <w:rPr>
              <w:w w:val="103"/>
            </w:rPr>
            <w:fldChar w:fldCharType="begin"/>
          </w:r>
          <w:r>
            <w:rPr>
              <w:w w:val="103"/>
            </w:rPr>
            <w:instrText xml:space="preserve"> PAGE  \* Arabic  \* MERGEFORMAT </w:instrText>
          </w:r>
          <w:r>
            <w:rPr>
              <w:w w:val="103"/>
            </w:rPr>
            <w:fldChar w:fldCharType="separate"/>
          </w:r>
          <w:r w:rsidR="00082D87">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2D87">
            <w:rPr>
              <w:noProof/>
              <w:w w:val="103"/>
            </w:rPr>
            <w:t>7</w:t>
          </w:r>
          <w:r>
            <w:rPr>
              <w:w w:val="103"/>
            </w:rPr>
            <w:fldChar w:fldCharType="end"/>
          </w:r>
        </w:p>
      </w:tc>
    </w:tr>
  </w:tbl>
  <w:p w:rsidR="00102ADA" w:rsidRPr="00102ADA" w:rsidRDefault="00102ADA" w:rsidP="0010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02ADA" w:rsidTr="00102ADA">
      <w:trPr>
        <w:jc w:val="center"/>
      </w:trPr>
      <w:tc>
        <w:tcPr>
          <w:tcW w:w="5126" w:type="dxa"/>
          <w:shd w:val="clear" w:color="auto" w:fill="auto"/>
        </w:tcPr>
        <w:p w:rsidR="00102ADA" w:rsidRPr="00102ADA" w:rsidRDefault="00102ADA" w:rsidP="00102AD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2D87">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2D87">
            <w:rPr>
              <w:noProof/>
              <w:w w:val="103"/>
            </w:rPr>
            <w:t>7</w:t>
          </w:r>
          <w:r>
            <w:rPr>
              <w:w w:val="103"/>
            </w:rPr>
            <w:fldChar w:fldCharType="end"/>
          </w:r>
        </w:p>
      </w:tc>
      <w:tc>
        <w:tcPr>
          <w:tcW w:w="5127" w:type="dxa"/>
          <w:shd w:val="clear" w:color="auto" w:fill="auto"/>
        </w:tcPr>
        <w:p w:rsidR="00102ADA" w:rsidRPr="00102ADA" w:rsidRDefault="00102ADA" w:rsidP="00102A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2D87">
            <w:rPr>
              <w:b w:val="0"/>
              <w:w w:val="103"/>
              <w:sz w:val="14"/>
            </w:rPr>
            <w:t>GE.15-22668</w:t>
          </w:r>
          <w:r>
            <w:rPr>
              <w:b w:val="0"/>
              <w:w w:val="103"/>
              <w:sz w:val="14"/>
            </w:rPr>
            <w:fldChar w:fldCharType="end"/>
          </w:r>
        </w:p>
      </w:tc>
    </w:tr>
  </w:tbl>
  <w:p w:rsidR="00102ADA" w:rsidRPr="00102ADA" w:rsidRDefault="00102ADA" w:rsidP="00102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DA" w:rsidRDefault="00102ADA">
    <w:pPr>
      <w:pStyle w:val="Footer"/>
    </w:pPr>
    <w:r>
      <w:rPr>
        <w:noProof/>
        <w:lang w:val="en-GB" w:eastAsia="en-GB"/>
      </w:rPr>
      <w:drawing>
        <wp:anchor distT="0" distB="0" distL="114300" distR="114300" simplePos="0" relativeHeight="251658240" behindDoc="0" locked="0" layoutInCell="1" allowOverlap="1" wp14:anchorId="5A67058E" wp14:editId="3D4CF9F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02ADA" w:rsidTr="00102ADA">
      <w:tc>
        <w:tcPr>
          <w:tcW w:w="3859" w:type="dxa"/>
        </w:tcPr>
        <w:p w:rsidR="00102ADA" w:rsidRDefault="00102ADA" w:rsidP="00102AD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82D87">
            <w:rPr>
              <w:b w:val="0"/>
              <w:sz w:val="20"/>
            </w:rPr>
            <w:t>GE.15-22668 (F)</w:t>
          </w:r>
          <w:r>
            <w:rPr>
              <w:b w:val="0"/>
              <w:sz w:val="20"/>
            </w:rPr>
            <w:fldChar w:fldCharType="end"/>
          </w:r>
          <w:r>
            <w:rPr>
              <w:b w:val="0"/>
              <w:sz w:val="20"/>
            </w:rPr>
            <w:t xml:space="preserve">    </w:t>
          </w:r>
          <w:r w:rsidR="000A3A81">
            <w:rPr>
              <w:b w:val="0"/>
              <w:sz w:val="20"/>
            </w:rPr>
            <w:t>09</w:t>
          </w:r>
          <w:r>
            <w:rPr>
              <w:b w:val="0"/>
              <w:sz w:val="20"/>
            </w:rPr>
            <w:t>0216    150216</w:t>
          </w:r>
        </w:p>
        <w:p w:rsidR="00102ADA" w:rsidRPr="00102ADA" w:rsidRDefault="00102ADA" w:rsidP="00102AD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82D87">
            <w:rPr>
              <w:rFonts w:ascii="Barcode 3 of 9 by request" w:hAnsi="Barcode 3 of 9 by request"/>
              <w:b w:val="0"/>
              <w:spacing w:val="0"/>
              <w:w w:val="100"/>
              <w:sz w:val="24"/>
            </w:rPr>
            <w:t>*1522668*</w:t>
          </w:r>
          <w:r>
            <w:rPr>
              <w:rFonts w:ascii="Barcode 3 of 9 by request" w:hAnsi="Barcode 3 of 9 by request"/>
              <w:b w:val="0"/>
              <w:spacing w:val="0"/>
              <w:w w:val="100"/>
              <w:sz w:val="24"/>
            </w:rPr>
            <w:fldChar w:fldCharType="end"/>
          </w:r>
        </w:p>
      </w:tc>
      <w:tc>
        <w:tcPr>
          <w:tcW w:w="5127" w:type="dxa"/>
        </w:tcPr>
        <w:p w:rsidR="00102ADA" w:rsidRDefault="00102ADA" w:rsidP="00102ADA">
          <w:pPr>
            <w:pStyle w:val="Footer"/>
            <w:spacing w:line="240" w:lineRule="atLeast"/>
            <w:jc w:val="right"/>
            <w:rPr>
              <w:b w:val="0"/>
              <w:sz w:val="20"/>
            </w:rPr>
          </w:pPr>
          <w:r>
            <w:rPr>
              <w:b w:val="0"/>
              <w:noProof/>
              <w:sz w:val="20"/>
              <w:lang w:val="en-GB" w:eastAsia="en-GB"/>
            </w:rPr>
            <w:drawing>
              <wp:inline distT="0" distB="0" distL="0" distR="0" wp14:anchorId="4D1F6435" wp14:editId="4854246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02ADA" w:rsidRPr="00102ADA" w:rsidRDefault="00102ADA" w:rsidP="00102AD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69" w:rsidRPr="000A3A81" w:rsidRDefault="000A3A81" w:rsidP="000A3A81">
      <w:pPr>
        <w:pStyle w:val="Footer"/>
        <w:spacing w:after="80"/>
        <w:ind w:left="792"/>
        <w:rPr>
          <w:sz w:val="16"/>
        </w:rPr>
      </w:pPr>
      <w:r w:rsidRPr="000A3A81">
        <w:rPr>
          <w:sz w:val="16"/>
        </w:rPr>
        <w:t>__________________</w:t>
      </w:r>
    </w:p>
  </w:footnote>
  <w:footnote w:type="continuationSeparator" w:id="0">
    <w:p w:rsidR="00571A69" w:rsidRPr="000A3A81" w:rsidRDefault="000A3A81" w:rsidP="000A3A81">
      <w:pPr>
        <w:pStyle w:val="Footer"/>
        <w:spacing w:after="80"/>
        <w:ind w:left="792"/>
        <w:rPr>
          <w:sz w:val="16"/>
        </w:rPr>
      </w:pPr>
      <w:r w:rsidRPr="000A3A81">
        <w:rPr>
          <w:sz w:val="16"/>
        </w:rPr>
        <w:t>__________________</w:t>
      </w:r>
    </w:p>
  </w:footnote>
  <w:footnote w:id="1">
    <w:p w:rsidR="000A3A81" w:rsidRPr="000A3A81" w:rsidRDefault="000A3A81" w:rsidP="000A3A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Pr>
          <w:sz w:val="20"/>
        </w:rPr>
        <w:tab/>
      </w:r>
      <w:r>
        <w:rPr>
          <w:rStyle w:val="FootnoteReference"/>
        </w:rPr>
        <w:footnoteRef/>
      </w:r>
      <w:r>
        <w:rPr>
          <w:sz w:val="20"/>
        </w:rPr>
        <w:tab/>
      </w:r>
      <w:r w:rsidRPr="000A3A81">
        <w:rPr>
          <w:spacing w:val="5"/>
          <w:w w:val="104"/>
          <w:lang w:val="fr-CH"/>
        </w:rPr>
        <w:t>Conformément au projet de programme de travail du Comité des transports intérieurs pour la période 2016-2017, (ECE/TRANS/WP.15/2015/19 (9.2)).</w:t>
      </w:r>
    </w:p>
  </w:footnote>
  <w:footnote w:id="2">
    <w:p w:rsidR="000A3A81" w:rsidRPr="000A3A81" w:rsidRDefault="000A3A81" w:rsidP="000A3A81">
      <w:pPr>
        <w:pStyle w:val="FootnoteText"/>
        <w:tabs>
          <w:tab w:val="right" w:pos="1195"/>
          <w:tab w:val="left" w:pos="1267"/>
          <w:tab w:val="left" w:pos="1742"/>
          <w:tab w:val="left" w:pos="2218"/>
          <w:tab w:val="left" w:pos="2693"/>
        </w:tabs>
        <w:ind w:left="1267" w:right="1260" w:hanging="432"/>
        <w:jc w:val="both"/>
        <w:rPr>
          <w:spacing w:val="5"/>
          <w:w w:val="104"/>
          <w:lang w:val="fr-CH"/>
        </w:rPr>
      </w:pPr>
      <w:r>
        <w:rPr>
          <w:sz w:val="20"/>
        </w:rPr>
        <w:tab/>
      </w:r>
      <w:r>
        <w:rPr>
          <w:rStyle w:val="FootnoteReference"/>
        </w:rPr>
        <w:footnoteRef/>
      </w:r>
      <w:r>
        <w:rPr>
          <w:sz w:val="20"/>
        </w:rPr>
        <w:tab/>
      </w:r>
      <w:r w:rsidRPr="000A3A81">
        <w:rPr>
          <w:spacing w:val="5"/>
          <w:w w:val="104"/>
          <w:lang w:val="fr-CH"/>
        </w:rPr>
        <w:t>Diffusée par l’Organisation intergouvernementale pour les transports internationaux ferroviaires (OTIF) sous la cote OTIF/RID/RC/2016/8.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02ADA" w:rsidTr="00102ADA">
      <w:trPr>
        <w:trHeight w:hRule="exact" w:val="864"/>
        <w:jc w:val="center"/>
      </w:trPr>
      <w:tc>
        <w:tcPr>
          <w:tcW w:w="4882" w:type="dxa"/>
          <w:shd w:val="clear" w:color="auto" w:fill="auto"/>
          <w:vAlign w:val="bottom"/>
        </w:tcPr>
        <w:p w:rsidR="00102ADA" w:rsidRPr="00102ADA" w:rsidRDefault="00102ADA" w:rsidP="00102A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2D87">
            <w:rPr>
              <w:b/>
              <w:color w:val="000000"/>
            </w:rPr>
            <w:t>ECE/TRANS/WP.15/AC.1/2016/8</w:t>
          </w:r>
          <w:r>
            <w:rPr>
              <w:b/>
              <w:color w:val="000000"/>
            </w:rPr>
            <w:fldChar w:fldCharType="end"/>
          </w:r>
        </w:p>
      </w:tc>
      <w:tc>
        <w:tcPr>
          <w:tcW w:w="5127" w:type="dxa"/>
          <w:shd w:val="clear" w:color="auto" w:fill="auto"/>
          <w:vAlign w:val="bottom"/>
        </w:tcPr>
        <w:p w:rsidR="00102ADA" w:rsidRDefault="00102ADA" w:rsidP="00102ADA">
          <w:pPr>
            <w:pStyle w:val="Header"/>
          </w:pPr>
        </w:p>
      </w:tc>
    </w:tr>
  </w:tbl>
  <w:p w:rsidR="00102ADA" w:rsidRPr="00102ADA" w:rsidRDefault="00102ADA" w:rsidP="00102AD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02ADA" w:rsidTr="00102ADA">
      <w:trPr>
        <w:trHeight w:hRule="exact" w:val="864"/>
        <w:jc w:val="center"/>
      </w:trPr>
      <w:tc>
        <w:tcPr>
          <w:tcW w:w="4882" w:type="dxa"/>
          <w:shd w:val="clear" w:color="auto" w:fill="auto"/>
          <w:vAlign w:val="bottom"/>
        </w:tcPr>
        <w:p w:rsidR="00102ADA" w:rsidRDefault="00102ADA" w:rsidP="00102ADA">
          <w:pPr>
            <w:pStyle w:val="Header"/>
          </w:pPr>
        </w:p>
      </w:tc>
      <w:tc>
        <w:tcPr>
          <w:tcW w:w="5127" w:type="dxa"/>
          <w:shd w:val="clear" w:color="auto" w:fill="auto"/>
          <w:vAlign w:val="bottom"/>
        </w:tcPr>
        <w:p w:rsidR="00102ADA" w:rsidRPr="00102ADA" w:rsidRDefault="00102ADA" w:rsidP="00102A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2D87">
            <w:rPr>
              <w:b/>
              <w:color w:val="000000"/>
            </w:rPr>
            <w:t>ECE/TRANS/WP.15/AC.1/2016/8</w:t>
          </w:r>
          <w:r>
            <w:rPr>
              <w:b/>
              <w:color w:val="000000"/>
            </w:rPr>
            <w:fldChar w:fldCharType="end"/>
          </w:r>
        </w:p>
      </w:tc>
    </w:tr>
  </w:tbl>
  <w:p w:rsidR="00102ADA" w:rsidRPr="00102ADA" w:rsidRDefault="00102ADA" w:rsidP="00102AD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02ADA" w:rsidTr="00102ADA">
      <w:trPr>
        <w:trHeight w:hRule="exact" w:val="864"/>
      </w:trPr>
      <w:tc>
        <w:tcPr>
          <w:tcW w:w="1267" w:type="dxa"/>
          <w:tcBorders>
            <w:bottom w:val="single" w:sz="4" w:space="0" w:color="auto"/>
          </w:tcBorders>
          <w:shd w:val="clear" w:color="auto" w:fill="auto"/>
          <w:vAlign w:val="bottom"/>
        </w:tcPr>
        <w:p w:rsidR="00102ADA" w:rsidRDefault="00102ADA" w:rsidP="00102ADA">
          <w:pPr>
            <w:pStyle w:val="Header"/>
            <w:spacing w:after="120"/>
          </w:pPr>
        </w:p>
      </w:tc>
      <w:tc>
        <w:tcPr>
          <w:tcW w:w="2059" w:type="dxa"/>
          <w:tcBorders>
            <w:bottom w:val="single" w:sz="4" w:space="0" w:color="auto"/>
          </w:tcBorders>
          <w:shd w:val="clear" w:color="auto" w:fill="auto"/>
          <w:vAlign w:val="bottom"/>
        </w:tcPr>
        <w:p w:rsidR="00102ADA" w:rsidRPr="00102ADA" w:rsidRDefault="00102ADA" w:rsidP="00102AD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02ADA" w:rsidRDefault="00102ADA" w:rsidP="00102ADA">
          <w:pPr>
            <w:pStyle w:val="Header"/>
            <w:spacing w:after="120"/>
          </w:pPr>
        </w:p>
      </w:tc>
      <w:tc>
        <w:tcPr>
          <w:tcW w:w="6653" w:type="dxa"/>
          <w:gridSpan w:val="4"/>
          <w:tcBorders>
            <w:bottom w:val="single" w:sz="4" w:space="0" w:color="auto"/>
          </w:tcBorders>
          <w:shd w:val="clear" w:color="auto" w:fill="auto"/>
          <w:vAlign w:val="bottom"/>
        </w:tcPr>
        <w:p w:rsidR="00102ADA" w:rsidRPr="00102ADA" w:rsidRDefault="00102ADA" w:rsidP="00102ADA">
          <w:pPr>
            <w:spacing w:after="80" w:line="240" w:lineRule="auto"/>
            <w:jc w:val="right"/>
            <w:rPr>
              <w:position w:val="-4"/>
            </w:rPr>
          </w:pPr>
          <w:r>
            <w:rPr>
              <w:position w:val="-4"/>
              <w:sz w:val="40"/>
            </w:rPr>
            <w:t>ECE</w:t>
          </w:r>
          <w:r>
            <w:rPr>
              <w:position w:val="-4"/>
            </w:rPr>
            <w:t>/TRANS/WP.15/AC.1/2016/8</w:t>
          </w:r>
        </w:p>
      </w:tc>
    </w:tr>
    <w:tr w:rsidR="00102ADA" w:rsidRPr="00102ADA" w:rsidTr="00102ADA">
      <w:trPr>
        <w:gridAfter w:val="1"/>
        <w:wAfter w:w="18" w:type="dxa"/>
        <w:trHeight w:hRule="exact" w:val="2880"/>
      </w:trPr>
      <w:tc>
        <w:tcPr>
          <w:tcW w:w="1267" w:type="dxa"/>
          <w:tcBorders>
            <w:top w:val="single" w:sz="4" w:space="0" w:color="auto"/>
            <w:bottom w:val="single" w:sz="12" w:space="0" w:color="auto"/>
          </w:tcBorders>
          <w:shd w:val="clear" w:color="auto" w:fill="auto"/>
        </w:tcPr>
        <w:p w:rsidR="00102ADA" w:rsidRPr="00102ADA" w:rsidRDefault="00102ADA" w:rsidP="00102ADA">
          <w:pPr>
            <w:pStyle w:val="Header"/>
            <w:spacing w:before="120" w:line="240" w:lineRule="auto"/>
            <w:ind w:left="-72"/>
            <w:jc w:val="center"/>
          </w:pPr>
          <w:r>
            <w:t xml:space="preserve">  </w:t>
          </w:r>
          <w:r>
            <w:rPr>
              <w:noProof/>
              <w:lang w:val="en-GB" w:eastAsia="en-GB"/>
            </w:rPr>
            <w:drawing>
              <wp:inline distT="0" distB="0" distL="0" distR="0" wp14:anchorId="6C68F9E3" wp14:editId="1247752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02ADA" w:rsidRPr="00102ADA" w:rsidRDefault="00102ADA" w:rsidP="00102AD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02ADA" w:rsidRPr="00102ADA" w:rsidRDefault="00102ADA" w:rsidP="00102ADA">
          <w:pPr>
            <w:pStyle w:val="Header"/>
            <w:spacing w:before="109"/>
          </w:pPr>
        </w:p>
      </w:tc>
      <w:tc>
        <w:tcPr>
          <w:tcW w:w="3280" w:type="dxa"/>
          <w:tcBorders>
            <w:top w:val="single" w:sz="4" w:space="0" w:color="auto"/>
            <w:bottom w:val="single" w:sz="12" w:space="0" w:color="auto"/>
          </w:tcBorders>
          <w:shd w:val="clear" w:color="auto" w:fill="auto"/>
        </w:tcPr>
        <w:p w:rsidR="00102ADA" w:rsidRPr="00C5191C" w:rsidRDefault="00102ADA" w:rsidP="00102ADA">
          <w:pPr>
            <w:pStyle w:val="Distribution"/>
            <w:rPr>
              <w:color w:val="000000"/>
              <w:lang w:val="fr-CH"/>
            </w:rPr>
          </w:pPr>
          <w:proofErr w:type="spellStart"/>
          <w:r w:rsidRPr="00C5191C">
            <w:rPr>
              <w:color w:val="000000"/>
              <w:lang w:val="fr-CH"/>
            </w:rPr>
            <w:t>Distr</w:t>
          </w:r>
          <w:proofErr w:type="spellEnd"/>
          <w:r w:rsidRPr="00C5191C">
            <w:rPr>
              <w:color w:val="000000"/>
              <w:lang w:val="fr-CH"/>
            </w:rPr>
            <w:t>. générale</w:t>
          </w:r>
        </w:p>
        <w:p w:rsidR="00102ADA" w:rsidRPr="00C5191C" w:rsidRDefault="00102ADA" w:rsidP="00102ADA">
          <w:pPr>
            <w:pStyle w:val="Publication"/>
            <w:rPr>
              <w:color w:val="000000"/>
              <w:lang w:val="fr-CH"/>
            </w:rPr>
          </w:pPr>
          <w:r w:rsidRPr="00C5191C">
            <w:rPr>
              <w:color w:val="000000"/>
              <w:lang w:val="fr-CH"/>
            </w:rPr>
            <w:t>22 décembre 2015</w:t>
          </w:r>
        </w:p>
        <w:p w:rsidR="00102ADA" w:rsidRPr="00C5191C" w:rsidRDefault="00102ADA" w:rsidP="00102ADA">
          <w:pPr>
            <w:rPr>
              <w:lang w:val="fr-CH"/>
            </w:rPr>
          </w:pPr>
          <w:r w:rsidRPr="00C5191C">
            <w:rPr>
              <w:lang w:val="fr-CH"/>
            </w:rPr>
            <w:t>Français</w:t>
          </w:r>
        </w:p>
        <w:p w:rsidR="00102ADA" w:rsidRPr="00C5191C" w:rsidRDefault="00102ADA" w:rsidP="00102ADA">
          <w:pPr>
            <w:pStyle w:val="Original"/>
            <w:rPr>
              <w:color w:val="000000"/>
              <w:lang w:val="fr-CH"/>
            </w:rPr>
          </w:pPr>
          <w:r w:rsidRPr="00C5191C">
            <w:rPr>
              <w:color w:val="000000"/>
              <w:lang w:val="fr-CH"/>
            </w:rPr>
            <w:t>Original : anglais</w:t>
          </w:r>
        </w:p>
      </w:tc>
    </w:tr>
  </w:tbl>
  <w:p w:rsidR="00102ADA" w:rsidRPr="00C5191C" w:rsidRDefault="00102ADA" w:rsidP="00102AD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3554DB6"/>
    <w:multiLevelType w:val="hybridMultilevel"/>
    <w:tmpl w:val="6C964920"/>
    <w:lvl w:ilvl="0" w:tplc="EDB036D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46C4F"/>
    <w:multiLevelType w:val="singleLevel"/>
    <w:tmpl w:val="510ED91E"/>
    <w:lvl w:ilvl="0">
      <w:start w:val="1"/>
      <w:numFmt w:val="decimal"/>
      <w:lvlRestart w:val="0"/>
      <w:lvlText w:val="%1."/>
      <w:lvlJc w:val="left"/>
      <w:pPr>
        <w:tabs>
          <w:tab w:val="num" w:pos="1742"/>
        </w:tabs>
        <w:ind w:left="1267" w:firstLine="0"/>
      </w:pPr>
      <w:rPr>
        <w:b w:val="0"/>
        <w:w w:val="100"/>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68*"/>
    <w:docVar w:name="CreationDt" w:val="2/15/2016 1:43: PM"/>
    <w:docVar w:name="DocCategory" w:val="Doc"/>
    <w:docVar w:name="DocType" w:val="Final"/>
    <w:docVar w:name="DutyStation" w:val="Geneva"/>
    <w:docVar w:name="FooterJN" w:val="GE.15-22668"/>
    <w:docVar w:name="jobn" w:val="GE.15-22668 (F)"/>
    <w:docVar w:name="jobnDT" w:val="GE.15-22668 (F)   150216"/>
    <w:docVar w:name="jobnDTDT" w:val="GE.15-22668 (F)   150216   150216"/>
    <w:docVar w:name="JobNo" w:val="GE.1522668F"/>
    <w:docVar w:name="JobNo2" w:val="GE.1528926F"/>
    <w:docVar w:name="LocalDrive" w:val="0"/>
    <w:docVar w:name="OandT" w:val="EB"/>
    <w:docVar w:name="PaperSize" w:val="A4"/>
    <w:docVar w:name="sss1" w:val="ECE/TRANS/WP.15/AC.1/2016/8"/>
    <w:docVar w:name="sss2" w:val="-"/>
    <w:docVar w:name="Symbol1" w:val="ECE/TRANS/WP.15/AC.1/2016/8"/>
    <w:docVar w:name="Symbol2" w:val="-"/>
  </w:docVars>
  <w:rsids>
    <w:rsidRoot w:val="00571A6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2D87"/>
    <w:rsid w:val="00083D89"/>
    <w:rsid w:val="00085112"/>
    <w:rsid w:val="0008708F"/>
    <w:rsid w:val="00091BC1"/>
    <w:rsid w:val="00091DBD"/>
    <w:rsid w:val="00096B3C"/>
    <w:rsid w:val="000A18B6"/>
    <w:rsid w:val="000A24DE"/>
    <w:rsid w:val="000A2612"/>
    <w:rsid w:val="000A2DFB"/>
    <w:rsid w:val="000A3A81"/>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2ADA"/>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4572"/>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35"/>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07C92"/>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1A69"/>
    <w:rsid w:val="00575199"/>
    <w:rsid w:val="005770F6"/>
    <w:rsid w:val="00577899"/>
    <w:rsid w:val="00577BDD"/>
    <w:rsid w:val="005811A3"/>
    <w:rsid w:val="00583566"/>
    <w:rsid w:val="00584E7A"/>
    <w:rsid w:val="00585CA8"/>
    <w:rsid w:val="00585DEA"/>
    <w:rsid w:val="00587345"/>
    <w:rsid w:val="005873B0"/>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658"/>
    <w:rsid w:val="005C3A63"/>
    <w:rsid w:val="005C65C2"/>
    <w:rsid w:val="005C765D"/>
    <w:rsid w:val="005C7B4D"/>
    <w:rsid w:val="005D7CA9"/>
    <w:rsid w:val="005E0F5F"/>
    <w:rsid w:val="005E262E"/>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1E4B"/>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1387"/>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94"/>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967"/>
    <w:rsid w:val="009B0AF7"/>
    <w:rsid w:val="009B0BFB"/>
    <w:rsid w:val="009B4398"/>
    <w:rsid w:val="009B4EEC"/>
    <w:rsid w:val="009C1815"/>
    <w:rsid w:val="009C5249"/>
    <w:rsid w:val="009C70D0"/>
    <w:rsid w:val="009C7A2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3A86"/>
    <w:rsid w:val="00A546A6"/>
    <w:rsid w:val="00A54A5E"/>
    <w:rsid w:val="00A55810"/>
    <w:rsid w:val="00A56CDD"/>
    <w:rsid w:val="00A56E3B"/>
    <w:rsid w:val="00A57C5A"/>
    <w:rsid w:val="00A64AD2"/>
    <w:rsid w:val="00A72C1F"/>
    <w:rsid w:val="00A72F5E"/>
    <w:rsid w:val="00A75482"/>
    <w:rsid w:val="00A75A3C"/>
    <w:rsid w:val="00A761B5"/>
    <w:rsid w:val="00A83E5E"/>
    <w:rsid w:val="00A8429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C7E22"/>
    <w:rsid w:val="00AD3D04"/>
    <w:rsid w:val="00AD496C"/>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E5F"/>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191C"/>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97B3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571F"/>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979E9"/>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3BA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2E2D"/>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5ADC"/>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05C6"/>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2ADA"/>
    <w:rPr>
      <w:sz w:val="16"/>
      <w:szCs w:val="16"/>
    </w:rPr>
  </w:style>
  <w:style w:type="paragraph" w:styleId="CommentText">
    <w:name w:val="annotation text"/>
    <w:basedOn w:val="Normal"/>
    <w:link w:val="CommentTextChar"/>
    <w:uiPriority w:val="99"/>
    <w:semiHidden/>
    <w:unhideWhenUsed/>
    <w:rsid w:val="00102ADA"/>
    <w:pPr>
      <w:spacing w:line="240" w:lineRule="auto"/>
    </w:pPr>
    <w:rPr>
      <w:szCs w:val="20"/>
    </w:rPr>
  </w:style>
  <w:style w:type="character" w:customStyle="1" w:styleId="CommentTextChar">
    <w:name w:val="Comment Text Char"/>
    <w:basedOn w:val="DefaultParagraphFont"/>
    <w:link w:val="CommentText"/>
    <w:uiPriority w:val="99"/>
    <w:semiHidden/>
    <w:rsid w:val="00102AD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2ADA"/>
    <w:rPr>
      <w:b/>
      <w:bCs/>
    </w:rPr>
  </w:style>
  <w:style w:type="character" w:customStyle="1" w:styleId="CommentSubjectChar">
    <w:name w:val="Comment Subject Char"/>
    <w:basedOn w:val="CommentTextChar"/>
    <w:link w:val="CommentSubject"/>
    <w:uiPriority w:val="99"/>
    <w:semiHidden/>
    <w:rsid w:val="00102ADA"/>
    <w:rPr>
      <w:rFonts w:ascii="Times New Roman" w:hAnsi="Times New Roman"/>
      <w:b/>
      <w:bCs/>
      <w:spacing w:val="4"/>
      <w:w w:val="103"/>
      <w:kern w:val="14"/>
      <w:lang w:val="fr-CA"/>
    </w:rPr>
  </w:style>
  <w:style w:type="character" w:customStyle="1" w:styleId="HChGChar">
    <w:name w:val="_ H _Ch_G Char"/>
    <w:link w:val="HChG"/>
    <w:locked/>
    <w:rsid w:val="000A3A81"/>
    <w:rPr>
      <w:b/>
      <w:sz w:val="28"/>
    </w:rPr>
  </w:style>
  <w:style w:type="paragraph" w:customStyle="1" w:styleId="HChG">
    <w:name w:val="_ H _Ch_G"/>
    <w:basedOn w:val="Normal"/>
    <w:next w:val="Normal"/>
    <w:link w:val="HChGChar"/>
    <w:rsid w:val="000A3A81"/>
    <w:pPr>
      <w:keepNext/>
      <w:keepLines/>
      <w:tabs>
        <w:tab w:val="right" w:pos="851"/>
      </w:tabs>
      <w:suppressAutoHyphens/>
      <w:spacing w:before="360" w:after="240" w:line="300" w:lineRule="exact"/>
      <w:ind w:left="1134" w:right="1134" w:hanging="1134"/>
    </w:pPr>
    <w:rPr>
      <w:rFonts w:ascii="Calibri" w:hAnsi="Calibri"/>
      <w:b/>
      <w:spacing w:val="0"/>
      <w:w w:val="100"/>
      <w:kern w:val="0"/>
      <w:sz w:val="28"/>
      <w:szCs w:val="20"/>
      <w:lang w:val="en-US"/>
    </w:rPr>
  </w:style>
  <w:style w:type="table" w:customStyle="1" w:styleId="TableGrid1">
    <w:name w:val="Table Grid1"/>
    <w:basedOn w:val="TableNormal"/>
    <w:uiPriority w:val="39"/>
    <w:rsid w:val="000A3A81"/>
    <w:rPr>
      <w:rFonts w:asciiTheme="minorHAnsi"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2ADA"/>
    <w:rPr>
      <w:sz w:val="16"/>
      <w:szCs w:val="16"/>
    </w:rPr>
  </w:style>
  <w:style w:type="paragraph" w:styleId="CommentText">
    <w:name w:val="annotation text"/>
    <w:basedOn w:val="Normal"/>
    <w:link w:val="CommentTextChar"/>
    <w:uiPriority w:val="99"/>
    <w:semiHidden/>
    <w:unhideWhenUsed/>
    <w:rsid w:val="00102ADA"/>
    <w:pPr>
      <w:spacing w:line="240" w:lineRule="auto"/>
    </w:pPr>
    <w:rPr>
      <w:szCs w:val="20"/>
    </w:rPr>
  </w:style>
  <w:style w:type="character" w:customStyle="1" w:styleId="CommentTextChar">
    <w:name w:val="Comment Text Char"/>
    <w:basedOn w:val="DefaultParagraphFont"/>
    <w:link w:val="CommentText"/>
    <w:uiPriority w:val="99"/>
    <w:semiHidden/>
    <w:rsid w:val="00102AD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2ADA"/>
    <w:rPr>
      <w:b/>
      <w:bCs/>
    </w:rPr>
  </w:style>
  <w:style w:type="character" w:customStyle="1" w:styleId="CommentSubjectChar">
    <w:name w:val="Comment Subject Char"/>
    <w:basedOn w:val="CommentTextChar"/>
    <w:link w:val="CommentSubject"/>
    <w:uiPriority w:val="99"/>
    <w:semiHidden/>
    <w:rsid w:val="00102ADA"/>
    <w:rPr>
      <w:rFonts w:ascii="Times New Roman" w:hAnsi="Times New Roman"/>
      <w:b/>
      <w:bCs/>
      <w:spacing w:val="4"/>
      <w:w w:val="103"/>
      <w:kern w:val="14"/>
      <w:lang w:val="fr-CA"/>
    </w:rPr>
  </w:style>
  <w:style w:type="character" w:customStyle="1" w:styleId="HChGChar">
    <w:name w:val="_ H _Ch_G Char"/>
    <w:link w:val="HChG"/>
    <w:locked/>
    <w:rsid w:val="000A3A81"/>
    <w:rPr>
      <w:b/>
      <w:sz w:val="28"/>
    </w:rPr>
  </w:style>
  <w:style w:type="paragraph" w:customStyle="1" w:styleId="HChG">
    <w:name w:val="_ H _Ch_G"/>
    <w:basedOn w:val="Normal"/>
    <w:next w:val="Normal"/>
    <w:link w:val="HChGChar"/>
    <w:rsid w:val="000A3A81"/>
    <w:pPr>
      <w:keepNext/>
      <w:keepLines/>
      <w:tabs>
        <w:tab w:val="right" w:pos="851"/>
      </w:tabs>
      <w:suppressAutoHyphens/>
      <w:spacing w:before="360" w:after="240" w:line="300" w:lineRule="exact"/>
      <w:ind w:left="1134" w:right="1134" w:hanging="1134"/>
    </w:pPr>
    <w:rPr>
      <w:rFonts w:ascii="Calibri" w:hAnsi="Calibri"/>
      <w:b/>
      <w:spacing w:val="0"/>
      <w:w w:val="100"/>
      <w:kern w:val="0"/>
      <w:sz w:val="28"/>
      <w:szCs w:val="20"/>
      <w:lang w:val="en-US"/>
    </w:rPr>
  </w:style>
  <w:style w:type="table" w:customStyle="1" w:styleId="TableGrid1">
    <w:name w:val="Table Grid1"/>
    <w:basedOn w:val="TableNormal"/>
    <w:uiPriority w:val="39"/>
    <w:rsid w:val="000A3A81"/>
    <w:rPr>
      <w:rFonts w:asciiTheme="minorHAnsi"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647">
      <w:bodyDiv w:val="1"/>
      <w:marLeft w:val="0"/>
      <w:marRight w:val="0"/>
      <w:marTop w:val="0"/>
      <w:marBottom w:val="0"/>
      <w:divBdr>
        <w:top w:val="none" w:sz="0" w:space="0" w:color="auto"/>
        <w:left w:val="none" w:sz="0" w:space="0" w:color="auto"/>
        <w:bottom w:val="none" w:sz="0" w:space="0" w:color="auto"/>
        <w:right w:val="none" w:sz="0" w:space="0" w:color="auto"/>
      </w:divBdr>
    </w:div>
    <w:div w:id="1762482638">
      <w:bodyDiv w:val="1"/>
      <w:marLeft w:val="0"/>
      <w:marRight w:val="0"/>
      <w:marTop w:val="0"/>
      <w:marBottom w:val="0"/>
      <w:divBdr>
        <w:top w:val="none" w:sz="0" w:space="0" w:color="auto"/>
        <w:left w:val="none" w:sz="0" w:space="0" w:color="auto"/>
        <w:bottom w:val="none" w:sz="0" w:space="0" w:color="auto"/>
        <w:right w:val="none" w:sz="0" w:space="0" w:color="auto"/>
      </w:divBdr>
    </w:div>
    <w:div w:id="2118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1B67-D0E4-4516-B658-E654BA32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barrio-champeau</cp:lastModifiedBy>
  <cp:revision>5</cp:revision>
  <cp:lastPrinted>2016-02-15T15:23:00Z</cp:lastPrinted>
  <dcterms:created xsi:type="dcterms:W3CDTF">2016-02-15T14:51:00Z</dcterms:created>
  <dcterms:modified xsi:type="dcterms:W3CDTF">2016-02-15T15:23:00Z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1522668F</vt:lpwstr>
  </property>
  <property fmtid="{D5CDD505-2E9C-101B-9397-08002B2CF9AE}" pid="3" name="ODSRefJobNo">
    <vt:lpwstr>1528926F</vt:lpwstr>
  </property>
  <property fmtid="{D5CDD505-2E9C-101B-9397-08002B2CF9AE}" pid="4" name="Symbol1">
    <vt:lpwstr>ECE/TRANS/WP.15/AC.1/2016/8</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150216</vt:lpwstr>
  </property>
</Properties>
</file>