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37" w:rsidRDefault="00087237" w:rsidP="00087237">
      <w:pPr>
        <w:spacing w:line="240" w:lineRule="auto"/>
        <w:rPr>
          <w:sz w:val="2"/>
        </w:rPr>
        <w:sectPr w:rsidR="00087237" w:rsidSect="00087237">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p>
    <w:p w:rsidR="00087237" w:rsidRPr="006724E8" w:rsidRDefault="00087237" w:rsidP="00087237">
      <w:pPr>
        <w:pStyle w:val="H1"/>
        <w:spacing w:after="120"/>
        <w:rPr>
          <w:sz w:val="28"/>
          <w:lang w:val="fr-CH"/>
        </w:rPr>
      </w:pPr>
      <w:r w:rsidRPr="006724E8">
        <w:rPr>
          <w:sz w:val="28"/>
          <w:lang w:val="fr-CH"/>
        </w:rPr>
        <w:lastRenderedPageBreak/>
        <w:t>Commission économique pour l</w:t>
      </w:r>
      <w:r w:rsidR="00264CD1" w:rsidRPr="006724E8">
        <w:rPr>
          <w:sz w:val="28"/>
          <w:lang w:val="fr-CH"/>
        </w:rPr>
        <w:t>’</w:t>
      </w:r>
      <w:r w:rsidRPr="006724E8">
        <w:rPr>
          <w:sz w:val="28"/>
          <w:lang w:val="fr-CH"/>
        </w:rPr>
        <w:t>Europe</w:t>
      </w:r>
    </w:p>
    <w:p w:rsidR="00087237" w:rsidRPr="006724E8" w:rsidRDefault="00087237" w:rsidP="00087237">
      <w:pPr>
        <w:pStyle w:val="H1"/>
        <w:spacing w:after="120" w:line="300" w:lineRule="exact"/>
        <w:rPr>
          <w:b w:val="0"/>
          <w:sz w:val="28"/>
          <w:lang w:val="fr-CH"/>
        </w:rPr>
      </w:pPr>
      <w:r w:rsidRPr="006724E8">
        <w:rPr>
          <w:b w:val="0"/>
          <w:sz w:val="28"/>
          <w:lang w:val="fr-CH"/>
        </w:rPr>
        <w:t>Comité des transports intérieurs</w:t>
      </w:r>
    </w:p>
    <w:p w:rsidR="00A2394D" w:rsidRPr="006724E8" w:rsidRDefault="00A2394D" w:rsidP="00A2394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724E8">
        <w:rPr>
          <w:lang w:val="fr-CH"/>
        </w:rPr>
        <w:t xml:space="preserve">Groupe de travail des transports </w:t>
      </w:r>
      <w:r w:rsidRPr="006724E8">
        <w:rPr>
          <w:lang w:val="fr-CH"/>
        </w:rPr>
        <w:br/>
        <w:t>de marchandises dangereuses</w:t>
      </w:r>
    </w:p>
    <w:p w:rsidR="00A2394D" w:rsidRPr="006724E8" w:rsidRDefault="00A2394D" w:rsidP="00A2394D">
      <w:pPr>
        <w:spacing w:line="120" w:lineRule="exact"/>
        <w:rPr>
          <w:sz w:val="10"/>
          <w:lang w:val="fr-CH"/>
        </w:rPr>
      </w:pPr>
    </w:p>
    <w:p w:rsidR="00A2394D" w:rsidRPr="00611D49" w:rsidRDefault="00A2394D" w:rsidP="00611D4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pacing w:val="4"/>
        </w:rPr>
      </w:pPr>
      <w:r w:rsidRPr="006724E8">
        <w:rPr>
          <w:lang w:val="fr-CH"/>
        </w:rPr>
        <w:t>Réunion commune de la Commission d</w:t>
      </w:r>
      <w:r w:rsidR="00264CD1" w:rsidRPr="006724E8">
        <w:rPr>
          <w:lang w:val="fr-CH"/>
        </w:rPr>
        <w:t>’</w:t>
      </w:r>
      <w:r w:rsidRPr="006724E8">
        <w:rPr>
          <w:lang w:val="fr-CH"/>
        </w:rPr>
        <w:t xml:space="preserve">experts du RID </w:t>
      </w:r>
      <w:r w:rsidRPr="006724E8">
        <w:rPr>
          <w:lang w:val="fr-CH"/>
        </w:rPr>
        <w:br/>
        <w:t xml:space="preserve">et du Groupe de travail des transports </w:t>
      </w:r>
      <w:r w:rsidRPr="006724E8">
        <w:rPr>
          <w:lang w:val="fr-CH"/>
        </w:rPr>
        <w:br/>
        <w:t>de marchandises dangereuses</w:t>
      </w:r>
      <w:r w:rsidRPr="006724E8">
        <w:rPr>
          <w:lang w:val="fr-CH"/>
        </w:rPr>
        <w:br/>
      </w:r>
      <w:r w:rsidRPr="00611D49">
        <w:rPr>
          <w:b w:val="0"/>
          <w:spacing w:val="4"/>
        </w:rPr>
        <w:t>Berne, 14-18 mars 2016</w:t>
      </w:r>
    </w:p>
    <w:p w:rsidR="00A2394D" w:rsidRPr="006724E8" w:rsidRDefault="00A2394D" w:rsidP="00A2394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724E8">
        <w:rPr>
          <w:lang w:val="fr-CH"/>
        </w:rPr>
        <w:t>Point 5 b) de l</w:t>
      </w:r>
      <w:r w:rsidR="00264CD1" w:rsidRPr="006724E8">
        <w:rPr>
          <w:lang w:val="fr-CH"/>
        </w:rPr>
        <w:t>’</w:t>
      </w:r>
      <w:r w:rsidRPr="006724E8">
        <w:rPr>
          <w:lang w:val="fr-CH"/>
        </w:rPr>
        <w:t>ordre du jour provisoire</w:t>
      </w:r>
    </w:p>
    <w:p w:rsidR="00A2394D" w:rsidRPr="006724E8" w:rsidRDefault="00A2394D" w:rsidP="00A239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724E8">
        <w:rPr>
          <w:lang w:val="fr-CH"/>
        </w:rPr>
        <w:t>Propositions d</w:t>
      </w:r>
      <w:r w:rsidR="00264CD1" w:rsidRPr="006724E8">
        <w:rPr>
          <w:lang w:val="fr-CH"/>
        </w:rPr>
        <w:t>’</w:t>
      </w:r>
      <w:r w:rsidRPr="006724E8">
        <w:rPr>
          <w:lang w:val="fr-CH"/>
        </w:rPr>
        <w:t xml:space="preserve">amendements au RID/ADR/ADN : </w:t>
      </w:r>
      <w:r w:rsidRPr="006724E8">
        <w:rPr>
          <w:lang w:val="fr-CH"/>
        </w:rPr>
        <w:br/>
        <w:t xml:space="preserve">nouvelles propositions </w:t>
      </w:r>
    </w:p>
    <w:p w:rsidR="00A2394D" w:rsidRPr="006724E8" w:rsidRDefault="00A2394D" w:rsidP="00A2394D">
      <w:pPr>
        <w:pStyle w:val="SingleTxt"/>
        <w:spacing w:after="0" w:line="120" w:lineRule="exact"/>
        <w:rPr>
          <w:sz w:val="10"/>
          <w:lang w:val="fr-CH"/>
        </w:rPr>
      </w:pPr>
    </w:p>
    <w:p w:rsidR="00A2394D" w:rsidRPr="006724E8" w:rsidRDefault="00A2394D" w:rsidP="00A2394D">
      <w:pPr>
        <w:pStyle w:val="SingleTxt"/>
        <w:spacing w:after="0" w:line="120" w:lineRule="exact"/>
        <w:rPr>
          <w:sz w:val="10"/>
          <w:lang w:val="fr-CH"/>
        </w:rPr>
      </w:pPr>
    </w:p>
    <w:p w:rsidR="00A2394D" w:rsidRPr="006724E8" w:rsidRDefault="00A2394D" w:rsidP="00A2394D">
      <w:pPr>
        <w:pStyle w:val="SingleTxt"/>
        <w:spacing w:after="0" w:line="120" w:lineRule="exact"/>
        <w:rPr>
          <w:sz w:val="10"/>
          <w:lang w:val="fr-CH"/>
        </w:rPr>
      </w:pPr>
    </w:p>
    <w:p w:rsidR="00A2394D" w:rsidRPr="006724E8" w:rsidRDefault="00A2394D" w:rsidP="00A239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24E8">
        <w:rPr>
          <w:lang w:val="fr-CH"/>
        </w:rPr>
        <w:tab/>
      </w:r>
      <w:r w:rsidRPr="006724E8">
        <w:rPr>
          <w:lang w:val="fr-CH"/>
        </w:rPr>
        <w:tab/>
        <w:t xml:space="preserve">Modification du 4.1.1.17 concernant les récipients </w:t>
      </w:r>
      <w:r w:rsidRPr="006724E8">
        <w:rPr>
          <w:lang w:val="fr-CH"/>
        </w:rPr>
        <w:br/>
        <w:t>à pression</w:t>
      </w:r>
      <w:bookmarkStart w:id="0" w:name="_GoBack"/>
      <w:bookmarkEnd w:id="0"/>
    </w:p>
    <w:p w:rsidR="00A2394D" w:rsidRPr="006724E8" w:rsidRDefault="00A2394D" w:rsidP="00A2394D">
      <w:pPr>
        <w:pStyle w:val="SingleTxt"/>
        <w:spacing w:after="0" w:line="120" w:lineRule="exact"/>
        <w:rPr>
          <w:sz w:val="10"/>
          <w:lang w:val="fr-CH"/>
        </w:rPr>
      </w:pPr>
    </w:p>
    <w:p w:rsidR="00A2394D" w:rsidRPr="006724E8" w:rsidRDefault="00A2394D" w:rsidP="00A2394D">
      <w:pPr>
        <w:pStyle w:val="SingleTxt"/>
        <w:spacing w:after="0" w:line="120" w:lineRule="exact"/>
        <w:rPr>
          <w:sz w:val="10"/>
          <w:lang w:val="fr-CH"/>
        </w:rPr>
      </w:pPr>
    </w:p>
    <w:p w:rsidR="00A2394D" w:rsidRPr="006724E8" w:rsidRDefault="00A2394D" w:rsidP="00A239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24E8">
        <w:rPr>
          <w:lang w:val="fr-CH"/>
        </w:rPr>
        <w:tab/>
      </w:r>
      <w:r w:rsidRPr="006724E8">
        <w:rPr>
          <w:lang w:val="fr-CH"/>
        </w:rPr>
        <w:tab/>
        <w:t>Propositions communiquées par l</w:t>
      </w:r>
      <w:r w:rsidR="00264CD1" w:rsidRPr="006724E8">
        <w:rPr>
          <w:lang w:val="fr-CH"/>
        </w:rPr>
        <w:t>’</w:t>
      </w:r>
      <w:r w:rsidRPr="006724E8">
        <w:rPr>
          <w:lang w:val="fr-CH"/>
        </w:rPr>
        <w:t xml:space="preserve">Association européenne </w:t>
      </w:r>
      <w:r w:rsidRPr="006724E8">
        <w:rPr>
          <w:lang w:val="fr-CH"/>
        </w:rPr>
        <w:br/>
        <w:t>des gaz industriels (EIGA)</w:t>
      </w:r>
      <w:r w:rsidRPr="006724E8">
        <w:rPr>
          <w:rStyle w:val="Appelnotedebasdep"/>
          <w:b w:val="0"/>
          <w:sz w:val="20"/>
          <w:szCs w:val="20"/>
          <w:lang w:val="fr-CH"/>
        </w:rPr>
        <w:footnoteReference w:id="1"/>
      </w:r>
      <w:r w:rsidRPr="006724E8">
        <w:rPr>
          <w:b w:val="0"/>
          <w:vertAlign w:val="superscript"/>
          <w:lang w:val="fr-CH"/>
        </w:rPr>
        <w:t>,</w:t>
      </w:r>
      <w:r w:rsidRPr="006724E8">
        <w:rPr>
          <w:lang w:val="fr-CH"/>
        </w:rPr>
        <w:t xml:space="preserve"> </w:t>
      </w:r>
      <w:r w:rsidRPr="006724E8">
        <w:rPr>
          <w:rStyle w:val="Appelnotedebasdep"/>
          <w:b w:val="0"/>
          <w:sz w:val="20"/>
          <w:szCs w:val="18"/>
          <w:lang w:val="fr-CH"/>
        </w:rPr>
        <w:footnoteReference w:id="2"/>
      </w:r>
    </w:p>
    <w:p w:rsidR="00A2394D" w:rsidRPr="006724E8" w:rsidRDefault="00A2394D" w:rsidP="00A2394D">
      <w:pPr>
        <w:pStyle w:val="SingleTxt"/>
        <w:spacing w:after="0" w:line="120" w:lineRule="exact"/>
        <w:rPr>
          <w:sz w:val="10"/>
          <w:lang w:val="fr-CH"/>
        </w:rPr>
      </w:pPr>
    </w:p>
    <w:p w:rsidR="00A2394D" w:rsidRPr="006724E8" w:rsidRDefault="00A2394D" w:rsidP="00A2394D">
      <w:pPr>
        <w:pStyle w:val="SingleTxt"/>
        <w:spacing w:after="0" w:line="120" w:lineRule="exact"/>
        <w:rPr>
          <w:sz w:val="10"/>
          <w:lang w:val="fr-CH"/>
        </w:rPr>
      </w:pPr>
    </w:p>
    <w:p w:rsidR="00A2394D" w:rsidRPr="006724E8" w:rsidRDefault="00A2394D" w:rsidP="00A2394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724E8">
        <w:rPr>
          <w:lang w:val="fr-CH"/>
        </w:rPr>
        <w:tab/>
      </w:r>
      <w:r w:rsidRPr="006724E8">
        <w:rPr>
          <w:lang w:val="fr-CH"/>
        </w:rPr>
        <w:tab/>
        <w:t>Introduction</w:t>
      </w:r>
    </w:p>
    <w:p w:rsidR="00A2394D" w:rsidRPr="006724E8" w:rsidRDefault="00A2394D" w:rsidP="00A2394D">
      <w:pPr>
        <w:pStyle w:val="SingleTxt"/>
        <w:spacing w:after="0" w:line="120" w:lineRule="exact"/>
        <w:rPr>
          <w:sz w:val="10"/>
          <w:lang w:val="fr-CH"/>
        </w:rPr>
      </w:pPr>
    </w:p>
    <w:p w:rsidR="00A2394D" w:rsidRPr="006724E8" w:rsidRDefault="00A2394D" w:rsidP="00A2394D">
      <w:pPr>
        <w:pStyle w:val="SingleTxt"/>
        <w:spacing w:after="0" w:line="120" w:lineRule="exact"/>
        <w:rPr>
          <w:sz w:val="10"/>
          <w:lang w:val="fr-CH"/>
        </w:rPr>
      </w:pPr>
    </w:p>
    <w:p w:rsidR="00A2394D" w:rsidRPr="006724E8" w:rsidRDefault="00A2394D" w:rsidP="00A2394D">
      <w:pPr>
        <w:pStyle w:val="SingleTxt"/>
        <w:rPr>
          <w:rStyle w:val="Accentuation"/>
          <w:i w:val="0"/>
          <w:iCs w:val="0"/>
          <w:sz w:val="28"/>
          <w:lang w:val="fr-CH"/>
        </w:rPr>
      </w:pPr>
      <w:r w:rsidRPr="006724E8">
        <w:rPr>
          <w:lang w:val="fr-CH"/>
        </w:rPr>
        <w:t>1.</w:t>
      </w:r>
      <w:r w:rsidRPr="006724E8">
        <w:rPr>
          <w:lang w:val="fr-CH"/>
        </w:rPr>
        <w:tab/>
        <w:t>À la quarante-huitième session du Sous-Comité d</w:t>
      </w:r>
      <w:r w:rsidR="00264CD1" w:rsidRPr="006724E8">
        <w:rPr>
          <w:lang w:val="fr-CH"/>
        </w:rPr>
        <w:t>’</w:t>
      </w:r>
      <w:r w:rsidRPr="006724E8">
        <w:rPr>
          <w:lang w:val="fr-CH"/>
        </w:rPr>
        <w:t>experts du transport des marchandises dangereuses, qui s</w:t>
      </w:r>
      <w:r w:rsidR="00264CD1" w:rsidRPr="006724E8">
        <w:rPr>
          <w:lang w:val="fr-CH"/>
        </w:rPr>
        <w:t>’</w:t>
      </w:r>
      <w:r w:rsidRPr="006724E8">
        <w:rPr>
          <w:lang w:val="fr-CH"/>
        </w:rPr>
        <w:t xml:space="preserve">est tenue au mois de décembre 2015, le groupe de travail informel </w:t>
      </w:r>
      <w:r w:rsidR="006724E8" w:rsidRPr="006724E8">
        <w:rPr>
          <w:lang w:val="fr-CH"/>
        </w:rPr>
        <w:t>de</w:t>
      </w:r>
      <w:r w:rsidRPr="006724E8">
        <w:rPr>
          <w:lang w:val="fr-CH"/>
        </w:rPr>
        <w:t xml:space="preserve"> la reconnaissance universelle des récipients à pression ONU et non ONU s</w:t>
      </w:r>
      <w:r w:rsidR="00264CD1" w:rsidRPr="006724E8">
        <w:rPr>
          <w:lang w:val="fr-CH"/>
        </w:rPr>
        <w:t>’</w:t>
      </w:r>
      <w:r w:rsidRPr="006724E8">
        <w:rPr>
          <w:lang w:val="fr-CH"/>
        </w:rPr>
        <w:t>est réuni pour poursuivre l</w:t>
      </w:r>
      <w:r w:rsidR="00264CD1" w:rsidRPr="006724E8">
        <w:rPr>
          <w:lang w:val="fr-CH"/>
        </w:rPr>
        <w:t>’</w:t>
      </w:r>
      <w:r w:rsidRPr="006724E8">
        <w:rPr>
          <w:lang w:val="fr-CH"/>
        </w:rPr>
        <w:t>examen de la question des obstacles à la reconnaissance réciproque. Lors d</w:t>
      </w:r>
      <w:r w:rsidR="00264CD1" w:rsidRPr="006724E8">
        <w:rPr>
          <w:lang w:val="fr-CH"/>
        </w:rPr>
        <w:t>’</w:t>
      </w:r>
      <w:r w:rsidRPr="006724E8">
        <w:rPr>
          <w:lang w:val="fr-CH"/>
        </w:rPr>
        <w:t>un examen de la situation en Europe, le groupe de travail a relevé une contradiction, dans le RID et l</w:t>
      </w:r>
      <w:r w:rsidR="00264CD1" w:rsidRPr="006724E8">
        <w:rPr>
          <w:lang w:val="fr-CH"/>
        </w:rPr>
        <w:t>’</w:t>
      </w:r>
      <w:r w:rsidRPr="006724E8">
        <w:rPr>
          <w:lang w:val="fr-CH"/>
        </w:rPr>
        <w:t>ADR, entre le texte du 4.1.1.17 et le contenu de la note du 4.1.1.</w:t>
      </w:r>
    </w:p>
    <w:p w:rsidR="00A2394D" w:rsidRPr="006724E8" w:rsidRDefault="00A2394D" w:rsidP="00A2394D">
      <w:pPr>
        <w:pStyle w:val="SingleTxt"/>
        <w:rPr>
          <w:rStyle w:val="Accentuation"/>
          <w:i w:val="0"/>
          <w:iCs w:val="0"/>
          <w:sz w:val="28"/>
          <w:lang w:val="fr-CH"/>
        </w:rPr>
      </w:pPr>
      <w:r w:rsidRPr="006724E8">
        <w:rPr>
          <w:lang w:val="fr-CH"/>
        </w:rPr>
        <w:t>2.</w:t>
      </w:r>
      <w:r w:rsidRPr="006724E8">
        <w:rPr>
          <w:lang w:val="fr-CH"/>
        </w:rPr>
        <w:tab/>
        <w:t>Le 4.1.1.17 est très important pour la reconnaissance à l</w:t>
      </w:r>
      <w:r w:rsidR="00264CD1" w:rsidRPr="006724E8">
        <w:rPr>
          <w:lang w:val="fr-CH"/>
        </w:rPr>
        <w:t>’</w:t>
      </w:r>
      <w:r w:rsidRPr="006724E8">
        <w:rPr>
          <w:lang w:val="fr-CH"/>
        </w:rPr>
        <w:t>échelle internationale, dans la mesure où il garantit que les récipients à pression portant la marque de l</w:t>
      </w:r>
      <w:r w:rsidR="00264CD1" w:rsidRPr="006724E8">
        <w:rPr>
          <w:lang w:val="fr-CH"/>
        </w:rPr>
        <w:t>’</w:t>
      </w:r>
      <w:r w:rsidRPr="006724E8">
        <w:rPr>
          <w:lang w:val="fr-CH"/>
        </w:rPr>
        <w:t>ONU peuvent être transportés même lorsqu</w:t>
      </w:r>
      <w:r w:rsidR="00264CD1" w:rsidRPr="006724E8">
        <w:rPr>
          <w:lang w:val="fr-CH"/>
        </w:rPr>
        <w:t>’</w:t>
      </w:r>
      <w:r w:rsidRPr="006724E8">
        <w:rPr>
          <w:lang w:val="fr-CH"/>
        </w:rPr>
        <w:t>ils ont été agréés dans un État n</w:t>
      </w:r>
      <w:r w:rsidR="00264CD1" w:rsidRPr="006724E8">
        <w:rPr>
          <w:lang w:val="fr-CH"/>
        </w:rPr>
        <w:t>’</w:t>
      </w:r>
      <w:r w:rsidRPr="006724E8">
        <w:rPr>
          <w:lang w:val="fr-CH"/>
        </w:rPr>
        <w:t>étant ni partie au RID ni partie contractante à l</w:t>
      </w:r>
      <w:r w:rsidR="00264CD1" w:rsidRPr="006724E8">
        <w:rPr>
          <w:lang w:val="fr-CH"/>
        </w:rPr>
        <w:t>’</w:t>
      </w:r>
      <w:r w:rsidRPr="006724E8">
        <w:rPr>
          <w:lang w:val="fr-CH"/>
        </w:rPr>
        <w:t>ADR. De son côté, la note figurant sous le titre, au 4.1.1, spécifie que la section correspondante ne s</w:t>
      </w:r>
      <w:r w:rsidR="00264CD1" w:rsidRPr="006724E8">
        <w:rPr>
          <w:lang w:val="fr-CH"/>
        </w:rPr>
        <w:t>’</w:t>
      </w:r>
      <w:r w:rsidRPr="006724E8">
        <w:rPr>
          <w:lang w:val="fr-CH"/>
        </w:rPr>
        <w:t>applique pas à la classe 2, ce qui contredit les dispositions du 4.1.1.17 relatives aux récipients à pression contenant des gaz.</w:t>
      </w:r>
    </w:p>
    <w:p w:rsidR="00A2394D" w:rsidRPr="006724E8" w:rsidRDefault="00A2394D" w:rsidP="00A2394D">
      <w:pPr>
        <w:pStyle w:val="SingleTxt"/>
        <w:rPr>
          <w:rStyle w:val="Accentuation"/>
          <w:i w:val="0"/>
          <w:iCs w:val="0"/>
          <w:sz w:val="28"/>
          <w:lang w:val="fr-CH"/>
        </w:rPr>
      </w:pPr>
      <w:r w:rsidRPr="006724E8">
        <w:rPr>
          <w:lang w:val="fr-CH"/>
        </w:rPr>
        <w:lastRenderedPageBreak/>
        <w:t>3.</w:t>
      </w:r>
      <w:r w:rsidRPr="006724E8">
        <w:rPr>
          <w:lang w:val="fr-CH"/>
        </w:rPr>
        <w:tab/>
        <w:t>La note en question est reproduite ci-après à titre de référence.</w:t>
      </w:r>
    </w:p>
    <w:p w:rsidR="00A2394D" w:rsidRPr="006724E8" w:rsidRDefault="00A2394D" w:rsidP="00264CD1">
      <w:pPr>
        <w:pStyle w:val="SingleTxt"/>
        <w:tabs>
          <w:tab w:val="clear" w:pos="1742"/>
        </w:tabs>
        <w:ind w:left="2218" w:hanging="951"/>
        <w:rPr>
          <w:b/>
          <w:lang w:val="fr-CH"/>
        </w:rPr>
      </w:pPr>
      <w:r w:rsidRPr="006724E8">
        <w:rPr>
          <w:b/>
          <w:bCs/>
          <w:lang w:val="fr-CH"/>
        </w:rPr>
        <w:t>4.1.1</w:t>
      </w:r>
      <w:r w:rsidRPr="006724E8">
        <w:rPr>
          <w:b/>
          <w:bCs/>
          <w:lang w:val="fr-CH"/>
        </w:rPr>
        <w:tab/>
        <w:t>Dispositions générales relatives à l</w:t>
      </w:r>
      <w:r w:rsidR="00264CD1" w:rsidRPr="006724E8">
        <w:rPr>
          <w:b/>
          <w:bCs/>
          <w:lang w:val="fr-CH"/>
        </w:rPr>
        <w:t>’</w:t>
      </w:r>
      <w:r w:rsidRPr="006724E8">
        <w:rPr>
          <w:b/>
          <w:bCs/>
          <w:lang w:val="fr-CH"/>
        </w:rPr>
        <w:t>emballage des marchandises dangereuses dans des emballages, y compris dans des GRV ou des grands emballages</w:t>
      </w:r>
    </w:p>
    <w:p w:rsidR="00A2394D" w:rsidRPr="006724E8" w:rsidRDefault="00A2394D" w:rsidP="00A2394D">
      <w:pPr>
        <w:pStyle w:val="SingleTxt"/>
        <w:rPr>
          <w:i/>
          <w:iCs/>
          <w:lang w:val="fr-CH"/>
        </w:rPr>
      </w:pPr>
      <w:r w:rsidRPr="006724E8">
        <w:rPr>
          <w:b/>
          <w:i/>
          <w:iCs/>
          <w:lang w:val="fr-CH"/>
        </w:rPr>
        <w:t>NOTA</w:t>
      </w:r>
      <w:r w:rsidR="00264CD1" w:rsidRPr="006724E8">
        <w:rPr>
          <w:b/>
          <w:i/>
          <w:iCs/>
          <w:lang w:val="fr-CH"/>
        </w:rPr>
        <w:t> </w:t>
      </w:r>
      <w:r w:rsidR="00264CD1" w:rsidRPr="006724E8">
        <w:rPr>
          <w:lang w:val="fr-CH"/>
        </w:rPr>
        <w:t xml:space="preserve">: </w:t>
      </w:r>
      <w:r w:rsidRPr="006724E8">
        <w:rPr>
          <w:i/>
          <w:iCs/>
          <w:lang w:val="fr-CH"/>
        </w:rPr>
        <w:t>Pour l</w:t>
      </w:r>
      <w:r w:rsidR="00264CD1" w:rsidRPr="006724E8">
        <w:rPr>
          <w:i/>
          <w:iCs/>
          <w:lang w:val="fr-CH"/>
        </w:rPr>
        <w:t>’</w:t>
      </w:r>
      <w:r w:rsidRPr="006724E8">
        <w:rPr>
          <w:i/>
          <w:iCs/>
          <w:lang w:val="fr-CH"/>
        </w:rPr>
        <w:t>emballage des marchandises des classes 2, 6.2 et 7, les dispositions générales de la présente section s</w:t>
      </w:r>
      <w:r w:rsidR="00264CD1" w:rsidRPr="006724E8">
        <w:rPr>
          <w:i/>
          <w:iCs/>
          <w:lang w:val="fr-CH"/>
        </w:rPr>
        <w:t>’</w:t>
      </w:r>
      <w:r w:rsidRPr="006724E8">
        <w:rPr>
          <w:i/>
          <w:iCs/>
          <w:lang w:val="fr-CH"/>
        </w:rPr>
        <w:t>appliquent uniquement dans les conditions indiquées aux 4.1.8.2 (classe 6.2), 4.1.9.1.5 (classe 7) et dans les instructions d</w:t>
      </w:r>
      <w:r w:rsidR="00264CD1" w:rsidRPr="006724E8">
        <w:rPr>
          <w:i/>
          <w:iCs/>
          <w:lang w:val="fr-CH"/>
        </w:rPr>
        <w:t>’</w:t>
      </w:r>
      <w:r w:rsidRPr="006724E8">
        <w:rPr>
          <w:i/>
          <w:iCs/>
          <w:lang w:val="fr-CH"/>
        </w:rPr>
        <w:t>emballage pertinentes du 4.1.4 (P201 et LP02 pour la classe 2 et P620, P621, IBC620 et LP621 pour la classe 6.2).</w:t>
      </w:r>
    </w:p>
    <w:p w:rsidR="00264CD1" w:rsidRPr="006724E8" w:rsidRDefault="00264CD1" w:rsidP="00264CD1">
      <w:pPr>
        <w:pStyle w:val="SingleTxt"/>
        <w:spacing w:after="0" w:line="120" w:lineRule="exact"/>
        <w:rPr>
          <w:i/>
          <w:iCs/>
          <w:sz w:val="10"/>
          <w:lang w:val="fr-CH"/>
        </w:rPr>
      </w:pPr>
    </w:p>
    <w:p w:rsidR="00264CD1" w:rsidRPr="006724E8" w:rsidRDefault="00264CD1" w:rsidP="00264CD1">
      <w:pPr>
        <w:pStyle w:val="SingleTxt"/>
        <w:spacing w:after="0" w:line="120" w:lineRule="exact"/>
        <w:rPr>
          <w:i/>
          <w:sz w:val="10"/>
          <w:lang w:val="fr-CH"/>
        </w:rPr>
      </w:pPr>
    </w:p>
    <w:p w:rsidR="00A2394D" w:rsidRPr="006724E8" w:rsidRDefault="00A2394D" w:rsidP="00264CD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724E8">
        <w:rPr>
          <w:lang w:val="fr-CH"/>
        </w:rPr>
        <w:tab/>
      </w:r>
      <w:r w:rsidRPr="006724E8">
        <w:rPr>
          <w:lang w:val="fr-CH"/>
        </w:rPr>
        <w:tab/>
        <w:t>Proposition 1</w:t>
      </w:r>
    </w:p>
    <w:p w:rsidR="00264CD1" w:rsidRPr="006724E8" w:rsidRDefault="00264CD1" w:rsidP="00264CD1">
      <w:pPr>
        <w:pStyle w:val="SingleTxt"/>
        <w:spacing w:after="0" w:line="120" w:lineRule="exact"/>
        <w:rPr>
          <w:sz w:val="10"/>
          <w:lang w:val="fr-CH"/>
        </w:rPr>
      </w:pPr>
    </w:p>
    <w:p w:rsidR="00264CD1" w:rsidRPr="006724E8" w:rsidRDefault="00264CD1" w:rsidP="00264CD1">
      <w:pPr>
        <w:pStyle w:val="SingleTxt"/>
        <w:spacing w:after="0" w:line="120" w:lineRule="exact"/>
        <w:rPr>
          <w:sz w:val="10"/>
          <w:lang w:val="fr-CH"/>
        </w:rPr>
      </w:pPr>
    </w:p>
    <w:p w:rsidR="00A2394D" w:rsidRPr="006724E8" w:rsidRDefault="00A2394D" w:rsidP="00264CD1">
      <w:pPr>
        <w:pStyle w:val="SingleTxt"/>
        <w:rPr>
          <w:rStyle w:val="Accentuation"/>
          <w:i w:val="0"/>
          <w:iCs w:val="0"/>
          <w:sz w:val="28"/>
          <w:lang w:val="fr-CH"/>
        </w:rPr>
      </w:pPr>
      <w:r w:rsidRPr="006724E8">
        <w:rPr>
          <w:lang w:val="fr-CH"/>
        </w:rPr>
        <w:t>4.</w:t>
      </w:r>
      <w:r w:rsidRPr="006724E8">
        <w:rPr>
          <w:lang w:val="fr-CH"/>
        </w:rPr>
        <w:tab/>
        <w:t>Il est proposé de modifier le 4.1.1.17 afin de préciser que la note reproduite précédemment ne s</w:t>
      </w:r>
      <w:r w:rsidR="00264CD1" w:rsidRPr="006724E8">
        <w:rPr>
          <w:lang w:val="fr-CH"/>
        </w:rPr>
        <w:t>’</w:t>
      </w:r>
      <w:r w:rsidRPr="006724E8">
        <w:rPr>
          <w:lang w:val="fr-CH"/>
        </w:rPr>
        <w:t>applique pas (l</w:t>
      </w:r>
      <w:r w:rsidR="00264CD1" w:rsidRPr="006724E8">
        <w:rPr>
          <w:lang w:val="fr-CH"/>
        </w:rPr>
        <w:t>’</w:t>
      </w:r>
      <w:r w:rsidRPr="006724E8">
        <w:rPr>
          <w:lang w:val="fr-CH"/>
        </w:rPr>
        <w:t xml:space="preserve">ajout est souligné). </w:t>
      </w:r>
    </w:p>
    <w:p w:rsidR="00A2394D" w:rsidRPr="006724E8" w:rsidRDefault="00A2394D" w:rsidP="00264CD1">
      <w:pPr>
        <w:pStyle w:val="SingleTxt"/>
        <w:ind w:left="2218" w:hanging="951"/>
        <w:rPr>
          <w:lang w:val="fr-CH"/>
        </w:rPr>
      </w:pPr>
      <w:r w:rsidRPr="006724E8">
        <w:rPr>
          <w:lang w:val="fr-CH"/>
        </w:rPr>
        <w:t>4.1.1.17</w:t>
      </w:r>
      <w:r w:rsidRPr="006724E8">
        <w:rPr>
          <w:lang w:val="fr-CH"/>
        </w:rPr>
        <w:tab/>
      </w:r>
      <w:r w:rsidR="00264CD1" w:rsidRPr="006724E8">
        <w:rPr>
          <w:u w:val="single"/>
          <w:lang w:val="fr-CH"/>
        </w:rPr>
        <w:t>Indépendamment de</w:t>
      </w:r>
      <w:r w:rsidRPr="006724E8">
        <w:rPr>
          <w:u w:val="single"/>
          <w:lang w:val="fr-CH"/>
        </w:rPr>
        <w:t xml:space="preserve"> ce que spécifie la note insérée après le titre 4.1.1, </w:t>
      </w:r>
      <w:r w:rsidRPr="006724E8">
        <w:rPr>
          <w:lang w:val="fr-CH"/>
        </w:rPr>
        <w:t>les emballages, y compris les GRV et les grands emballages, dont le marquage correspond au 6.1.3, 6.2.2.7, 6.2.2.8, 6.3.1, 6.5.2 ou 6.6.3, mais qui ont été agréés dans un État non partie au RID/n</w:t>
      </w:r>
      <w:r w:rsidR="00264CD1" w:rsidRPr="006724E8">
        <w:rPr>
          <w:lang w:val="fr-CH"/>
        </w:rPr>
        <w:t>’</w:t>
      </w:r>
      <w:r w:rsidRPr="006724E8">
        <w:rPr>
          <w:lang w:val="fr-CH"/>
        </w:rPr>
        <w:t>étant pas partie contractante à l</w:t>
      </w:r>
      <w:r w:rsidR="00264CD1" w:rsidRPr="006724E8">
        <w:rPr>
          <w:lang w:val="fr-CH"/>
        </w:rPr>
        <w:t>’</w:t>
      </w:r>
      <w:r w:rsidRPr="006724E8">
        <w:rPr>
          <w:lang w:val="fr-CH"/>
        </w:rPr>
        <w:t>ADR, peuvent également être utilisés pour le transport selon le RID/l</w:t>
      </w:r>
      <w:r w:rsidR="00264CD1" w:rsidRPr="006724E8">
        <w:rPr>
          <w:lang w:val="fr-CH"/>
        </w:rPr>
        <w:t>’</w:t>
      </w:r>
      <w:r w:rsidRPr="006724E8">
        <w:rPr>
          <w:lang w:val="fr-CH"/>
        </w:rPr>
        <w:t>ADR.</w:t>
      </w:r>
    </w:p>
    <w:p w:rsidR="00264CD1" w:rsidRPr="006724E8" w:rsidRDefault="00264CD1" w:rsidP="00264CD1">
      <w:pPr>
        <w:pStyle w:val="SingleTxt"/>
        <w:spacing w:after="0" w:line="120" w:lineRule="exact"/>
        <w:ind w:left="2218" w:hanging="951"/>
        <w:rPr>
          <w:sz w:val="10"/>
          <w:lang w:val="fr-CH"/>
        </w:rPr>
      </w:pPr>
    </w:p>
    <w:p w:rsidR="00264CD1" w:rsidRPr="006724E8" w:rsidRDefault="00264CD1" w:rsidP="00264CD1">
      <w:pPr>
        <w:pStyle w:val="SingleTxt"/>
        <w:spacing w:after="0" w:line="120" w:lineRule="exact"/>
        <w:ind w:left="2218" w:hanging="951"/>
        <w:rPr>
          <w:sz w:val="10"/>
          <w:lang w:val="fr-CH"/>
        </w:rPr>
      </w:pPr>
    </w:p>
    <w:p w:rsidR="00A2394D" w:rsidRPr="006724E8" w:rsidRDefault="00A2394D" w:rsidP="00264CD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724E8">
        <w:rPr>
          <w:lang w:val="fr-CH"/>
        </w:rPr>
        <w:tab/>
      </w:r>
      <w:r w:rsidRPr="006724E8">
        <w:rPr>
          <w:lang w:val="fr-CH"/>
        </w:rPr>
        <w:tab/>
        <w:t>Proposition 2</w:t>
      </w:r>
    </w:p>
    <w:p w:rsidR="00264CD1" w:rsidRPr="006724E8" w:rsidRDefault="00264CD1" w:rsidP="00264CD1">
      <w:pPr>
        <w:pStyle w:val="SingleTxt"/>
        <w:spacing w:after="0" w:line="120" w:lineRule="exact"/>
        <w:rPr>
          <w:sz w:val="10"/>
          <w:lang w:val="fr-CH"/>
        </w:rPr>
      </w:pPr>
    </w:p>
    <w:p w:rsidR="00264CD1" w:rsidRPr="006724E8" w:rsidRDefault="00264CD1" w:rsidP="00264CD1">
      <w:pPr>
        <w:pStyle w:val="SingleTxt"/>
        <w:spacing w:after="0" w:line="120" w:lineRule="exact"/>
        <w:rPr>
          <w:sz w:val="10"/>
          <w:lang w:val="fr-CH"/>
        </w:rPr>
      </w:pPr>
    </w:p>
    <w:p w:rsidR="00A2394D" w:rsidRPr="006724E8" w:rsidRDefault="00A2394D" w:rsidP="00264CD1">
      <w:pPr>
        <w:pStyle w:val="SingleTxt"/>
        <w:rPr>
          <w:rStyle w:val="Accentuation"/>
          <w:i w:val="0"/>
          <w:iCs w:val="0"/>
          <w:sz w:val="28"/>
          <w:lang w:val="fr-CH"/>
        </w:rPr>
      </w:pPr>
      <w:r w:rsidRPr="006724E8">
        <w:rPr>
          <w:lang w:val="fr-CH"/>
        </w:rPr>
        <w:t>5.</w:t>
      </w:r>
      <w:r w:rsidRPr="006724E8">
        <w:rPr>
          <w:lang w:val="fr-CH"/>
        </w:rPr>
        <w:tab/>
        <w:t>Une autre solution consisterait à modifier la note.</w:t>
      </w:r>
    </w:p>
    <w:p w:rsidR="00A2394D" w:rsidRPr="006724E8" w:rsidRDefault="00A2394D" w:rsidP="00A2394D">
      <w:pPr>
        <w:pStyle w:val="SingleTxt"/>
        <w:rPr>
          <w:lang w:val="fr-CH"/>
        </w:rPr>
      </w:pPr>
      <w:r w:rsidRPr="006724E8">
        <w:rPr>
          <w:b/>
          <w:bCs/>
          <w:i/>
          <w:lang w:val="fr-CH"/>
        </w:rPr>
        <w:t>NOTA </w:t>
      </w:r>
      <w:r w:rsidRPr="006724E8">
        <w:rPr>
          <w:lang w:val="fr-CH"/>
        </w:rPr>
        <w:t xml:space="preserve">: </w:t>
      </w:r>
      <w:r w:rsidRPr="006724E8">
        <w:rPr>
          <w:i/>
          <w:lang w:val="fr-CH"/>
        </w:rPr>
        <w:t>Pour l</w:t>
      </w:r>
      <w:r w:rsidR="00264CD1" w:rsidRPr="006724E8">
        <w:rPr>
          <w:i/>
          <w:lang w:val="fr-CH"/>
        </w:rPr>
        <w:t>’</w:t>
      </w:r>
      <w:r w:rsidRPr="006724E8">
        <w:rPr>
          <w:i/>
          <w:lang w:val="fr-CH"/>
        </w:rPr>
        <w:t>emballage des marchandises des classes 2, 6.2 et 7, les dispositions générales de la présente section s</w:t>
      </w:r>
      <w:r w:rsidR="00264CD1" w:rsidRPr="006724E8">
        <w:rPr>
          <w:i/>
          <w:lang w:val="fr-CH"/>
        </w:rPr>
        <w:t>’</w:t>
      </w:r>
      <w:r w:rsidRPr="006724E8">
        <w:rPr>
          <w:i/>
          <w:lang w:val="fr-CH"/>
        </w:rPr>
        <w:t>appliquent uniquement dans les conditions indiquées aux 4.1.8.2 (classe 6.2), 4.1.9.1.5 (classe 7) et dans les instructions d</w:t>
      </w:r>
      <w:r w:rsidR="00264CD1" w:rsidRPr="006724E8">
        <w:rPr>
          <w:i/>
          <w:lang w:val="fr-CH"/>
        </w:rPr>
        <w:t>’</w:t>
      </w:r>
      <w:r w:rsidRPr="006724E8">
        <w:rPr>
          <w:i/>
          <w:lang w:val="fr-CH"/>
        </w:rPr>
        <w:t xml:space="preserve">emballage pertinentes du 4.1.4 (P201 et LP02 pour la classe 2 et P620, P621, IBC620 et LP621 pour la classe 6.2). </w:t>
      </w:r>
      <w:r w:rsidRPr="006724E8">
        <w:rPr>
          <w:i/>
          <w:u w:val="single"/>
          <w:lang w:val="fr-CH"/>
        </w:rPr>
        <w:t>Cependant, le 4.1.1.17 s</w:t>
      </w:r>
      <w:r w:rsidR="00264CD1" w:rsidRPr="006724E8">
        <w:rPr>
          <w:i/>
          <w:u w:val="single"/>
          <w:lang w:val="fr-CH"/>
        </w:rPr>
        <w:t>’</w:t>
      </w:r>
      <w:r w:rsidRPr="006724E8">
        <w:rPr>
          <w:i/>
          <w:u w:val="single"/>
          <w:lang w:val="fr-CH"/>
        </w:rPr>
        <w:t>applique à la classe 2</w:t>
      </w:r>
      <w:r w:rsidRPr="006724E8">
        <w:rPr>
          <w:i/>
          <w:lang w:val="fr-CH"/>
        </w:rPr>
        <w:t>.</w:t>
      </w:r>
      <w:r w:rsidRPr="006724E8">
        <w:rPr>
          <w:lang w:val="fr-CH"/>
        </w:rPr>
        <w:t xml:space="preserve"> </w:t>
      </w:r>
    </w:p>
    <w:p w:rsidR="00087237" w:rsidRPr="006724E8" w:rsidRDefault="00E9046F" w:rsidP="00A2394D">
      <w:pPr>
        <w:pStyle w:val="SingleTxt"/>
        <w:spacing w:after="0" w:line="240" w:lineRule="auto"/>
        <w:rPr>
          <w:lang w:val="fr-CH"/>
        </w:rPr>
      </w:pPr>
      <w:r w:rsidRPr="00E9046F">
        <w:rPr>
          <w:noProof/>
          <w:w w:val="100"/>
          <w:lang w:val="en-US"/>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087237" w:rsidRPr="006724E8" w:rsidSect="00087237">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C8" w:rsidRDefault="002B55C8" w:rsidP="00F3330B">
      <w:pPr>
        <w:spacing w:line="240" w:lineRule="auto"/>
      </w:pPr>
      <w:r>
        <w:separator/>
      </w:r>
    </w:p>
  </w:endnote>
  <w:endnote w:type="continuationSeparator" w:id="0">
    <w:p w:rsidR="002B55C8" w:rsidRDefault="002B55C8"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087237" w:rsidTr="00087237">
      <w:trPr>
        <w:jc w:val="center"/>
      </w:trPr>
      <w:tc>
        <w:tcPr>
          <w:tcW w:w="5126" w:type="dxa"/>
          <w:shd w:val="clear" w:color="auto" w:fill="auto"/>
        </w:tcPr>
        <w:p w:rsidR="00087237" w:rsidRPr="00087237" w:rsidRDefault="00E9046F" w:rsidP="00087237">
          <w:pPr>
            <w:pStyle w:val="Pieddepage"/>
            <w:jc w:val="right"/>
            <w:rPr>
              <w:b w:val="0"/>
              <w:w w:val="103"/>
              <w:sz w:val="14"/>
            </w:rPr>
          </w:pPr>
          <w:fldSimple w:instr=" DOCVARIABLE &quot;FooterJN&quot; \* MERGEFORMAT ">
            <w:r w:rsidR="00B56341">
              <w:rPr>
                <w:b w:val="0"/>
                <w:w w:val="103"/>
                <w:sz w:val="14"/>
              </w:rPr>
              <w:t>GE.15-22667</w:t>
            </w:r>
          </w:fldSimple>
        </w:p>
      </w:tc>
      <w:tc>
        <w:tcPr>
          <w:tcW w:w="5127" w:type="dxa"/>
          <w:shd w:val="clear" w:color="auto" w:fill="auto"/>
        </w:tcPr>
        <w:p w:rsidR="00087237" w:rsidRPr="00087237" w:rsidRDefault="00E9046F" w:rsidP="00087237">
          <w:pPr>
            <w:pStyle w:val="Pieddepage"/>
            <w:rPr>
              <w:w w:val="103"/>
            </w:rPr>
          </w:pPr>
          <w:r>
            <w:rPr>
              <w:w w:val="103"/>
            </w:rPr>
            <w:fldChar w:fldCharType="begin"/>
          </w:r>
          <w:r w:rsidR="00087237">
            <w:rPr>
              <w:w w:val="103"/>
            </w:rPr>
            <w:instrText xml:space="preserve"> PAGE  \* Arabic  \* MERGEFORMAT </w:instrText>
          </w:r>
          <w:r>
            <w:rPr>
              <w:w w:val="103"/>
            </w:rPr>
            <w:fldChar w:fldCharType="separate"/>
          </w:r>
          <w:r w:rsidR="00932C90">
            <w:rPr>
              <w:noProof/>
              <w:w w:val="103"/>
            </w:rPr>
            <w:t>2</w:t>
          </w:r>
          <w:r>
            <w:rPr>
              <w:w w:val="103"/>
            </w:rPr>
            <w:fldChar w:fldCharType="end"/>
          </w:r>
          <w:r w:rsidR="00087237">
            <w:rPr>
              <w:w w:val="103"/>
            </w:rPr>
            <w:t>/</w:t>
          </w:r>
          <w:fldSimple w:instr=" NUMPAGES  \* Arabic  \* MERGEFORMAT ">
            <w:r w:rsidR="00932C90">
              <w:rPr>
                <w:noProof/>
                <w:w w:val="103"/>
              </w:rPr>
              <w:t>2</w:t>
            </w:r>
          </w:fldSimple>
        </w:p>
      </w:tc>
    </w:tr>
  </w:tbl>
  <w:p w:rsidR="00087237" w:rsidRPr="00087237" w:rsidRDefault="00087237" w:rsidP="0008723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087237" w:rsidTr="00087237">
      <w:trPr>
        <w:jc w:val="center"/>
      </w:trPr>
      <w:tc>
        <w:tcPr>
          <w:tcW w:w="5126" w:type="dxa"/>
          <w:shd w:val="clear" w:color="auto" w:fill="auto"/>
        </w:tcPr>
        <w:p w:rsidR="00087237" w:rsidRPr="00087237" w:rsidRDefault="00E9046F" w:rsidP="00087237">
          <w:pPr>
            <w:pStyle w:val="Pieddepage"/>
            <w:jc w:val="right"/>
            <w:rPr>
              <w:w w:val="103"/>
            </w:rPr>
          </w:pPr>
          <w:r>
            <w:rPr>
              <w:w w:val="103"/>
            </w:rPr>
            <w:fldChar w:fldCharType="begin"/>
          </w:r>
          <w:r w:rsidR="00087237">
            <w:rPr>
              <w:w w:val="103"/>
            </w:rPr>
            <w:instrText xml:space="preserve"> PAGE  \* Arabic  \* MERGEFORMAT </w:instrText>
          </w:r>
          <w:r>
            <w:rPr>
              <w:w w:val="103"/>
            </w:rPr>
            <w:fldChar w:fldCharType="separate"/>
          </w:r>
          <w:r w:rsidR="00B56341">
            <w:rPr>
              <w:noProof/>
              <w:w w:val="103"/>
            </w:rPr>
            <w:t>2</w:t>
          </w:r>
          <w:r>
            <w:rPr>
              <w:w w:val="103"/>
            </w:rPr>
            <w:fldChar w:fldCharType="end"/>
          </w:r>
          <w:r w:rsidR="00087237">
            <w:rPr>
              <w:w w:val="103"/>
            </w:rPr>
            <w:t>/</w:t>
          </w:r>
          <w:fldSimple w:instr=" NUMPAGES  \* Arabic  \* MERGEFORMAT ">
            <w:r w:rsidR="00B56341">
              <w:rPr>
                <w:noProof/>
                <w:w w:val="103"/>
              </w:rPr>
              <w:t>2</w:t>
            </w:r>
          </w:fldSimple>
        </w:p>
      </w:tc>
      <w:tc>
        <w:tcPr>
          <w:tcW w:w="5127" w:type="dxa"/>
          <w:shd w:val="clear" w:color="auto" w:fill="auto"/>
        </w:tcPr>
        <w:p w:rsidR="00087237" w:rsidRPr="00087237" w:rsidRDefault="00E9046F" w:rsidP="00087237">
          <w:pPr>
            <w:pStyle w:val="Pieddepage"/>
            <w:rPr>
              <w:b w:val="0"/>
              <w:w w:val="103"/>
              <w:sz w:val="14"/>
            </w:rPr>
          </w:pPr>
          <w:fldSimple w:instr=" DOCVARIABLE &quot;FooterJN&quot; \* MERGEFORMAT ">
            <w:r w:rsidR="00B56341">
              <w:rPr>
                <w:b w:val="0"/>
                <w:w w:val="103"/>
                <w:sz w:val="14"/>
              </w:rPr>
              <w:t>GE.15-22667</w:t>
            </w:r>
          </w:fldSimple>
        </w:p>
      </w:tc>
    </w:tr>
  </w:tbl>
  <w:p w:rsidR="00087237" w:rsidRPr="00087237" w:rsidRDefault="00087237" w:rsidP="0008723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37" w:rsidRDefault="00087237">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6/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7&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087237" w:rsidTr="00087237">
      <w:tc>
        <w:tcPr>
          <w:tcW w:w="3859" w:type="dxa"/>
        </w:tcPr>
        <w:p w:rsidR="00087237" w:rsidRDefault="00E9046F" w:rsidP="00087237">
          <w:pPr>
            <w:pStyle w:val="Pieddepage"/>
            <w:rPr>
              <w:b w:val="0"/>
              <w:sz w:val="20"/>
            </w:rPr>
          </w:pPr>
          <w:fldSimple w:instr=" DOCVARIABLE &quot;jobn&quot; \* MERGEFORMAT ">
            <w:r w:rsidR="00B56341">
              <w:rPr>
                <w:b w:val="0"/>
                <w:sz w:val="20"/>
              </w:rPr>
              <w:t>GE.15-22667 (F)</w:t>
            </w:r>
          </w:fldSimple>
          <w:r w:rsidR="00087237">
            <w:rPr>
              <w:b w:val="0"/>
              <w:sz w:val="20"/>
            </w:rPr>
            <w:t xml:space="preserve">    </w:t>
          </w:r>
          <w:r w:rsidR="00A2394D">
            <w:rPr>
              <w:b w:val="0"/>
              <w:sz w:val="20"/>
            </w:rPr>
            <w:t>17</w:t>
          </w:r>
          <w:r w:rsidR="00087237">
            <w:rPr>
              <w:b w:val="0"/>
              <w:sz w:val="20"/>
            </w:rPr>
            <w:t>0216    250216</w:t>
          </w:r>
        </w:p>
        <w:p w:rsidR="00087237" w:rsidRPr="00087237" w:rsidRDefault="00E9046F" w:rsidP="00087237">
          <w:pPr>
            <w:pStyle w:val="Pieddepage"/>
            <w:spacing w:before="120" w:line="200" w:lineRule="exact"/>
            <w:rPr>
              <w:rFonts w:ascii="Barcode 3 of 9 by request" w:hAnsi="Barcode 3 of 9 by request"/>
              <w:b w:val="0"/>
              <w:spacing w:val="0"/>
              <w:w w:val="100"/>
              <w:sz w:val="24"/>
            </w:rPr>
          </w:pPr>
          <w:fldSimple w:instr=" DOCVARIABLE &quot;Barcode&quot; \* MERGEFORMAT ">
            <w:r w:rsidR="00B56341">
              <w:rPr>
                <w:rFonts w:ascii="Barcode 3 of 9 by request" w:hAnsi="Barcode 3 of 9 by request"/>
                <w:b w:val="0"/>
                <w:spacing w:val="0"/>
                <w:w w:val="100"/>
                <w:sz w:val="24"/>
              </w:rPr>
              <w:t>*1522667*</w:t>
            </w:r>
          </w:fldSimple>
        </w:p>
      </w:tc>
      <w:tc>
        <w:tcPr>
          <w:tcW w:w="5127" w:type="dxa"/>
        </w:tcPr>
        <w:p w:rsidR="00087237" w:rsidRDefault="00087237" w:rsidP="00087237">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87237" w:rsidRPr="00087237" w:rsidRDefault="00087237" w:rsidP="00087237">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C8" w:rsidRPr="00A2394D" w:rsidRDefault="002B55C8" w:rsidP="00A2394D">
      <w:pPr>
        <w:pStyle w:val="Pieddepage"/>
        <w:spacing w:after="80"/>
        <w:ind w:left="792"/>
        <w:rPr>
          <w:sz w:val="16"/>
        </w:rPr>
      </w:pPr>
      <w:r w:rsidRPr="00A2394D">
        <w:rPr>
          <w:sz w:val="16"/>
        </w:rPr>
        <w:t>__________________</w:t>
      </w:r>
    </w:p>
  </w:footnote>
  <w:footnote w:type="continuationSeparator" w:id="0">
    <w:p w:rsidR="002B55C8" w:rsidRPr="00A2394D" w:rsidRDefault="002B55C8" w:rsidP="00A2394D">
      <w:pPr>
        <w:pStyle w:val="Pieddepage"/>
        <w:spacing w:after="80"/>
        <w:ind w:left="792"/>
        <w:rPr>
          <w:sz w:val="16"/>
        </w:rPr>
      </w:pPr>
      <w:r w:rsidRPr="00A2394D">
        <w:rPr>
          <w:sz w:val="16"/>
        </w:rPr>
        <w:t>__________________</w:t>
      </w:r>
    </w:p>
  </w:footnote>
  <w:footnote w:id="1">
    <w:p w:rsidR="00A2394D" w:rsidRPr="00A2394D" w:rsidRDefault="00A2394D" w:rsidP="006724E8">
      <w:pPr>
        <w:pStyle w:val="Notedebasdepage"/>
        <w:tabs>
          <w:tab w:val="right" w:pos="1195"/>
          <w:tab w:val="left" w:pos="1267"/>
          <w:tab w:val="left" w:pos="1742"/>
          <w:tab w:val="left" w:pos="2218"/>
          <w:tab w:val="left" w:pos="2693"/>
        </w:tabs>
        <w:spacing w:line="220" w:lineRule="exact"/>
        <w:ind w:left="1267" w:right="1267" w:hanging="432"/>
        <w:rPr>
          <w:lang w:val="fr-CH"/>
        </w:rPr>
      </w:pPr>
      <w:r>
        <w:tab/>
      </w:r>
      <w:r>
        <w:rPr>
          <w:rStyle w:val="Appelnotedebasdep"/>
        </w:rPr>
        <w:footnoteRef/>
      </w:r>
      <w:r>
        <w:tab/>
      </w:r>
      <w:r w:rsidRPr="00A2394D">
        <w:rPr>
          <w:szCs w:val="17"/>
          <w:lang w:val="fr-FR"/>
        </w:rPr>
        <w:t>Conformément au projet de programme de travail du Comité des transports intérieurs pour 2016-2017 (ECE/TRANS/WP.15/2015/19 (9.2)).</w:t>
      </w:r>
    </w:p>
  </w:footnote>
  <w:footnote w:id="2">
    <w:p w:rsidR="00A2394D" w:rsidRPr="00555F1D" w:rsidRDefault="00A2394D" w:rsidP="006724E8">
      <w:pPr>
        <w:pStyle w:val="Notedebasdepage"/>
        <w:tabs>
          <w:tab w:val="right" w:pos="1195"/>
          <w:tab w:val="left" w:pos="1267"/>
          <w:tab w:val="left" w:pos="1742"/>
          <w:tab w:val="left" w:pos="2218"/>
          <w:tab w:val="left" w:pos="2693"/>
        </w:tabs>
        <w:spacing w:line="220" w:lineRule="exact"/>
        <w:ind w:left="1267" w:right="1267" w:hanging="432"/>
        <w:jc w:val="both"/>
        <w:rPr>
          <w:sz w:val="22"/>
          <w:lang w:val="en-US"/>
        </w:rPr>
      </w:pPr>
      <w:r>
        <w:rPr>
          <w:sz w:val="22"/>
          <w:lang w:val="fr-FR"/>
        </w:rPr>
        <w:tab/>
      </w:r>
      <w:r w:rsidRPr="00611D49">
        <w:rPr>
          <w:rStyle w:val="Appelnotedebasdep"/>
          <w:szCs w:val="17"/>
          <w:lang w:val="fr-FR"/>
        </w:rPr>
        <w:footnoteRef/>
      </w:r>
      <w:r w:rsidRPr="00555F1D">
        <w:rPr>
          <w:sz w:val="22"/>
          <w:lang w:val="fr-FR"/>
        </w:rPr>
        <w:tab/>
      </w:r>
      <w:r w:rsidRPr="00A2394D">
        <w:rPr>
          <w:szCs w:val="17"/>
          <w:lang w:val="fr-FR"/>
        </w:rPr>
        <w:t>Diffusé par l</w:t>
      </w:r>
      <w:r w:rsidR="00264CD1">
        <w:rPr>
          <w:szCs w:val="17"/>
          <w:lang w:val="fr-FR"/>
        </w:rPr>
        <w:t>’</w:t>
      </w:r>
      <w:r w:rsidRPr="00A2394D">
        <w:rPr>
          <w:szCs w:val="17"/>
          <w:lang w:val="fr-FR"/>
        </w:rPr>
        <w:t>Organisation intergouvernementale pour les transports internationaux ferroviaires (OTIF) sous la cote OTIF/RID/RC/2016/7.</w:t>
      </w:r>
      <w:r w:rsidRPr="00555F1D">
        <w:rPr>
          <w:sz w:val="22"/>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087237" w:rsidTr="00087237">
      <w:trPr>
        <w:trHeight w:hRule="exact" w:val="864"/>
        <w:jc w:val="center"/>
      </w:trPr>
      <w:tc>
        <w:tcPr>
          <w:tcW w:w="4882" w:type="dxa"/>
          <w:shd w:val="clear" w:color="auto" w:fill="auto"/>
          <w:vAlign w:val="bottom"/>
        </w:tcPr>
        <w:p w:rsidR="00087237" w:rsidRPr="00087237" w:rsidRDefault="00E9046F" w:rsidP="00087237">
          <w:pPr>
            <w:pStyle w:val="En-tte"/>
            <w:spacing w:after="80"/>
            <w:rPr>
              <w:b/>
              <w:color w:val="000000"/>
            </w:rPr>
          </w:pPr>
          <w:fldSimple w:instr=" DOCVARIABLE &quot;sss1&quot; \* MERGEFORMAT ">
            <w:r w:rsidR="00B56341">
              <w:rPr>
                <w:b/>
                <w:color w:val="000000"/>
              </w:rPr>
              <w:t>ECE/TRANS/WP.15/AC.1/2016/7</w:t>
            </w:r>
          </w:fldSimple>
        </w:p>
      </w:tc>
      <w:tc>
        <w:tcPr>
          <w:tcW w:w="5127" w:type="dxa"/>
          <w:shd w:val="clear" w:color="auto" w:fill="auto"/>
          <w:vAlign w:val="bottom"/>
        </w:tcPr>
        <w:p w:rsidR="00087237" w:rsidRDefault="00087237" w:rsidP="00087237">
          <w:pPr>
            <w:pStyle w:val="En-tte"/>
          </w:pPr>
        </w:p>
      </w:tc>
    </w:tr>
  </w:tbl>
  <w:p w:rsidR="00087237" w:rsidRPr="00087237" w:rsidRDefault="00087237" w:rsidP="00087237">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087237" w:rsidTr="00087237">
      <w:trPr>
        <w:trHeight w:hRule="exact" w:val="864"/>
        <w:jc w:val="center"/>
      </w:trPr>
      <w:tc>
        <w:tcPr>
          <w:tcW w:w="4882" w:type="dxa"/>
          <w:shd w:val="clear" w:color="auto" w:fill="auto"/>
          <w:vAlign w:val="bottom"/>
        </w:tcPr>
        <w:p w:rsidR="00087237" w:rsidRDefault="00087237" w:rsidP="00087237">
          <w:pPr>
            <w:pStyle w:val="En-tte"/>
          </w:pPr>
        </w:p>
      </w:tc>
      <w:tc>
        <w:tcPr>
          <w:tcW w:w="5127" w:type="dxa"/>
          <w:shd w:val="clear" w:color="auto" w:fill="auto"/>
          <w:vAlign w:val="bottom"/>
        </w:tcPr>
        <w:p w:rsidR="00087237" w:rsidRPr="00087237" w:rsidRDefault="00E9046F" w:rsidP="00087237">
          <w:pPr>
            <w:pStyle w:val="En-tte"/>
            <w:spacing w:after="80"/>
            <w:jc w:val="right"/>
            <w:rPr>
              <w:b/>
              <w:color w:val="000000"/>
            </w:rPr>
          </w:pPr>
          <w:fldSimple w:instr=" DOCVARIABLE &quot;sss1&quot; \* MERGEFORMAT ">
            <w:r w:rsidR="00B56341">
              <w:rPr>
                <w:b/>
                <w:color w:val="000000"/>
              </w:rPr>
              <w:t>ECE/TRANS/WP.15/AC.1/2016/7</w:t>
            </w:r>
          </w:fldSimple>
        </w:p>
      </w:tc>
    </w:tr>
  </w:tbl>
  <w:p w:rsidR="00087237" w:rsidRPr="00087237" w:rsidRDefault="00087237" w:rsidP="00087237">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087237" w:rsidTr="00087237">
      <w:trPr>
        <w:trHeight w:hRule="exact" w:val="864"/>
      </w:trPr>
      <w:tc>
        <w:tcPr>
          <w:tcW w:w="1267" w:type="dxa"/>
          <w:tcBorders>
            <w:bottom w:val="single" w:sz="4" w:space="0" w:color="auto"/>
          </w:tcBorders>
          <w:shd w:val="clear" w:color="auto" w:fill="auto"/>
          <w:vAlign w:val="bottom"/>
        </w:tcPr>
        <w:p w:rsidR="00087237" w:rsidRDefault="00087237" w:rsidP="00087237">
          <w:pPr>
            <w:pStyle w:val="En-tte"/>
            <w:spacing w:after="120"/>
          </w:pPr>
        </w:p>
      </w:tc>
      <w:tc>
        <w:tcPr>
          <w:tcW w:w="2059" w:type="dxa"/>
          <w:tcBorders>
            <w:bottom w:val="single" w:sz="4" w:space="0" w:color="auto"/>
          </w:tcBorders>
          <w:shd w:val="clear" w:color="auto" w:fill="auto"/>
          <w:vAlign w:val="bottom"/>
        </w:tcPr>
        <w:p w:rsidR="00087237" w:rsidRPr="00087237" w:rsidRDefault="00087237" w:rsidP="0008723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87237" w:rsidRDefault="00087237" w:rsidP="00087237">
          <w:pPr>
            <w:pStyle w:val="En-tte"/>
            <w:spacing w:after="120"/>
          </w:pPr>
        </w:p>
      </w:tc>
      <w:tc>
        <w:tcPr>
          <w:tcW w:w="6653" w:type="dxa"/>
          <w:gridSpan w:val="4"/>
          <w:tcBorders>
            <w:bottom w:val="single" w:sz="4" w:space="0" w:color="auto"/>
          </w:tcBorders>
          <w:shd w:val="clear" w:color="auto" w:fill="auto"/>
          <w:vAlign w:val="bottom"/>
        </w:tcPr>
        <w:p w:rsidR="00087237" w:rsidRPr="00087237" w:rsidRDefault="00087237" w:rsidP="00087237">
          <w:pPr>
            <w:spacing w:after="80" w:line="240" w:lineRule="auto"/>
            <w:jc w:val="right"/>
            <w:rPr>
              <w:position w:val="-4"/>
            </w:rPr>
          </w:pPr>
          <w:r>
            <w:rPr>
              <w:position w:val="-4"/>
              <w:sz w:val="40"/>
            </w:rPr>
            <w:t>ECE</w:t>
          </w:r>
          <w:r>
            <w:rPr>
              <w:position w:val="-4"/>
            </w:rPr>
            <w:t>/TRANS/WP.15/AC.1/2016/7</w:t>
          </w:r>
        </w:p>
      </w:tc>
    </w:tr>
    <w:tr w:rsidR="00087237" w:rsidRPr="00087237" w:rsidTr="00087237">
      <w:trPr>
        <w:gridAfter w:val="1"/>
        <w:wAfter w:w="18" w:type="dxa"/>
        <w:trHeight w:hRule="exact" w:val="2880"/>
      </w:trPr>
      <w:tc>
        <w:tcPr>
          <w:tcW w:w="1267" w:type="dxa"/>
          <w:tcBorders>
            <w:top w:val="single" w:sz="4" w:space="0" w:color="auto"/>
            <w:bottom w:val="single" w:sz="12" w:space="0" w:color="auto"/>
          </w:tcBorders>
          <w:shd w:val="clear" w:color="auto" w:fill="auto"/>
        </w:tcPr>
        <w:p w:rsidR="00087237" w:rsidRPr="00087237" w:rsidRDefault="00087237" w:rsidP="00087237">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87237" w:rsidRPr="00087237" w:rsidRDefault="00087237" w:rsidP="0008723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87237" w:rsidRPr="00087237" w:rsidRDefault="00087237" w:rsidP="00087237">
          <w:pPr>
            <w:pStyle w:val="En-tte"/>
            <w:spacing w:before="109"/>
          </w:pPr>
        </w:p>
      </w:tc>
      <w:tc>
        <w:tcPr>
          <w:tcW w:w="3280" w:type="dxa"/>
          <w:tcBorders>
            <w:top w:val="single" w:sz="4" w:space="0" w:color="auto"/>
            <w:bottom w:val="single" w:sz="12" w:space="0" w:color="auto"/>
          </w:tcBorders>
          <w:shd w:val="clear" w:color="auto" w:fill="auto"/>
        </w:tcPr>
        <w:p w:rsidR="00087237" w:rsidRDefault="00087237" w:rsidP="00087237">
          <w:pPr>
            <w:pStyle w:val="Distribution"/>
            <w:rPr>
              <w:color w:val="000000"/>
            </w:rPr>
          </w:pPr>
          <w:r>
            <w:rPr>
              <w:color w:val="000000"/>
            </w:rPr>
            <w:t>Distr. générale</w:t>
          </w:r>
        </w:p>
        <w:p w:rsidR="00087237" w:rsidRDefault="00087237" w:rsidP="00087237">
          <w:pPr>
            <w:pStyle w:val="Publication"/>
            <w:rPr>
              <w:color w:val="000000"/>
            </w:rPr>
          </w:pPr>
          <w:r>
            <w:rPr>
              <w:color w:val="000000"/>
            </w:rPr>
            <w:t>22 décembre 2015</w:t>
          </w:r>
        </w:p>
        <w:p w:rsidR="00087237" w:rsidRDefault="00087237" w:rsidP="00087237">
          <w:pPr>
            <w:rPr>
              <w:lang w:val="en-US"/>
            </w:rPr>
          </w:pPr>
          <w:r>
            <w:rPr>
              <w:lang w:val="en-US"/>
            </w:rPr>
            <w:t>Français</w:t>
          </w:r>
        </w:p>
        <w:p w:rsidR="00087237" w:rsidRPr="00087237" w:rsidRDefault="00087237" w:rsidP="00087237">
          <w:pPr>
            <w:pStyle w:val="Original"/>
            <w:rPr>
              <w:color w:val="000000"/>
            </w:rPr>
          </w:pPr>
          <w:r>
            <w:rPr>
              <w:color w:val="000000"/>
            </w:rPr>
            <w:t>Original : anglais</w:t>
          </w:r>
        </w:p>
      </w:tc>
    </w:tr>
  </w:tbl>
  <w:p w:rsidR="00087237" w:rsidRPr="00087237" w:rsidRDefault="00087237" w:rsidP="00087237">
    <w:pPr>
      <w:pStyle w:val="En-tte"/>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SortMethod w:val="0003"/>
  <w:defaultTabStop w:val="475"/>
  <w:hyphenationZone w:val="425"/>
  <w:doNotHyphenateCaps/>
  <w:evenAndOddHeaders/>
  <w:characterSpacingControl w:val="doNotCompress"/>
  <w:hdrShapeDefaults>
    <o:shapedefaults v:ext="edit" spidmax="7170"/>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22667*"/>
    <w:docVar w:name="CreationDt" w:val="2/25/2016 11:15 AM"/>
    <w:docVar w:name="DocCategory" w:val="Doc"/>
    <w:docVar w:name="DocType" w:val="Final"/>
    <w:docVar w:name="DutyStation" w:val="Geneva"/>
    <w:docVar w:name="FooterJN" w:val="GE.15-22667"/>
    <w:docVar w:name="jobn" w:val="GE.15-22667 (F)"/>
    <w:docVar w:name="jobnDT" w:val="GE.15-22667 (F)   250216"/>
    <w:docVar w:name="jobnDTDT" w:val="GE.15-22667 (F)   250216   250216"/>
    <w:docVar w:name="JobNo" w:val="GE.1522667F"/>
    <w:docVar w:name="JobNo2" w:val="GE.1528923F"/>
    <w:docVar w:name="LocalDrive" w:val="0"/>
    <w:docVar w:name="OandT" w:val="BEAUNEE"/>
    <w:docVar w:name="PaperSize" w:val="A4"/>
    <w:docVar w:name="sss1" w:val="ECE/TRANS/WP.15/AC.1/2016/7"/>
    <w:docVar w:name="sss2" w:val="-"/>
    <w:docVar w:name="Symbol1" w:val="ECE/TRANS/WP.15/AC.1/2016/7"/>
    <w:docVar w:name="Symbol2" w:val="-"/>
  </w:docVars>
  <w:rsids>
    <w:rsidRoot w:val="0075172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87237"/>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2D7F"/>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0401"/>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4CD1"/>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5C8"/>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95C"/>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49"/>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24E8"/>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21"/>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C90"/>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394D"/>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6341"/>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28F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046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Footnote Reference/"/>
    <w:rsid w:val="00DD7C73"/>
    <w:rPr>
      <w:color w:val="auto"/>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087237"/>
    <w:rPr>
      <w:sz w:val="16"/>
      <w:szCs w:val="16"/>
    </w:rPr>
  </w:style>
  <w:style w:type="paragraph" w:styleId="Commentaire">
    <w:name w:val="annotation text"/>
    <w:basedOn w:val="Normal"/>
    <w:link w:val="CommentaireCar"/>
    <w:uiPriority w:val="99"/>
    <w:semiHidden/>
    <w:unhideWhenUsed/>
    <w:rsid w:val="00087237"/>
    <w:pPr>
      <w:spacing w:line="240" w:lineRule="auto"/>
    </w:pPr>
    <w:rPr>
      <w:szCs w:val="20"/>
    </w:rPr>
  </w:style>
  <w:style w:type="character" w:customStyle="1" w:styleId="CommentaireCar">
    <w:name w:val="Commentaire Car"/>
    <w:basedOn w:val="Policepardfaut"/>
    <w:link w:val="Commentaire"/>
    <w:uiPriority w:val="99"/>
    <w:semiHidden/>
    <w:rsid w:val="00087237"/>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087237"/>
    <w:rPr>
      <w:b/>
      <w:bCs/>
    </w:rPr>
  </w:style>
  <w:style w:type="character" w:customStyle="1" w:styleId="ObjetducommentaireCar">
    <w:name w:val="Objet du commentaire Car"/>
    <w:basedOn w:val="CommentaireCar"/>
    <w:link w:val="Objetducommentaire"/>
    <w:uiPriority w:val="99"/>
    <w:semiHidden/>
    <w:rsid w:val="00087237"/>
    <w:rPr>
      <w:rFonts w:ascii="Times New Roman" w:hAnsi="Times New Roman"/>
      <w:b/>
      <w:bCs/>
      <w:spacing w:val="4"/>
      <w:w w:val="103"/>
      <w:kern w:val="14"/>
      <w:lang w:val="fr-CA"/>
    </w:rPr>
  </w:style>
  <w:style w:type="paragraph" w:customStyle="1" w:styleId="HChG">
    <w:name w:val="_ H _Ch_G"/>
    <w:basedOn w:val="Normal"/>
    <w:next w:val="Normal"/>
    <w:link w:val="HChGChar"/>
    <w:qFormat/>
    <w:rsid w:val="00A2394D"/>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A2394D"/>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A2394D"/>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SingleTxtGChar">
    <w:name w:val="_ Single Txt_G Char"/>
    <w:link w:val="SingleTxtG"/>
    <w:locked/>
    <w:rsid w:val="00A2394D"/>
    <w:rPr>
      <w:rFonts w:ascii="Times New Roman" w:eastAsia="Calibri" w:hAnsi="Times New Roman"/>
      <w:sz w:val="24"/>
      <w:lang w:val="fr-CH"/>
    </w:rPr>
  </w:style>
  <w:style w:type="character" w:styleId="Accentuation">
    <w:name w:val="Emphasis"/>
    <w:qFormat/>
    <w:rsid w:val="00A2394D"/>
    <w:rPr>
      <w:i/>
      <w:iCs/>
    </w:rPr>
  </w:style>
  <w:style w:type="character" w:customStyle="1" w:styleId="HChGChar">
    <w:name w:val="_ H _Ch_G Char"/>
    <w:link w:val="HChG"/>
    <w:locked/>
    <w:rsid w:val="00A2394D"/>
    <w:rPr>
      <w:rFonts w:ascii="Times New Roman" w:eastAsia="Calibri" w:hAnsi="Times New Roman"/>
      <w:b/>
      <w:sz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87237"/>
    <w:rPr>
      <w:sz w:val="16"/>
      <w:szCs w:val="16"/>
    </w:rPr>
  </w:style>
  <w:style w:type="paragraph" w:styleId="CommentText">
    <w:name w:val="annotation text"/>
    <w:basedOn w:val="Normal"/>
    <w:link w:val="CommentTextChar"/>
    <w:uiPriority w:val="99"/>
    <w:semiHidden/>
    <w:unhideWhenUsed/>
    <w:rsid w:val="00087237"/>
    <w:pPr>
      <w:spacing w:line="240" w:lineRule="auto"/>
    </w:pPr>
    <w:rPr>
      <w:szCs w:val="20"/>
    </w:rPr>
  </w:style>
  <w:style w:type="character" w:customStyle="1" w:styleId="CommentTextChar">
    <w:name w:val="Comment Text Char"/>
    <w:basedOn w:val="DefaultParagraphFont"/>
    <w:link w:val="CommentText"/>
    <w:uiPriority w:val="99"/>
    <w:semiHidden/>
    <w:rsid w:val="0008723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87237"/>
    <w:rPr>
      <w:b/>
      <w:bCs/>
    </w:rPr>
  </w:style>
  <w:style w:type="character" w:customStyle="1" w:styleId="CommentSubjectChar">
    <w:name w:val="Comment Subject Char"/>
    <w:basedOn w:val="CommentTextChar"/>
    <w:link w:val="CommentSubject"/>
    <w:uiPriority w:val="99"/>
    <w:semiHidden/>
    <w:rsid w:val="00087237"/>
    <w:rPr>
      <w:rFonts w:ascii="Times New Roman" w:hAnsi="Times New Roman"/>
      <w:b/>
      <w:bCs/>
      <w:spacing w:val="4"/>
      <w:w w:val="103"/>
      <w:kern w:val="14"/>
      <w:lang w:val="fr-CA"/>
    </w:rPr>
  </w:style>
  <w:style w:type="paragraph" w:customStyle="1" w:styleId="HChG">
    <w:name w:val="_ H _Ch_G"/>
    <w:basedOn w:val="Normal"/>
    <w:next w:val="Normal"/>
    <w:link w:val="HChGChar"/>
    <w:qFormat/>
    <w:rsid w:val="00A2394D"/>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A2394D"/>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A2394D"/>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SingleTxtGChar">
    <w:name w:val="_ Single Txt_G Char"/>
    <w:link w:val="SingleTxtG"/>
    <w:locked/>
    <w:rsid w:val="00A2394D"/>
    <w:rPr>
      <w:rFonts w:ascii="Times New Roman" w:eastAsia="Calibri" w:hAnsi="Times New Roman"/>
      <w:sz w:val="24"/>
      <w:lang w:val="fr-CH"/>
    </w:rPr>
  </w:style>
  <w:style w:type="character" w:styleId="Emphasis">
    <w:name w:val="Emphasis"/>
    <w:qFormat/>
    <w:rsid w:val="00A2394D"/>
    <w:rPr>
      <w:i/>
      <w:iCs/>
    </w:rPr>
  </w:style>
  <w:style w:type="character" w:customStyle="1" w:styleId="HChGChar">
    <w:name w:val="_ H _Ch_G Char"/>
    <w:link w:val="HChG"/>
    <w:locked/>
    <w:rsid w:val="00A2394D"/>
    <w:rPr>
      <w:rFonts w:ascii="Times New Roman" w:eastAsia="Calibri" w:hAnsi="Times New Roman"/>
      <w:b/>
      <w:sz w:val="28"/>
      <w:lang w:val="fr-CH"/>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4E0E-8542-414C-9E2B-3B3B5C4F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Maison</cp:lastModifiedBy>
  <cp:revision>2</cp:revision>
  <cp:lastPrinted>2016-02-25T10:55:00Z</cp:lastPrinted>
  <dcterms:created xsi:type="dcterms:W3CDTF">2016-02-25T12:18:00Z</dcterms:created>
  <dcterms:modified xsi:type="dcterms:W3CDTF">2016-02-25T12:18:00Z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1522667F</vt:lpwstr>
  </property>
  <property fmtid="{D5CDD505-2E9C-101B-9397-08002B2CF9AE}" pid="3" name="ODSRefJobNo">
    <vt:lpwstr>1528923F</vt:lpwstr>
  </property>
  <property fmtid="{D5CDD505-2E9C-101B-9397-08002B2CF9AE}" pid="4" name="Symbol1">
    <vt:lpwstr>ECE/TRANS/WP.15/AC.1/2016/7</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décembre 2015</vt:lpwstr>
  </property>
  <property fmtid="{D5CDD505-2E9C-101B-9397-08002B2CF9AE}" pid="12" name="Original">
    <vt:lpwstr>anglais</vt:lpwstr>
  </property>
  <property fmtid="{D5CDD505-2E9C-101B-9397-08002B2CF9AE}" pid="13" name="Release Date">
    <vt:lpwstr>250216</vt:lpwstr>
  </property>
</Properties>
</file>