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5" w:rsidRPr="00990EEA" w:rsidRDefault="00B54095" w:rsidP="00B54095">
      <w:pPr>
        <w:spacing w:line="60" w:lineRule="exact"/>
        <w:rPr>
          <w:color w:val="010000"/>
          <w:sz w:val="6"/>
        </w:rPr>
        <w:sectPr w:rsidR="00B54095" w:rsidRPr="00990EEA" w:rsidSect="00B540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90EEA" w:rsidRPr="000705B9" w:rsidRDefault="00990EEA" w:rsidP="000705B9">
      <w:pPr>
        <w:rPr>
          <w:b/>
          <w:bCs/>
          <w:sz w:val="28"/>
          <w:szCs w:val="28"/>
        </w:rPr>
      </w:pPr>
      <w:r w:rsidRPr="000705B9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0705B9" w:rsidRPr="000705B9" w:rsidRDefault="000705B9" w:rsidP="000705B9">
      <w:pPr>
        <w:spacing w:line="120" w:lineRule="exact"/>
        <w:rPr>
          <w:sz w:val="10"/>
          <w:szCs w:val="28"/>
        </w:rPr>
      </w:pPr>
    </w:p>
    <w:p w:rsidR="00990EEA" w:rsidRPr="000705B9" w:rsidRDefault="00990EEA" w:rsidP="000705B9">
      <w:pPr>
        <w:rPr>
          <w:sz w:val="28"/>
          <w:szCs w:val="28"/>
        </w:rPr>
      </w:pPr>
      <w:r w:rsidRPr="000705B9">
        <w:rPr>
          <w:sz w:val="28"/>
          <w:szCs w:val="28"/>
        </w:rPr>
        <w:t>Комитет по внутреннему транспорту</w:t>
      </w:r>
    </w:p>
    <w:p w:rsidR="000705B9" w:rsidRPr="000705B9" w:rsidRDefault="000705B9" w:rsidP="000705B9">
      <w:pPr>
        <w:spacing w:line="120" w:lineRule="exact"/>
        <w:rPr>
          <w:sz w:val="10"/>
        </w:rPr>
      </w:pPr>
    </w:p>
    <w:p w:rsidR="00990EEA" w:rsidRPr="000705B9" w:rsidRDefault="00990EEA" w:rsidP="000705B9">
      <w:pPr>
        <w:rPr>
          <w:b/>
          <w:bCs/>
          <w:sz w:val="24"/>
          <w:szCs w:val="24"/>
        </w:rPr>
      </w:pPr>
      <w:r w:rsidRPr="000705B9">
        <w:rPr>
          <w:b/>
          <w:bCs/>
          <w:sz w:val="24"/>
          <w:szCs w:val="24"/>
        </w:rPr>
        <w:t>Рабочая группа по перевозкам опасных грузов</w:t>
      </w:r>
    </w:p>
    <w:p w:rsidR="000705B9" w:rsidRPr="000705B9" w:rsidRDefault="000705B9" w:rsidP="000705B9">
      <w:pPr>
        <w:spacing w:line="120" w:lineRule="exact"/>
        <w:rPr>
          <w:sz w:val="10"/>
        </w:rPr>
      </w:pPr>
    </w:p>
    <w:p w:rsidR="00990EEA" w:rsidRPr="000705B9" w:rsidRDefault="00990EEA" w:rsidP="000705B9">
      <w:pPr>
        <w:rPr>
          <w:b/>
          <w:bCs/>
        </w:rPr>
      </w:pPr>
      <w:r w:rsidRPr="000705B9">
        <w:rPr>
          <w:b/>
          <w:bCs/>
        </w:rPr>
        <w:t xml:space="preserve">Совместное совещание Комиссии экспертов МПОГ </w:t>
      </w:r>
      <w:r w:rsidR="000705B9">
        <w:rPr>
          <w:b/>
          <w:bCs/>
        </w:rPr>
        <w:br/>
      </w:r>
      <w:r w:rsidRPr="000705B9">
        <w:rPr>
          <w:b/>
          <w:bCs/>
        </w:rPr>
        <w:t>и Рабочей группы по перевозкам опасных грузов</w:t>
      </w:r>
    </w:p>
    <w:p w:rsidR="00990EEA" w:rsidRPr="00990EEA" w:rsidRDefault="00990EEA" w:rsidP="000705B9">
      <w:r w:rsidRPr="00990EEA">
        <w:t>Берн, 14−18 марта 2016 года</w:t>
      </w:r>
    </w:p>
    <w:p w:rsidR="00990EEA" w:rsidRPr="00990EEA" w:rsidRDefault="00990EEA" w:rsidP="000705B9">
      <w:r w:rsidRPr="00990EEA">
        <w:t>Пункт 5 b) предварительной повестки дня</w:t>
      </w:r>
    </w:p>
    <w:p w:rsidR="00990EEA" w:rsidRPr="000705B9" w:rsidRDefault="00990EEA" w:rsidP="000705B9">
      <w:pPr>
        <w:rPr>
          <w:b/>
        </w:rPr>
      </w:pPr>
      <w:r w:rsidRPr="000705B9">
        <w:rPr>
          <w:b/>
        </w:rPr>
        <w:t>Предложения о внесении поправок в МПОГ/ДОПОГ/</w:t>
      </w:r>
      <w:r w:rsidR="000705B9">
        <w:rPr>
          <w:b/>
        </w:rPr>
        <w:br/>
      </w:r>
      <w:r w:rsidRPr="000705B9">
        <w:rPr>
          <w:b/>
        </w:rPr>
        <w:t>ВОПОГ:</w:t>
      </w:r>
      <w:r w:rsidR="000705B9">
        <w:rPr>
          <w:b/>
        </w:rPr>
        <w:t xml:space="preserve"> </w:t>
      </w:r>
      <w:r w:rsidRPr="000705B9">
        <w:rPr>
          <w:b/>
        </w:rPr>
        <w:t>новые предложения</w:t>
      </w:r>
    </w:p>
    <w:p w:rsidR="000705B9" w:rsidRPr="000705B9" w:rsidRDefault="000705B9" w:rsidP="000705B9">
      <w:pPr>
        <w:pStyle w:val="SingleTxt"/>
        <w:spacing w:after="0" w:line="120" w:lineRule="exact"/>
        <w:rPr>
          <w:b/>
          <w:sz w:val="10"/>
        </w:rPr>
      </w:pPr>
    </w:p>
    <w:p w:rsidR="000705B9" w:rsidRPr="000705B9" w:rsidRDefault="000705B9" w:rsidP="000705B9">
      <w:pPr>
        <w:pStyle w:val="SingleTxt"/>
        <w:spacing w:after="0" w:line="120" w:lineRule="exact"/>
        <w:rPr>
          <w:b/>
          <w:sz w:val="10"/>
          <w:lang w:val="x-none"/>
        </w:rPr>
      </w:pPr>
    </w:p>
    <w:p w:rsidR="000705B9" w:rsidRPr="000705B9" w:rsidRDefault="000705B9" w:rsidP="000705B9">
      <w:pPr>
        <w:pStyle w:val="SingleTxt"/>
        <w:spacing w:after="0" w:line="120" w:lineRule="exact"/>
        <w:rPr>
          <w:b/>
          <w:sz w:val="10"/>
          <w:lang w:val="x-none"/>
        </w:rPr>
      </w:pPr>
    </w:p>
    <w:p w:rsidR="00990EEA" w:rsidRPr="00990EEA" w:rsidRDefault="00990EEA" w:rsidP="000705B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0EEA">
        <w:rPr>
          <w:lang w:val="x-none"/>
        </w:rPr>
        <w:tab/>
      </w:r>
      <w:r w:rsidRPr="00990EEA">
        <w:rPr>
          <w:lang w:val="x-none"/>
        </w:rPr>
        <w:tab/>
      </w:r>
      <w:proofErr w:type="spellStart"/>
      <w:r w:rsidRPr="00990EEA">
        <w:rPr>
          <w:lang w:val="x-none"/>
        </w:rPr>
        <w:t>Консультант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по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вопросам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безопасности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перевозки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опасных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грузов</w:t>
      </w:r>
      <w:proofErr w:type="spellEnd"/>
      <w:r w:rsidRPr="00990EEA">
        <w:t xml:space="preserve">: предложения в отношении новых разделов и поправки, касающиеся подготовки </w:t>
      </w:r>
      <w:r w:rsidR="000705B9">
        <w:br/>
      </w:r>
      <w:r w:rsidRPr="00990EEA">
        <w:t xml:space="preserve">и консультанта по вопросам безопасности </w:t>
      </w:r>
      <w:proofErr w:type="spellStart"/>
      <w:r w:rsidRPr="00990EEA">
        <w:rPr>
          <w:lang w:val="x-none"/>
        </w:rPr>
        <w:t>перевозки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опасных</w:t>
      </w:r>
      <w:proofErr w:type="spellEnd"/>
      <w:r w:rsidRPr="00990EEA">
        <w:rPr>
          <w:lang w:val="x-none"/>
        </w:rPr>
        <w:t xml:space="preserve"> </w:t>
      </w:r>
      <w:proofErr w:type="spellStart"/>
      <w:r w:rsidRPr="00990EEA">
        <w:rPr>
          <w:lang w:val="x-none"/>
        </w:rPr>
        <w:t>грузов</w:t>
      </w:r>
      <w:proofErr w:type="spellEnd"/>
    </w:p>
    <w:p w:rsidR="000705B9" w:rsidRPr="000705B9" w:rsidRDefault="000705B9" w:rsidP="000705B9">
      <w:pPr>
        <w:pStyle w:val="SingleTxt"/>
        <w:spacing w:after="0" w:line="120" w:lineRule="exact"/>
        <w:rPr>
          <w:sz w:val="10"/>
        </w:rPr>
      </w:pPr>
    </w:p>
    <w:p w:rsidR="000705B9" w:rsidRPr="000705B9" w:rsidRDefault="000705B9" w:rsidP="000705B9">
      <w:pPr>
        <w:pStyle w:val="SingleTxt"/>
        <w:spacing w:after="0" w:line="120" w:lineRule="exact"/>
        <w:rPr>
          <w:sz w:val="10"/>
        </w:rPr>
      </w:pPr>
    </w:p>
    <w:p w:rsidR="00B54095" w:rsidRPr="0003037B" w:rsidRDefault="00990EEA" w:rsidP="000303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0EEA">
        <w:tab/>
      </w:r>
      <w:r w:rsidRPr="00990EEA">
        <w:tab/>
        <w:t>Представлено Европейской ассоциацией по вопросам безопасности перевозки опасных грузов (ЕАКБ)</w:t>
      </w:r>
      <w:r w:rsidRPr="0003037B">
        <w:rPr>
          <w:b w:val="0"/>
          <w:bCs/>
          <w:sz w:val="20"/>
          <w:szCs w:val="20"/>
          <w:vertAlign w:val="superscript"/>
          <w:lang w:val="en-GB"/>
        </w:rPr>
        <w:footnoteReference w:id="1"/>
      </w:r>
      <w:r w:rsidRPr="0003037B">
        <w:rPr>
          <w:b w:val="0"/>
          <w:bCs/>
          <w:sz w:val="20"/>
          <w:szCs w:val="20"/>
          <w:vertAlign w:val="superscript"/>
        </w:rPr>
        <w:t>,</w:t>
      </w:r>
      <w:r w:rsidRPr="0003037B">
        <w:rPr>
          <w:b w:val="0"/>
          <w:bCs/>
          <w:sz w:val="20"/>
          <w:szCs w:val="20"/>
        </w:rPr>
        <w:t xml:space="preserve"> </w:t>
      </w:r>
      <w:r w:rsidRPr="0003037B">
        <w:rPr>
          <w:b w:val="0"/>
          <w:bCs/>
          <w:sz w:val="20"/>
          <w:szCs w:val="20"/>
          <w:vertAlign w:val="superscript"/>
          <w:lang w:val="en-GB"/>
        </w:rPr>
        <w:footnoteReference w:id="2"/>
      </w:r>
    </w:p>
    <w:p w:rsidR="004649B5" w:rsidRPr="0003037B" w:rsidRDefault="004649B5" w:rsidP="00990EEA">
      <w:pPr>
        <w:pStyle w:val="SingleTxt"/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649B5" w:rsidTr="004649B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649B5" w:rsidRPr="004649B5" w:rsidRDefault="004649B5" w:rsidP="004649B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03037B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4649B5" w:rsidRPr="004649B5" w:rsidTr="004649B5">
        <w:tc>
          <w:tcPr>
            <w:tcW w:w="10051" w:type="dxa"/>
            <w:shd w:val="clear" w:color="auto" w:fill="auto"/>
          </w:tcPr>
          <w:p w:rsidR="004649B5" w:rsidRPr="004649B5" w:rsidRDefault="004649B5" w:rsidP="0003037B">
            <w:pPr>
              <w:pStyle w:val="SingleTxt"/>
              <w:ind w:left="4133" w:hanging="2866"/>
            </w:pPr>
            <w:r>
              <w:rPr>
                <w:b/>
              </w:rPr>
              <w:t>Существо</w:t>
            </w:r>
            <w:r w:rsidRPr="00D96B34">
              <w:rPr>
                <w:b/>
              </w:rPr>
              <w:t xml:space="preserve"> </w:t>
            </w:r>
            <w:r>
              <w:rPr>
                <w:b/>
              </w:rPr>
              <w:t>предложения</w:t>
            </w:r>
            <w:r w:rsidRPr="00D96B34">
              <w:rPr>
                <w:b/>
              </w:rPr>
              <w:t>:</w:t>
            </w:r>
            <w:r w:rsidRPr="00D96B34">
              <w:tab/>
            </w:r>
            <w:r w:rsidR="0003037B">
              <w:tab/>
            </w:r>
            <w:r>
              <w:t xml:space="preserve">цель настоящего документа состоит во внесении поправки в разделы </w:t>
            </w:r>
            <w:r w:rsidRPr="00D96B34">
              <w:t xml:space="preserve">1.3.2 </w:t>
            </w:r>
            <w:r>
              <w:t>и</w:t>
            </w:r>
            <w:r w:rsidRPr="00D96B34">
              <w:t xml:space="preserve"> 1.8.3.</w:t>
            </w:r>
          </w:p>
        </w:tc>
      </w:tr>
      <w:tr w:rsidR="004649B5" w:rsidRPr="004649B5" w:rsidTr="004649B5">
        <w:tc>
          <w:tcPr>
            <w:tcW w:w="10051" w:type="dxa"/>
            <w:shd w:val="clear" w:color="auto" w:fill="auto"/>
          </w:tcPr>
          <w:p w:rsidR="004649B5" w:rsidRPr="004649B5" w:rsidRDefault="004649B5" w:rsidP="0003037B">
            <w:pPr>
              <w:pStyle w:val="SingleTxt"/>
              <w:ind w:left="4133" w:hanging="2866"/>
            </w:pPr>
            <w:r>
              <w:rPr>
                <w:b/>
              </w:rPr>
              <w:t>Предлагаемое</w:t>
            </w:r>
            <w:r w:rsidRPr="00CD1129">
              <w:rPr>
                <w:b/>
              </w:rPr>
              <w:t xml:space="preserve"> </w:t>
            </w:r>
            <w:r>
              <w:rPr>
                <w:b/>
              </w:rPr>
              <w:t>решение</w:t>
            </w:r>
            <w:r w:rsidRPr="00CD1129">
              <w:rPr>
                <w:b/>
              </w:rPr>
              <w:t>:</w:t>
            </w:r>
            <w:r w:rsidRPr="00CD1129">
              <w:t xml:space="preserve"> </w:t>
            </w:r>
            <w:r w:rsidRPr="00CD1129">
              <w:tab/>
            </w:r>
            <w:r w:rsidR="0003037B">
              <w:tab/>
            </w:r>
            <w:r>
              <w:t>внести поправки в разделы</w:t>
            </w:r>
            <w:r w:rsidRPr="00CD1129">
              <w:t xml:space="preserve"> 1.3.2 </w:t>
            </w:r>
            <w:r>
              <w:t>и</w:t>
            </w:r>
            <w:r w:rsidRPr="00CD1129">
              <w:t xml:space="preserve"> 1.8.3</w:t>
            </w:r>
            <w:r>
              <w:t>, как это было предложено.</w:t>
            </w:r>
          </w:p>
        </w:tc>
      </w:tr>
      <w:tr w:rsidR="004649B5" w:rsidRPr="004649B5" w:rsidTr="004649B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649B5" w:rsidRPr="0003037B" w:rsidRDefault="004649B5" w:rsidP="004649B5">
            <w:pPr>
              <w:pStyle w:val="SingleTxt"/>
            </w:pPr>
            <w:r>
              <w:rPr>
                <w:b/>
              </w:rPr>
              <w:t>Справочные документы</w:t>
            </w:r>
            <w:r w:rsidRPr="0003037B">
              <w:rPr>
                <w:b/>
              </w:rPr>
              <w:t>:</w:t>
            </w:r>
            <w:r w:rsidRPr="0003037B">
              <w:rPr>
                <w:b/>
              </w:rPr>
              <w:tab/>
            </w:r>
            <w:r>
              <w:rPr>
                <w:bCs/>
              </w:rPr>
              <w:t>отсутствуют</w:t>
            </w:r>
            <w:r w:rsidRPr="0003037B">
              <w:t>.</w:t>
            </w:r>
          </w:p>
        </w:tc>
      </w:tr>
      <w:tr w:rsidR="004649B5" w:rsidRPr="004649B5" w:rsidTr="004649B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649B5" w:rsidRPr="004649B5" w:rsidRDefault="004649B5" w:rsidP="004649B5">
            <w:pPr>
              <w:pStyle w:val="SingleTxt"/>
            </w:pPr>
          </w:p>
        </w:tc>
      </w:tr>
    </w:tbl>
    <w:p w:rsidR="004649B5" w:rsidRPr="004649B5" w:rsidRDefault="0003037B" w:rsidP="000303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x-none"/>
        </w:rPr>
        <w:br w:type="page"/>
      </w:r>
      <w:r w:rsidR="004649B5" w:rsidRPr="004649B5">
        <w:rPr>
          <w:lang w:val="x-none"/>
        </w:rPr>
        <w:lastRenderedPageBreak/>
        <w:tab/>
      </w:r>
      <w:r w:rsidR="004649B5" w:rsidRPr="004649B5">
        <w:rPr>
          <w:lang w:val="x-none"/>
        </w:rPr>
        <w:tab/>
      </w:r>
      <w:r w:rsidR="004649B5" w:rsidRPr="004649B5">
        <w:t>Введение</w:t>
      </w:r>
    </w:p>
    <w:p w:rsidR="0003037B" w:rsidRPr="0003037B" w:rsidRDefault="0003037B" w:rsidP="0003037B">
      <w:pPr>
        <w:pStyle w:val="SingleTxt"/>
        <w:spacing w:after="0" w:line="120" w:lineRule="exact"/>
        <w:rPr>
          <w:sz w:val="10"/>
          <w:lang w:val="x-none"/>
        </w:rPr>
      </w:pPr>
    </w:p>
    <w:p w:rsidR="0003037B" w:rsidRPr="0003037B" w:rsidRDefault="0003037B" w:rsidP="0003037B">
      <w:pPr>
        <w:pStyle w:val="SingleTxt"/>
        <w:spacing w:after="0" w:line="120" w:lineRule="exact"/>
        <w:rPr>
          <w:sz w:val="10"/>
          <w:lang w:val="x-none"/>
        </w:rPr>
      </w:pPr>
    </w:p>
    <w:p w:rsidR="004649B5" w:rsidRPr="004649B5" w:rsidRDefault="004649B5" w:rsidP="004649B5">
      <w:pPr>
        <w:pStyle w:val="SingleTxt"/>
      </w:pPr>
      <w:r w:rsidRPr="004649B5">
        <w:rPr>
          <w:lang w:val="x-none"/>
        </w:rPr>
        <w:t>1.</w:t>
      </w:r>
      <w:r w:rsidRPr="004649B5">
        <w:rPr>
          <w:lang w:val="x-none"/>
        </w:rPr>
        <w:tab/>
      </w:r>
      <w:r w:rsidRPr="004649B5">
        <w:t>В ходе своих постоянных совещаний члены ЕАКБ имели возможность ра</w:t>
      </w:r>
      <w:r w:rsidRPr="004649B5">
        <w:t>с</w:t>
      </w:r>
      <w:r w:rsidRPr="004649B5">
        <w:t xml:space="preserve">смотреть свои замечания и обобщить их по ряду вопросов разделов </w:t>
      </w:r>
      <w:r w:rsidRPr="004649B5">
        <w:rPr>
          <w:lang w:val="x-none"/>
        </w:rPr>
        <w:t xml:space="preserve">1.3.2 </w:t>
      </w:r>
      <w:r w:rsidRPr="004649B5">
        <w:t>и</w:t>
      </w:r>
      <w:r w:rsidRPr="004649B5">
        <w:rPr>
          <w:lang w:val="x-none"/>
        </w:rPr>
        <w:t xml:space="preserve"> 1.8.3</w:t>
      </w:r>
      <w:r w:rsidRPr="004649B5">
        <w:t xml:space="preserve"> ДОПОГ, МПОГ и ВОПОГ.</w:t>
      </w:r>
    </w:p>
    <w:p w:rsidR="004649B5" w:rsidRPr="004649B5" w:rsidRDefault="004649B5" w:rsidP="004649B5">
      <w:pPr>
        <w:pStyle w:val="SingleTxt"/>
      </w:pPr>
      <w:r w:rsidRPr="004649B5">
        <w:rPr>
          <w:lang w:val="x-none"/>
        </w:rPr>
        <w:t>2.</w:t>
      </w:r>
      <w:r w:rsidRPr="004649B5">
        <w:rPr>
          <w:lang w:val="x-none"/>
        </w:rPr>
        <w:tab/>
      </w:r>
      <w:r w:rsidRPr="004649B5">
        <w:t xml:space="preserve">После углубленного изучения и анализа разделов </w:t>
      </w:r>
      <w:r w:rsidRPr="004649B5">
        <w:rPr>
          <w:lang w:val="x-none"/>
        </w:rPr>
        <w:t xml:space="preserve">1.3.2 </w:t>
      </w:r>
      <w:r w:rsidRPr="004649B5">
        <w:t>и</w:t>
      </w:r>
      <w:r w:rsidRPr="004649B5">
        <w:rPr>
          <w:lang w:val="x-none"/>
        </w:rPr>
        <w:t xml:space="preserve"> 1.8.3</w:t>
      </w:r>
      <w:r w:rsidRPr="004649B5">
        <w:t xml:space="preserve"> ЕАКБ пришла к выводу, что некоторые несоответствия в этих разделах могут привести к нед</w:t>
      </w:r>
      <w:r w:rsidRPr="004649B5">
        <w:t>о</w:t>
      </w:r>
      <w:r w:rsidRPr="004649B5">
        <w:t>пониманию или неправильному толкованию.</w:t>
      </w:r>
    </w:p>
    <w:p w:rsidR="004649B5" w:rsidRPr="004649B5" w:rsidRDefault="004649B5" w:rsidP="004649B5">
      <w:pPr>
        <w:pStyle w:val="SingleTxt"/>
      </w:pPr>
      <w:r w:rsidRPr="004649B5">
        <w:rPr>
          <w:lang w:val="x-none"/>
        </w:rPr>
        <w:t>3.</w:t>
      </w:r>
      <w:r w:rsidRPr="004649B5">
        <w:rPr>
          <w:lang w:val="x-none"/>
        </w:rPr>
        <w:tab/>
      </w:r>
      <w:r w:rsidRPr="004649B5">
        <w:t>ЕАКБ считает, что для неуклонного повышения уровня безопасности всех соответствующих участников необходимо внести в те</w:t>
      </w:r>
      <w:proofErr w:type="gramStart"/>
      <w:r w:rsidRPr="004649B5">
        <w:t>кст пр</w:t>
      </w:r>
      <w:proofErr w:type="gramEnd"/>
      <w:r w:rsidRPr="004649B5">
        <w:t>едставленные ниже поправки и изменения.</w:t>
      </w:r>
    </w:p>
    <w:p w:rsidR="004649B5" w:rsidRDefault="004649B5" w:rsidP="004649B5">
      <w:pPr>
        <w:pStyle w:val="SingleTxt"/>
      </w:pPr>
      <w:r w:rsidRPr="004649B5">
        <w:rPr>
          <w:lang w:val="x-none"/>
        </w:rPr>
        <w:t>4.</w:t>
      </w:r>
      <w:r w:rsidRPr="004649B5">
        <w:rPr>
          <w:lang w:val="x-none"/>
        </w:rPr>
        <w:tab/>
      </w:r>
      <w:proofErr w:type="gramStart"/>
      <w:r w:rsidRPr="004649B5">
        <w:t>Сфера применения стандарта в главе 1.3 направлена на повышение станда</w:t>
      </w:r>
      <w:r w:rsidRPr="004649B5">
        <w:t>р</w:t>
      </w:r>
      <w:r w:rsidRPr="004649B5">
        <w:t>та безопасности, используемого компаниями, занимающимися перевозкой опа</w:t>
      </w:r>
      <w:r w:rsidRPr="004649B5">
        <w:t>с</w:t>
      </w:r>
      <w:r w:rsidRPr="004649B5">
        <w:t>ных грузов, посредством введения общего ознакомления и специализированной подготовки.</w:t>
      </w:r>
      <w:proofErr w:type="gramEnd"/>
      <w:r w:rsidRPr="004649B5">
        <w:t xml:space="preserve"> Для обеспечения стандарта качества этой подготовки ЕАКБ считает необходимым установить минимальную квалификацию инструкторов, подтве</w:t>
      </w:r>
      <w:r w:rsidRPr="004649B5">
        <w:t>р</w:t>
      </w:r>
      <w:r w:rsidRPr="004649B5">
        <w:t xml:space="preserve">ждаемую свидетельством о подготовке. Это требование легко осуществить путем включения нового подраздела </w:t>
      </w:r>
      <w:r w:rsidRPr="004649B5">
        <w:rPr>
          <w:lang w:val="x-none"/>
        </w:rPr>
        <w:t>1.3.2.5</w:t>
      </w:r>
      <w:r w:rsidRPr="004649B5">
        <w:t>.</w:t>
      </w:r>
    </w:p>
    <w:p w:rsidR="0003037B" w:rsidRPr="0003037B" w:rsidRDefault="0003037B" w:rsidP="0003037B">
      <w:pPr>
        <w:pStyle w:val="SingleTxt"/>
        <w:spacing w:after="0" w:line="120" w:lineRule="exact"/>
        <w:rPr>
          <w:sz w:val="10"/>
        </w:rPr>
      </w:pPr>
    </w:p>
    <w:p w:rsidR="0003037B" w:rsidRPr="0003037B" w:rsidRDefault="0003037B" w:rsidP="0003037B">
      <w:pPr>
        <w:pStyle w:val="SingleTxt"/>
        <w:spacing w:after="0" w:line="120" w:lineRule="exact"/>
        <w:rPr>
          <w:sz w:val="10"/>
        </w:rPr>
      </w:pPr>
    </w:p>
    <w:p w:rsidR="004649B5" w:rsidRPr="004649B5" w:rsidRDefault="004649B5" w:rsidP="000303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49B5">
        <w:tab/>
      </w:r>
      <w:r w:rsidRPr="004649B5">
        <w:tab/>
        <w:t>Предложение 1</w:t>
      </w:r>
    </w:p>
    <w:p w:rsidR="0003037B" w:rsidRPr="0003037B" w:rsidRDefault="0003037B" w:rsidP="0003037B">
      <w:pPr>
        <w:pStyle w:val="SingleTxt"/>
        <w:spacing w:after="0" w:line="120" w:lineRule="exact"/>
        <w:rPr>
          <w:sz w:val="10"/>
          <w:lang w:val="x-none"/>
        </w:rPr>
      </w:pPr>
    </w:p>
    <w:p w:rsidR="0003037B" w:rsidRPr="0003037B" w:rsidRDefault="0003037B" w:rsidP="0003037B">
      <w:pPr>
        <w:pStyle w:val="SingleTxt"/>
        <w:spacing w:after="0" w:line="120" w:lineRule="exact"/>
        <w:rPr>
          <w:sz w:val="10"/>
          <w:lang w:val="x-none"/>
        </w:rPr>
      </w:pPr>
    </w:p>
    <w:p w:rsidR="004649B5" w:rsidRPr="004649B5" w:rsidRDefault="004649B5" w:rsidP="004649B5">
      <w:pPr>
        <w:pStyle w:val="SingleTxt"/>
      </w:pPr>
      <w:r w:rsidRPr="004649B5">
        <w:rPr>
          <w:lang w:val="x-none"/>
        </w:rPr>
        <w:t>5.</w:t>
      </w:r>
      <w:r w:rsidRPr="004649B5">
        <w:rPr>
          <w:lang w:val="x-none"/>
        </w:rPr>
        <w:tab/>
      </w:r>
      <w:r w:rsidRPr="004649B5">
        <w:t xml:space="preserve">Добавить новый подраздел </w:t>
      </w:r>
      <w:r w:rsidRPr="004649B5">
        <w:rPr>
          <w:lang w:val="x-none"/>
        </w:rPr>
        <w:t>1.3.2.5</w:t>
      </w:r>
      <w:r w:rsidRPr="004649B5">
        <w:t xml:space="preserve"> следующего содержания:</w:t>
      </w:r>
    </w:p>
    <w:p w:rsidR="004649B5" w:rsidRPr="0003037B" w:rsidRDefault="0003037B" w:rsidP="0003037B">
      <w:pPr>
        <w:pStyle w:val="SingleTxt"/>
      </w:pPr>
      <w:r>
        <w:t>«</w:t>
      </w:r>
      <w:r w:rsidR="004649B5" w:rsidRPr="004649B5">
        <w:rPr>
          <w:lang w:val="x-none"/>
        </w:rPr>
        <w:t>1.3.2.5</w:t>
      </w:r>
      <w:r w:rsidR="004649B5" w:rsidRPr="004649B5">
        <w:rPr>
          <w:lang w:val="x-none"/>
        </w:rPr>
        <w:tab/>
      </w:r>
      <w:r w:rsidR="004649B5" w:rsidRPr="004649B5">
        <w:t>Инструктор должен иметь свидетельство о профессиональной подг</w:t>
      </w:r>
      <w:r w:rsidR="004649B5" w:rsidRPr="004649B5">
        <w:t>о</w:t>
      </w:r>
      <w:r w:rsidR="004649B5" w:rsidRPr="004649B5">
        <w:t xml:space="preserve">товке в соответствии с подразделом </w:t>
      </w:r>
      <w:r w:rsidR="004649B5" w:rsidRPr="004649B5">
        <w:rPr>
          <w:lang w:val="x-none"/>
        </w:rPr>
        <w:t>1.8.3.7</w:t>
      </w:r>
      <w:r>
        <w:t>».</w:t>
      </w:r>
    </w:p>
    <w:p w:rsidR="004649B5" w:rsidRDefault="004649B5" w:rsidP="0003037B">
      <w:pPr>
        <w:pStyle w:val="SingleTxt"/>
      </w:pPr>
      <w:r w:rsidRPr="004649B5">
        <w:rPr>
          <w:lang w:val="x-none"/>
        </w:rPr>
        <w:t>6.</w:t>
      </w:r>
      <w:r w:rsidRPr="004649B5">
        <w:rPr>
          <w:lang w:val="x-none"/>
        </w:rPr>
        <w:tab/>
      </w:r>
      <w:r w:rsidRPr="004649B5">
        <w:t xml:space="preserve">ЕАКБ считает, что существующее требование о назначении консультанта по вопросам безопасности, содержащееся в подразделе </w:t>
      </w:r>
      <w:r w:rsidRPr="004649B5">
        <w:rPr>
          <w:lang w:val="x-none"/>
        </w:rPr>
        <w:t>1.8.3.1</w:t>
      </w:r>
      <w:r w:rsidRPr="004649B5">
        <w:t>, не является дост</w:t>
      </w:r>
      <w:r w:rsidRPr="004649B5">
        <w:t>а</w:t>
      </w:r>
      <w:r w:rsidRPr="004649B5">
        <w:t>точно ясным и может привести к нежелательным толкованиям, что скажется на стандартах безопасности. Вызывает удивление, что существующий подра</w:t>
      </w:r>
      <w:r w:rsidRPr="004649B5">
        <w:t>з</w:t>
      </w:r>
      <w:r w:rsidRPr="004649B5">
        <w:t>дел</w:t>
      </w:r>
      <w:r w:rsidR="0003037B">
        <w:t> </w:t>
      </w:r>
      <w:r w:rsidRPr="004649B5">
        <w:t>1.8.3.1 не охватывает всех участников, которым предписаны обязанности в области безопасности в соответствии с подразделом 1.4. В ДОПОГ/МПОГ/</w:t>
      </w:r>
      <w:r w:rsidR="0003037B">
        <w:br/>
      </w:r>
      <w:r w:rsidRPr="004649B5">
        <w:t>ВОПОГ конкретно не указываются грузоотправитель (и третьи стороны); в МПОГ не упоминается оператор вагона-цистерны. Стандарт в области безопа</w:t>
      </w:r>
      <w:r w:rsidRPr="004649B5">
        <w:t>с</w:t>
      </w:r>
      <w:r w:rsidRPr="004649B5">
        <w:t>ности мог бы быть существенно улучшен либо путем упоминания всех участн</w:t>
      </w:r>
      <w:r w:rsidRPr="004649B5">
        <w:t>и</w:t>
      </w:r>
      <w:r w:rsidRPr="004649B5">
        <w:t>ков в соответствии с разделом 1.4, либо путем ссылки на раздел 1.4.</w:t>
      </w:r>
    </w:p>
    <w:p w:rsidR="0003037B" w:rsidRPr="0003037B" w:rsidRDefault="0003037B" w:rsidP="0003037B">
      <w:pPr>
        <w:pStyle w:val="SingleTxt"/>
        <w:spacing w:after="0" w:line="120" w:lineRule="exact"/>
        <w:rPr>
          <w:sz w:val="10"/>
        </w:rPr>
      </w:pPr>
    </w:p>
    <w:p w:rsidR="0003037B" w:rsidRPr="0003037B" w:rsidRDefault="0003037B" w:rsidP="0003037B">
      <w:pPr>
        <w:pStyle w:val="SingleTxt"/>
        <w:spacing w:after="0" w:line="120" w:lineRule="exact"/>
        <w:rPr>
          <w:sz w:val="10"/>
        </w:rPr>
      </w:pPr>
    </w:p>
    <w:p w:rsidR="004649B5" w:rsidRPr="004649B5" w:rsidRDefault="004649B5" w:rsidP="000303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49B5">
        <w:tab/>
      </w:r>
      <w:r w:rsidRPr="004649B5">
        <w:tab/>
        <w:t>Предложение 2</w:t>
      </w:r>
    </w:p>
    <w:p w:rsidR="0003037B" w:rsidRPr="0003037B" w:rsidRDefault="0003037B" w:rsidP="0003037B">
      <w:pPr>
        <w:pStyle w:val="SingleTxt"/>
        <w:spacing w:after="0" w:line="120" w:lineRule="exact"/>
        <w:rPr>
          <w:sz w:val="10"/>
          <w:lang w:val="x-none"/>
        </w:rPr>
      </w:pPr>
    </w:p>
    <w:p w:rsidR="0003037B" w:rsidRPr="0003037B" w:rsidRDefault="0003037B" w:rsidP="0003037B">
      <w:pPr>
        <w:pStyle w:val="SingleTxt"/>
        <w:spacing w:after="0" w:line="120" w:lineRule="exact"/>
        <w:rPr>
          <w:sz w:val="10"/>
          <w:lang w:val="x-none"/>
        </w:rPr>
      </w:pPr>
    </w:p>
    <w:p w:rsidR="004649B5" w:rsidRPr="004649B5" w:rsidRDefault="004649B5" w:rsidP="004649B5">
      <w:pPr>
        <w:pStyle w:val="SingleTxt"/>
      </w:pPr>
      <w:r w:rsidRPr="004649B5">
        <w:rPr>
          <w:lang w:val="x-none"/>
        </w:rPr>
        <w:t>7.</w:t>
      </w:r>
      <w:r w:rsidRPr="004649B5">
        <w:rPr>
          <w:lang w:val="x-none"/>
        </w:rPr>
        <w:tab/>
      </w:r>
      <w:proofErr w:type="spellStart"/>
      <w:r w:rsidRPr="004649B5">
        <w:rPr>
          <w:lang w:val="x-none"/>
        </w:rPr>
        <w:t>Внести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следующую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поправку</w:t>
      </w:r>
      <w:proofErr w:type="spellEnd"/>
      <w:r w:rsidRPr="004649B5">
        <w:rPr>
          <w:lang w:val="x-none"/>
        </w:rPr>
        <w:t xml:space="preserve"> в </w:t>
      </w:r>
      <w:proofErr w:type="spellStart"/>
      <w:r w:rsidRPr="004649B5">
        <w:rPr>
          <w:lang w:val="x-none"/>
        </w:rPr>
        <w:t>подраздел</w:t>
      </w:r>
      <w:proofErr w:type="spellEnd"/>
      <w:r w:rsidRPr="004649B5">
        <w:rPr>
          <w:lang w:val="x-none"/>
        </w:rPr>
        <w:t xml:space="preserve"> 1.8.3.1 (</w:t>
      </w:r>
      <w:proofErr w:type="spellStart"/>
      <w:r w:rsidRPr="004649B5">
        <w:rPr>
          <w:lang w:val="x-none"/>
        </w:rPr>
        <w:t>новый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текст</w:t>
      </w:r>
      <w:proofErr w:type="spellEnd"/>
      <w:r w:rsidRPr="004649B5">
        <w:rPr>
          <w:lang w:val="x-none"/>
        </w:rPr>
        <w:t xml:space="preserve"> </w:t>
      </w:r>
      <w:proofErr w:type="spellStart"/>
      <w:r w:rsidRPr="00003304">
        <w:rPr>
          <w:u w:val="single"/>
          <w:lang w:val="x-none"/>
        </w:rPr>
        <w:t>подчеркнут</w:t>
      </w:r>
      <w:proofErr w:type="spellEnd"/>
      <w:r w:rsidRPr="004649B5">
        <w:rPr>
          <w:lang w:val="x-none"/>
        </w:rPr>
        <w:t>):</w:t>
      </w:r>
    </w:p>
    <w:p w:rsidR="004649B5" w:rsidRPr="004649B5" w:rsidRDefault="0003037B" w:rsidP="0003037B">
      <w:pPr>
        <w:pStyle w:val="SingleTxt"/>
        <w:ind w:left="2218" w:hanging="951"/>
      </w:pPr>
      <w:r w:rsidRPr="0003037B">
        <w:rPr>
          <w:bCs/>
        </w:rPr>
        <w:t>«</w:t>
      </w:r>
      <w:r w:rsidR="004649B5" w:rsidRPr="004649B5">
        <w:rPr>
          <w:b/>
        </w:rPr>
        <w:t>1.8.3.1</w:t>
      </w:r>
      <w:proofErr w:type="gramStart"/>
      <w:r w:rsidR="004649B5" w:rsidRPr="004649B5">
        <w:tab/>
        <w:t>К</w:t>
      </w:r>
      <w:proofErr w:type="gramEnd"/>
      <w:r w:rsidR="004649B5" w:rsidRPr="004649B5">
        <w:t xml:space="preserve">аждое предприятие, деятельность которого включает </w:t>
      </w:r>
      <w:r w:rsidR="004649B5" w:rsidRPr="004649B5">
        <w:rPr>
          <w:u w:val="single"/>
        </w:rPr>
        <w:t>отправку грузов (включая третьи стороны),</w:t>
      </w:r>
      <w:r w:rsidR="004649B5" w:rsidRPr="004649B5">
        <w:t xml:space="preserve"> автомобильную/железнодорожную перево</w:t>
      </w:r>
      <w:r w:rsidR="004649B5" w:rsidRPr="004649B5">
        <w:t>з</w:t>
      </w:r>
      <w:r w:rsidR="004649B5" w:rsidRPr="004649B5">
        <w:t xml:space="preserve">ку/перевозку по внутренним водным путям опасных грузов </w:t>
      </w:r>
      <w:r w:rsidR="004649B5" w:rsidRPr="004649B5">
        <w:rPr>
          <w:u w:val="single"/>
        </w:rPr>
        <w:t>[МПОГ: или операции с вагонами-цистернами]</w:t>
      </w:r>
      <w:r w:rsidR="004649B5" w:rsidRPr="004649B5">
        <w:t xml:space="preserve"> или связанные с ней операции по упаковке, погрузке, наполнению или разгрузке, назначает одного или нескольких консультантов по вопросам безопасности перевозки опасных грузов, именуемых далее "консультанты", задача которых с</w:t>
      </w:r>
      <w:r w:rsidR="004649B5" w:rsidRPr="004649B5">
        <w:t>о</w:t>
      </w:r>
      <w:r w:rsidR="004649B5" w:rsidRPr="004649B5">
        <w:t>стоит в содействии предотвращению присущей такого рода деятельн</w:t>
      </w:r>
      <w:r w:rsidR="004649B5" w:rsidRPr="004649B5">
        <w:t>о</w:t>
      </w:r>
      <w:r w:rsidR="004649B5" w:rsidRPr="004649B5">
        <w:t>сти опасности для людей, имущества и окружающей среды</w:t>
      </w:r>
      <w:r>
        <w:t>»</w:t>
      </w:r>
      <w:r w:rsidR="004649B5" w:rsidRPr="004649B5">
        <w:t>.</w:t>
      </w:r>
    </w:p>
    <w:p w:rsidR="00FA2025" w:rsidRDefault="00FA2025" w:rsidP="0003037B">
      <w:pPr>
        <w:pStyle w:val="SingleTxt"/>
      </w:pPr>
    </w:p>
    <w:p w:rsidR="004649B5" w:rsidRDefault="004649B5" w:rsidP="0003037B">
      <w:pPr>
        <w:pStyle w:val="SingleTxt"/>
      </w:pPr>
      <w:r w:rsidRPr="004649B5">
        <w:rPr>
          <w:lang w:val="x-none"/>
        </w:rPr>
        <w:lastRenderedPageBreak/>
        <w:t>8.</w:t>
      </w:r>
      <w:r w:rsidRPr="004649B5">
        <w:rPr>
          <w:lang w:val="x-none"/>
        </w:rPr>
        <w:tab/>
      </w:r>
      <w:r w:rsidRPr="004649B5">
        <w:t xml:space="preserve">По мнению ЕАКБ, нынешние подразделы </w:t>
      </w:r>
      <w:r w:rsidRPr="004649B5">
        <w:rPr>
          <w:lang w:val="x-none"/>
        </w:rPr>
        <w:t xml:space="preserve">1.8.3.2 a) </w:t>
      </w:r>
      <w:r w:rsidRPr="004649B5">
        <w:t>и</w:t>
      </w:r>
      <w:r w:rsidRPr="004649B5">
        <w:rPr>
          <w:lang w:val="x-none"/>
        </w:rPr>
        <w:t xml:space="preserve"> b)</w:t>
      </w:r>
      <w:r w:rsidRPr="004649B5">
        <w:t xml:space="preserve"> ДОПОГ и </w:t>
      </w:r>
      <w:r w:rsidRPr="004649B5">
        <w:rPr>
          <w:lang w:val="x-none"/>
        </w:rPr>
        <w:t xml:space="preserve">1.8.3.2 b) </w:t>
      </w:r>
      <w:r w:rsidRPr="004649B5">
        <w:t>и</w:t>
      </w:r>
      <w:r w:rsidRPr="004649B5">
        <w:rPr>
          <w:lang w:val="x-none"/>
        </w:rPr>
        <w:t xml:space="preserve"> c)</w:t>
      </w:r>
      <w:r w:rsidRPr="004649B5">
        <w:t xml:space="preserve"> МПОГ не совместимы содержащейся в подразделе </w:t>
      </w:r>
      <w:r w:rsidRPr="004649B5">
        <w:rPr>
          <w:lang w:val="x-none"/>
        </w:rPr>
        <w:t>1.1.3.6</w:t>
      </w:r>
      <w:r w:rsidRPr="004649B5">
        <w:t xml:space="preserve"> ссылкой (</w:t>
      </w:r>
      <w:r w:rsidR="0003037B">
        <w:t>«</w:t>
      </w:r>
      <w:r w:rsidRPr="004649B5">
        <w:t>не пр</w:t>
      </w:r>
      <w:r w:rsidRPr="004649B5">
        <w:t>е</w:t>
      </w:r>
      <w:r w:rsidRPr="004649B5">
        <w:t>вышает</w:t>
      </w:r>
      <w:r w:rsidR="0003037B">
        <w:t>»</w:t>
      </w:r>
      <w:r w:rsidRPr="004649B5">
        <w:t>), поскольку формулировка в этом подразделе отличается от формул</w:t>
      </w:r>
      <w:r w:rsidRPr="004649B5">
        <w:t>и</w:t>
      </w:r>
      <w:r w:rsidRPr="004649B5">
        <w:t xml:space="preserve">ровки в подразделе </w:t>
      </w:r>
      <w:r w:rsidRPr="004649B5">
        <w:rPr>
          <w:lang w:val="x-none"/>
        </w:rPr>
        <w:t>1.8.3.2</w:t>
      </w:r>
      <w:r w:rsidRPr="004649B5">
        <w:t xml:space="preserve"> (</w:t>
      </w:r>
      <w:r w:rsidR="0003037B">
        <w:t>«</w:t>
      </w:r>
      <w:r w:rsidRPr="004649B5">
        <w:t>меньших количествах… чем</w:t>
      </w:r>
      <w:r w:rsidR="0003037B">
        <w:t>»</w:t>
      </w:r>
      <w:r w:rsidRPr="004649B5">
        <w:t>), что может быть ошибочно истолковано. Кроме того, ЕАКБ определила две стороны, которые, по ее мнению, не должны быть исключены в данном случае. Обязательства грузоо</w:t>
      </w:r>
      <w:r w:rsidRPr="004649B5">
        <w:t>т</w:t>
      </w:r>
      <w:r w:rsidRPr="004649B5">
        <w:t xml:space="preserve">правителей, деятельность которых связана с количествами, не превышающими указанные в подразделе </w:t>
      </w:r>
      <w:r w:rsidRPr="004649B5">
        <w:rPr>
          <w:lang w:val="x-none"/>
        </w:rPr>
        <w:t>1.1.3.6</w:t>
      </w:r>
      <w:r w:rsidRPr="004649B5">
        <w:t>, остаются неизменными, несмотря на количество опасных грузов. Представляется неразумным освобождать грузоотправителя от обязательства назначать консультанта по вопросам безопасности. Во-вторых, п</w:t>
      </w:r>
      <w:r w:rsidRPr="004649B5">
        <w:t>е</w:t>
      </w:r>
      <w:r w:rsidRPr="004649B5">
        <w:t xml:space="preserve">ревозчик опасных грузов в ограниченных количествах, превышающих предел, установленный в подразделе </w:t>
      </w:r>
      <w:r w:rsidRPr="004649B5">
        <w:rPr>
          <w:lang w:val="x-none"/>
        </w:rPr>
        <w:t>3.4.13</w:t>
      </w:r>
      <w:r w:rsidRPr="004649B5">
        <w:t>, должен выполнять дополнительные обяз</w:t>
      </w:r>
      <w:r w:rsidRPr="004649B5">
        <w:t>а</w:t>
      </w:r>
      <w:r w:rsidRPr="004649B5">
        <w:t>тельства. В этой связи обоснование какого-либо исключения не является опра</w:t>
      </w:r>
      <w:r w:rsidRPr="004649B5">
        <w:t>в</w:t>
      </w:r>
      <w:r w:rsidRPr="004649B5">
        <w:t>данным.</w:t>
      </w:r>
    </w:p>
    <w:p w:rsidR="0003037B" w:rsidRPr="0003037B" w:rsidRDefault="0003037B" w:rsidP="0003037B">
      <w:pPr>
        <w:pStyle w:val="SingleTxt"/>
        <w:spacing w:after="0" w:line="120" w:lineRule="exact"/>
        <w:rPr>
          <w:sz w:val="10"/>
        </w:rPr>
      </w:pPr>
    </w:p>
    <w:p w:rsidR="0003037B" w:rsidRPr="0003037B" w:rsidRDefault="0003037B" w:rsidP="0003037B">
      <w:pPr>
        <w:pStyle w:val="SingleTxt"/>
        <w:spacing w:after="0" w:line="120" w:lineRule="exact"/>
        <w:rPr>
          <w:sz w:val="10"/>
        </w:rPr>
      </w:pPr>
    </w:p>
    <w:p w:rsidR="004649B5" w:rsidRPr="004649B5" w:rsidRDefault="004649B5" w:rsidP="000303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49B5">
        <w:tab/>
      </w:r>
      <w:r w:rsidRPr="004649B5">
        <w:tab/>
        <w:t>Предложение 3</w:t>
      </w:r>
    </w:p>
    <w:p w:rsidR="001B5E78" w:rsidRPr="001B5E78" w:rsidRDefault="001B5E78" w:rsidP="001B5E78">
      <w:pPr>
        <w:pStyle w:val="SingleTxt"/>
        <w:spacing w:after="0" w:line="120" w:lineRule="exact"/>
        <w:rPr>
          <w:sz w:val="10"/>
        </w:rPr>
      </w:pPr>
    </w:p>
    <w:p w:rsidR="001B5E78" w:rsidRPr="001B5E78" w:rsidRDefault="001B5E78" w:rsidP="001B5E78">
      <w:pPr>
        <w:pStyle w:val="SingleTxt"/>
        <w:spacing w:after="0" w:line="120" w:lineRule="exact"/>
        <w:rPr>
          <w:sz w:val="10"/>
        </w:rPr>
      </w:pPr>
    </w:p>
    <w:p w:rsidR="004649B5" w:rsidRPr="004649B5" w:rsidRDefault="004649B5" w:rsidP="004649B5">
      <w:pPr>
        <w:pStyle w:val="SingleTxt"/>
      </w:pPr>
      <w:r w:rsidRPr="004649B5">
        <w:t>9.</w:t>
      </w:r>
      <w:r w:rsidRPr="004649B5">
        <w:tab/>
      </w:r>
      <w:proofErr w:type="spellStart"/>
      <w:r w:rsidRPr="004649B5">
        <w:rPr>
          <w:lang w:val="x-none"/>
        </w:rPr>
        <w:t>Внести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следующую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поправку</w:t>
      </w:r>
      <w:proofErr w:type="spellEnd"/>
      <w:r w:rsidRPr="004649B5">
        <w:rPr>
          <w:lang w:val="x-none"/>
        </w:rPr>
        <w:t xml:space="preserve"> в </w:t>
      </w:r>
      <w:proofErr w:type="spellStart"/>
      <w:r w:rsidRPr="004649B5">
        <w:rPr>
          <w:lang w:val="x-none"/>
        </w:rPr>
        <w:t>подраздел</w:t>
      </w:r>
      <w:proofErr w:type="spellEnd"/>
      <w:r w:rsidRPr="004649B5">
        <w:rPr>
          <w:lang w:val="x-none"/>
        </w:rPr>
        <w:t xml:space="preserve"> 1.8.3.</w:t>
      </w:r>
      <w:r w:rsidRPr="004649B5">
        <w:t>2</w:t>
      </w:r>
      <w:r w:rsidRPr="004649B5">
        <w:rPr>
          <w:lang w:val="x-none"/>
        </w:rPr>
        <w:t xml:space="preserve"> (</w:t>
      </w:r>
      <w:proofErr w:type="spellStart"/>
      <w:r w:rsidRPr="004649B5">
        <w:rPr>
          <w:lang w:val="x-none"/>
        </w:rPr>
        <w:t>новый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текст</w:t>
      </w:r>
      <w:proofErr w:type="spellEnd"/>
      <w:r w:rsidRPr="004649B5">
        <w:rPr>
          <w:lang w:val="x-none"/>
        </w:rPr>
        <w:t xml:space="preserve"> </w:t>
      </w:r>
      <w:proofErr w:type="spellStart"/>
      <w:r w:rsidRPr="00003304">
        <w:rPr>
          <w:u w:val="single"/>
          <w:lang w:val="x-none"/>
        </w:rPr>
        <w:t>подчеркнут</w:t>
      </w:r>
      <w:proofErr w:type="spellEnd"/>
      <w:r w:rsidRPr="004649B5">
        <w:rPr>
          <w:lang w:val="x-none"/>
        </w:rPr>
        <w:t>):</w:t>
      </w:r>
    </w:p>
    <w:p w:rsidR="004649B5" w:rsidRPr="004649B5" w:rsidRDefault="001B5E78" w:rsidP="001B5E78">
      <w:pPr>
        <w:pStyle w:val="SingleTxt"/>
        <w:rPr>
          <w:bCs/>
        </w:rPr>
      </w:pPr>
      <w:r>
        <w:t>«</w:t>
      </w:r>
      <w:r w:rsidR="004649B5" w:rsidRPr="004649B5">
        <w:rPr>
          <w:lang w:val="x-none"/>
        </w:rPr>
        <w:t>1.8.3.2</w:t>
      </w:r>
      <w:r w:rsidR="004649B5" w:rsidRPr="004649B5">
        <w:rPr>
          <w:b/>
        </w:rPr>
        <w:tab/>
      </w:r>
      <w:r w:rsidR="004649B5" w:rsidRPr="004649B5">
        <w:rPr>
          <w:bCs/>
        </w:rPr>
        <w:t>Компетентные органы Договаривающихся сторон могут предусмо</w:t>
      </w:r>
      <w:r w:rsidR="004649B5" w:rsidRPr="004649B5">
        <w:rPr>
          <w:bCs/>
        </w:rPr>
        <w:t>т</w:t>
      </w:r>
      <w:r w:rsidR="004649B5" w:rsidRPr="004649B5">
        <w:rPr>
          <w:bCs/>
        </w:rPr>
        <w:t>реть, что эти требования не применяются к таким предприятиям, как:</w:t>
      </w:r>
    </w:p>
    <w:p w:rsidR="004649B5" w:rsidRPr="004649B5" w:rsidRDefault="004649B5" w:rsidP="004649B5">
      <w:pPr>
        <w:pStyle w:val="SingleTxt"/>
      </w:pPr>
      <w:r w:rsidRPr="004649B5">
        <w:rPr>
          <w:lang w:val="en-US"/>
        </w:rPr>
        <w:t>a</w:t>
      </w:r>
      <w:r w:rsidRPr="004649B5">
        <w:t>)</w:t>
      </w:r>
      <w:r w:rsidRPr="004649B5">
        <w:tab/>
      </w:r>
      <w:proofErr w:type="gramStart"/>
      <w:r w:rsidRPr="004649B5">
        <w:t>предприятия</w:t>
      </w:r>
      <w:proofErr w:type="gramEnd"/>
      <w:r w:rsidRPr="004649B5">
        <w:t xml:space="preserve">, соответствующая деятельность которых включает перевозку опасных грузов в </w:t>
      </w:r>
      <w:r w:rsidRPr="001B5E78">
        <w:rPr>
          <w:strike/>
        </w:rPr>
        <w:t>меньших</w:t>
      </w:r>
      <w:r w:rsidRPr="004649B5">
        <w:t xml:space="preserve"> количествах на каждую транспортную единицу, </w:t>
      </w:r>
      <w:r w:rsidRPr="001B5E78">
        <w:rPr>
          <w:strike/>
        </w:rPr>
        <w:t>чем</w:t>
      </w:r>
      <w:r w:rsidRPr="004649B5">
        <w:t xml:space="preserve"> </w:t>
      </w:r>
      <w:r w:rsidRPr="004649B5">
        <w:rPr>
          <w:u w:val="single"/>
        </w:rPr>
        <w:t>не превышающих</w:t>
      </w:r>
      <w:r w:rsidRPr="004649B5">
        <w:t xml:space="preserve"> количества, указанные в подразделе 1.1.3.6, пункте 1.7.1.4 и главах 3.3, 3.4 и 3.5; или …</w:t>
      </w:r>
    </w:p>
    <w:p w:rsidR="004649B5" w:rsidRPr="004649B5" w:rsidRDefault="00003304" w:rsidP="004649B5">
      <w:pPr>
        <w:pStyle w:val="SingleTxt"/>
        <w:rPr>
          <w:bCs/>
          <w:i/>
          <w:u w:val="single"/>
        </w:rPr>
      </w:pPr>
      <w:r w:rsidRPr="004649B5">
        <w:rPr>
          <w:b/>
          <w:i/>
          <w:u w:val="single"/>
        </w:rPr>
        <w:t>ПРИМЕЧАНИЕ</w:t>
      </w:r>
      <w:r w:rsidR="004649B5" w:rsidRPr="004649B5">
        <w:rPr>
          <w:b/>
          <w:i/>
          <w:u w:val="single"/>
        </w:rPr>
        <w:t xml:space="preserve"> 1:</w:t>
      </w:r>
      <w:r w:rsidR="004649B5" w:rsidRPr="004649B5">
        <w:rPr>
          <w:bCs/>
          <w:i/>
          <w:u w:val="single"/>
        </w:rPr>
        <w:t xml:space="preserve"> подраздел </w:t>
      </w:r>
      <w:r w:rsidR="004649B5" w:rsidRPr="004649B5">
        <w:rPr>
          <w:i/>
          <w:u w:val="single"/>
        </w:rPr>
        <w:t xml:space="preserve">1.8.3.2 </w:t>
      </w:r>
      <w:r w:rsidR="004649B5" w:rsidRPr="004649B5">
        <w:rPr>
          <w:i/>
          <w:u w:val="single"/>
          <w:lang w:val="en-US"/>
        </w:rPr>
        <w:t>a</w:t>
      </w:r>
      <w:r w:rsidR="004649B5" w:rsidRPr="004649B5">
        <w:rPr>
          <w:i/>
          <w:u w:val="single"/>
        </w:rPr>
        <w:t>) не применяется в отношении грузоо</w:t>
      </w:r>
      <w:r w:rsidR="004649B5" w:rsidRPr="004649B5">
        <w:rPr>
          <w:i/>
          <w:u w:val="single"/>
        </w:rPr>
        <w:t>т</w:t>
      </w:r>
      <w:r w:rsidR="004649B5" w:rsidRPr="004649B5">
        <w:rPr>
          <w:i/>
          <w:u w:val="single"/>
        </w:rPr>
        <w:t>правителей, деятельность которых связана с количествами, не превышающими количества, указанные в подразделе 1.1.3.6</w:t>
      </w:r>
    </w:p>
    <w:p w:rsidR="004649B5" w:rsidRPr="004649B5" w:rsidRDefault="004649B5" w:rsidP="001B5E78">
      <w:pPr>
        <w:pStyle w:val="SingleTxt"/>
        <w:rPr>
          <w:bCs/>
          <w:i/>
          <w:u w:val="single"/>
        </w:rPr>
      </w:pPr>
      <w:r w:rsidRPr="004649B5">
        <w:rPr>
          <w:b/>
          <w:i/>
          <w:u w:val="single"/>
        </w:rPr>
        <w:t>П</w:t>
      </w:r>
      <w:r w:rsidR="00003304" w:rsidRPr="004649B5">
        <w:rPr>
          <w:b/>
          <w:i/>
          <w:u w:val="single"/>
        </w:rPr>
        <w:t>РИМЕЧАНИЕ</w:t>
      </w:r>
      <w:r w:rsidRPr="004649B5">
        <w:rPr>
          <w:b/>
          <w:i/>
          <w:u w:val="single"/>
        </w:rPr>
        <w:t xml:space="preserve"> 2:</w:t>
      </w:r>
      <w:r w:rsidRPr="004649B5">
        <w:rPr>
          <w:bCs/>
          <w:i/>
          <w:u w:val="single"/>
        </w:rPr>
        <w:t xml:space="preserve"> подраздел </w:t>
      </w:r>
      <w:r w:rsidRPr="004649B5">
        <w:rPr>
          <w:i/>
          <w:u w:val="single"/>
        </w:rPr>
        <w:t xml:space="preserve">1.8.3.2 </w:t>
      </w:r>
      <w:r w:rsidRPr="004649B5">
        <w:rPr>
          <w:i/>
          <w:u w:val="single"/>
          <w:lang w:val="en-US"/>
        </w:rPr>
        <w:t>a</w:t>
      </w:r>
      <w:r w:rsidRPr="004649B5">
        <w:rPr>
          <w:i/>
          <w:u w:val="single"/>
        </w:rPr>
        <w:t>) не применяется в отношении перевозч</w:t>
      </w:r>
      <w:r w:rsidRPr="004649B5">
        <w:rPr>
          <w:i/>
          <w:u w:val="single"/>
        </w:rPr>
        <w:t>и</w:t>
      </w:r>
      <w:r w:rsidRPr="004649B5">
        <w:rPr>
          <w:i/>
          <w:u w:val="single"/>
        </w:rPr>
        <w:t>ков опасных грузов в ограниченных количествах, не превышающих пределы, ук</w:t>
      </w:r>
      <w:r w:rsidRPr="004649B5">
        <w:rPr>
          <w:i/>
          <w:u w:val="single"/>
        </w:rPr>
        <w:t>а</w:t>
      </w:r>
      <w:r w:rsidRPr="004649B5">
        <w:rPr>
          <w:i/>
          <w:u w:val="single"/>
        </w:rPr>
        <w:t>занные в подразделе 3.4.13.</w:t>
      </w:r>
      <w:r w:rsidR="001B5E78">
        <w:rPr>
          <w:iCs/>
        </w:rPr>
        <w:t>».</w:t>
      </w:r>
    </w:p>
    <w:p w:rsidR="004649B5" w:rsidRDefault="004649B5" w:rsidP="004649B5">
      <w:pPr>
        <w:pStyle w:val="SingleTxt"/>
      </w:pPr>
      <w:r w:rsidRPr="004649B5">
        <w:rPr>
          <w:lang w:val="x-none"/>
        </w:rPr>
        <w:t>10.</w:t>
      </w:r>
      <w:r w:rsidRPr="004649B5">
        <w:rPr>
          <w:lang w:val="x-none"/>
        </w:rPr>
        <w:tab/>
      </w:r>
      <w:r w:rsidRPr="004649B5">
        <w:t>Обязанности консультанта по вопросам безопасности перечислены в по</w:t>
      </w:r>
      <w:r w:rsidRPr="004649B5">
        <w:t>д</w:t>
      </w:r>
      <w:r w:rsidRPr="004649B5">
        <w:t xml:space="preserve">разделе </w:t>
      </w:r>
      <w:r w:rsidRPr="004649B5">
        <w:rPr>
          <w:lang w:val="x-none"/>
        </w:rPr>
        <w:t>1.8.3.3.</w:t>
      </w:r>
      <w:r w:rsidRPr="004649B5">
        <w:t xml:space="preserve"> Одной из таких обязанностей является подготовка для админ</w:t>
      </w:r>
      <w:r w:rsidRPr="004649B5">
        <w:t>и</w:t>
      </w:r>
      <w:r w:rsidRPr="004649B5">
        <w:t>страции предприятия ежегодного доклада о его деятельности, связанной с пер</w:t>
      </w:r>
      <w:r w:rsidRPr="004649B5">
        <w:t>е</w:t>
      </w:r>
      <w:r w:rsidRPr="004649B5">
        <w:t>возкой опасных грузов. Доклад служит ценным документом, а также основой для принятия решений, касающихся управления предприятием. Поскольку не сущ</w:t>
      </w:r>
      <w:r w:rsidRPr="004649B5">
        <w:t>е</w:t>
      </w:r>
      <w:r w:rsidRPr="004649B5">
        <w:t>ствует никаких установленных минимальных требований к докладу в плане его формы и содержания, стандарты качества различных докладов, представленных теми или иными Договаривающимися сторонами, значительно различаются. ЕАКБ считает необходимым укрепить стандарты подготовки докладов с целью отразить качество работы консультанта по вопросам безопасности. Обеспечение в будущем определенного стандарта отчетности является наиболее подходящим средством представления рекомендаций и толкований, которые будут спосо</w:t>
      </w:r>
      <w:r w:rsidRPr="004649B5">
        <w:t>б</w:t>
      </w:r>
      <w:r w:rsidRPr="004649B5">
        <w:t>ствовать повышению стандартов работы консультанта по вопросам безопасн</w:t>
      </w:r>
      <w:r w:rsidRPr="004649B5">
        <w:t>о</w:t>
      </w:r>
      <w:r w:rsidRPr="004649B5">
        <w:t xml:space="preserve">сти. Это пошло бы на </w:t>
      </w:r>
      <w:proofErr w:type="gramStart"/>
      <w:r w:rsidRPr="004649B5">
        <w:t>пользу</w:t>
      </w:r>
      <w:proofErr w:type="gramEnd"/>
      <w:r w:rsidRPr="004649B5">
        <w:t xml:space="preserve"> как предприятию, так и компетентным органам. </w:t>
      </w:r>
      <w:r w:rsidR="001B5E78">
        <w:br/>
      </w:r>
      <w:r w:rsidRPr="004649B5">
        <w:t>В этой связи ЕАКБ предлагает следующую форму отчетности, содержащую м</w:t>
      </w:r>
      <w:r w:rsidRPr="004649B5">
        <w:t>и</w:t>
      </w:r>
      <w:r w:rsidRPr="004649B5">
        <w:t>нимальные требования, а также внесение небольшой поправки в текст подразд</w:t>
      </w:r>
      <w:r w:rsidRPr="004649B5">
        <w:t>е</w:t>
      </w:r>
      <w:r w:rsidRPr="004649B5">
        <w:t xml:space="preserve">ла </w:t>
      </w:r>
      <w:r w:rsidRPr="004649B5">
        <w:rPr>
          <w:lang w:val="x-none"/>
        </w:rPr>
        <w:t>1.8.3.3.</w:t>
      </w:r>
    </w:p>
    <w:p w:rsidR="001B5E78" w:rsidRPr="001B5E78" w:rsidRDefault="001B5E78" w:rsidP="001B5E78">
      <w:pPr>
        <w:pStyle w:val="SingleTxt"/>
        <w:spacing w:after="0" w:line="120" w:lineRule="exact"/>
        <w:rPr>
          <w:sz w:val="10"/>
        </w:rPr>
      </w:pPr>
    </w:p>
    <w:p w:rsidR="001B5E78" w:rsidRPr="001B5E78" w:rsidRDefault="001B5E78" w:rsidP="001B5E78">
      <w:pPr>
        <w:pStyle w:val="SingleTxt"/>
        <w:spacing w:after="0" w:line="120" w:lineRule="exact"/>
        <w:rPr>
          <w:sz w:val="10"/>
        </w:rPr>
      </w:pPr>
    </w:p>
    <w:p w:rsidR="004649B5" w:rsidRPr="004649B5" w:rsidRDefault="00FA2025" w:rsidP="001B5E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4649B5" w:rsidRPr="004649B5">
        <w:lastRenderedPageBreak/>
        <w:tab/>
      </w:r>
      <w:r w:rsidR="004649B5" w:rsidRPr="004649B5">
        <w:tab/>
        <w:t>Предложение 4</w:t>
      </w:r>
    </w:p>
    <w:p w:rsidR="001B5E78" w:rsidRPr="001B5E78" w:rsidRDefault="001B5E78" w:rsidP="001B5E78">
      <w:pPr>
        <w:pStyle w:val="SingleTxt"/>
        <w:spacing w:after="0" w:line="120" w:lineRule="exact"/>
        <w:rPr>
          <w:sz w:val="10"/>
        </w:rPr>
      </w:pPr>
    </w:p>
    <w:p w:rsidR="001B5E78" w:rsidRPr="001B5E78" w:rsidRDefault="001B5E78" w:rsidP="001B5E78">
      <w:pPr>
        <w:pStyle w:val="SingleTxt"/>
        <w:spacing w:after="0" w:line="120" w:lineRule="exact"/>
        <w:rPr>
          <w:sz w:val="10"/>
        </w:rPr>
      </w:pPr>
    </w:p>
    <w:p w:rsidR="004649B5" w:rsidRPr="004649B5" w:rsidRDefault="004649B5" w:rsidP="004649B5">
      <w:pPr>
        <w:pStyle w:val="SingleTxt"/>
      </w:pPr>
      <w:r w:rsidRPr="004649B5">
        <w:t>11.</w:t>
      </w:r>
      <w:r w:rsidRPr="004649B5">
        <w:tab/>
      </w:r>
      <w:proofErr w:type="spellStart"/>
      <w:r w:rsidRPr="004649B5">
        <w:rPr>
          <w:lang w:val="x-none"/>
        </w:rPr>
        <w:t>Внести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следующую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поправку</w:t>
      </w:r>
      <w:proofErr w:type="spellEnd"/>
      <w:r w:rsidRPr="004649B5">
        <w:rPr>
          <w:lang w:val="x-none"/>
        </w:rPr>
        <w:t xml:space="preserve"> в </w:t>
      </w:r>
      <w:r w:rsidRPr="004649B5">
        <w:t xml:space="preserve">третий абзац подраздела </w:t>
      </w:r>
      <w:r w:rsidRPr="004649B5">
        <w:rPr>
          <w:lang w:val="x-none"/>
        </w:rPr>
        <w:t>1.8.3.3 (</w:t>
      </w:r>
      <w:proofErr w:type="spellStart"/>
      <w:r w:rsidRPr="004649B5">
        <w:rPr>
          <w:lang w:val="x-none"/>
        </w:rPr>
        <w:t>новый</w:t>
      </w:r>
      <w:proofErr w:type="spellEnd"/>
      <w:r w:rsidRPr="004649B5">
        <w:rPr>
          <w:lang w:val="x-none"/>
        </w:rPr>
        <w:t xml:space="preserve"> </w:t>
      </w:r>
      <w:proofErr w:type="spellStart"/>
      <w:r w:rsidRPr="004649B5">
        <w:rPr>
          <w:lang w:val="x-none"/>
        </w:rPr>
        <w:t>текст</w:t>
      </w:r>
      <w:proofErr w:type="spellEnd"/>
      <w:r w:rsidRPr="004649B5">
        <w:rPr>
          <w:lang w:val="x-none"/>
        </w:rPr>
        <w:t xml:space="preserve"> </w:t>
      </w:r>
      <w:proofErr w:type="spellStart"/>
      <w:r w:rsidRPr="00003304">
        <w:rPr>
          <w:u w:val="single"/>
          <w:lang w:val="x-none"/>
        </w:rPr>
        <w:t>подчеркнут</w:t>
      </w:r>
      <w:proofErr w:type="spellEnd"/>
      <w:r w:rsidRPr="004649B5">
        <w:rPr>
          <w:lang w:val="x-none"/>
        </w:rPr>
        <w:t>):</w:t>
      </w:r>
    </w:p>
    <w:p w:rsidR="004649B5" w:rsidRPr="004649B5" w:rsidRDefault="001B5E78" w:rsidP="001B5E78">
      <w:pPr>
        <w:pStyle w:val="SingleTxt"/>
      </w:pPr>
      <w:proofErr w:type="gramStart"/>
      <w:r>
        <w:t>«</w:t>
      </w:r>
      <w:r w:rsidR="004649B5" w:rsidRPr="004649B5">
        <w:t>−</w:t>
      </w:r>
      <w:r w:rsidR="004649B5" w:rsidRPr="004649B5">
        <w:tab/>
        <w:t>подготовка ежегодного отчета</w:t>
      </w:r>
      <w:r w:rsidR="004649B5" w:rsidRPr="004649B5">
        <w:rPr>
          <w:u w:val="single"/>
        </w:rPr>
        <w:t>, в соответствии с представленной ниже мод</w:t>
      </w:r>
      <w:r w:rsidR="004649B5" w:rsidRPr="004649B5">
        <w:rPr>
          <w:u w:val="single"/>
        </w:rPr>
        <w:t>е</w:t>
      </w:r>
      <w:r w:rsidR="004649B5" w:rsidRPr="004649B5">
        <w:rPr>
          <w:u w:val="single"/>
        </w:rPr>
        <w:t>лью,</w:t>
      </w:r>
      <w:r w:rsidR="004649B5" w:rsidRPr="004649B5">
        <w:t xml:space="preserve"> для администрации его предприятия или, в случае необходимости, для местных органов власти по вопросам деятельности данного предприятия </w:t>
      </w:r>
      <w:r w:rsidR="004649B5" w:rsidRPr="004649B5">
        <w:rPr>
          <w:u w:val="single"/>
        </w:rPr>
        <w:t>и ко</w:t>
      </w:r>
      <w:r w:rsidR="004649B5" w:rsidRPr="004649B5">
        <w:rPr>
          <w:u w:val="single"/>
        </w:rPr>
        <w:t>н</w:t>
      </w:r>
      <w:r w:rsidR="004649B5" w:rsidRPr="004649B5">
        <w:rPr>
          <w:u w:val="single"/>
        </w:rPr>
        <w:t>сультанта</w:t>
      </w:r>
      <w:r w:rsidR="004649B5" w:rsidRPr="004649B5">
        <w:t>, связанной с перевозкой опасных грузов</w:t>
      </w:r>
      <w:r>
        <w:t>».</w:t>
      </w:r>
      <w:proofErr w:type="gramEnd"/>
    </w:p>
    <w:p w:rsidR="004649B5" w:rsidRPr="004649B5" w:rsidRDefault="004649B5" w:rsidP="004649B5">
      <w:pPr>
        <w:pStyle w:val="SingleTxt"/>
      </w:pPr>
      <w:r w:rsidRPr="004649B5">
        <w:t>12.</w:t>
      </w:r>
      <w:r w:rsidRPr="004649B5">
        <w:tab/>
        <w:t xml:space="preserve">В конце подраздела </w:t>
      </w:r>
      <w:r w:rsidRPr="004649B5">
        <w:rPr>
          <w:lang w:val="x-none"/>
        </w:rPr>
        <w:t>1.8.3.3</w:t>
      </w:r>
      <w:r w:rsidRPr="004649B5">
        <w:t xml:space="preserve"> добавить следующую таблицу:</w:t>
      </w:r>
    </w:p>
    <w:p w:rsidR="004649B5" w:rsidRDefault="001B5E78" w:rsidP="00712C04">
      <w:pPr>
        <w:pStyle w:val="SingleTxt"/>
        <w:spacing w:after="80"/>
        <w:rPr>
          <w:b/>
        </w:rPr>
      </w:pPr>
      <w:r>
        <w:rPr>
          <w:bCs/>
        </w:rPr>
        <w:t>«</w:t>
      </w:r>
      <w:r w:rsidR="004649B5" w:rsidRPr="004649B5">
        <w:rPr>
          <w:b/>
        </w:rPr>
        <w:t>Модель ежегодного доклада</w:t>
      </w:r>
    </w:p>
    <w:p w:rsidR="001B5E78" w:rsidRPr="001B5E78" w:rsidRDefault="001B5E78" w:rsidP="001B5E78">
      <w:pPr>
        <w:pStyle w:val="SingleTxt"/>
        <w:spacing w:after="0" w:line="120" w:lineRule="exact"/>
        <w:rPr>
          <w:b/>
          <w:sz w:val="10"/>
        </w:rPr>
      </w:pPr>
    </w:p>
    <w:tbl>
      <w:tblPr>
        <w:tblW w:w="10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030"/>
        <w:gridCol w:w="357"/>
        <w:gridCol w:w="713"/>
        <w:gridCol w:w="1027"/>
        <w:gridCol w:w="328"/>
        <w:gridCol w:w="656"/>
        <w:gridCol w:w="1212"/>
        <w:gridCol w:w="517"/>
        <w:gridCol w:w="510"/>
        <w:gridCol w:w="120"/>
        <w:gridCol w:w="270"/>
        <w:gridCol w:w="272"/>
        <w:gridCol w:w="178"/>
        <w:gridCol w:w="720"/>
        <w:gridCol w:w="698"/>
      </w:tblGrid>
      <w:tr w:rsidR="000B0667" w:rsidRPr="00264510" w:rsidTr="00712C04">
        <w:trPr>
          <w:trHeight w:val="459"/>
        </w:trPr>
        <w:tc>
          <w:tcPr>
            <w:tcW w:w="10256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0B0667" w:rsidRPr="0016198D" w:rsidRDefault="00E01A8A" w:rsidP="00712C04">
            <w:pPr>
              <w:suppressAutoHyphens/>
              <w:spacing w:before="20" w:after="20" w:line="240" w:lineRule="auto"/>
              <w:jc w:val="center"/>
              <w:outlineLvl w:val="2"/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t xml:space="preserve">ЕЖЕГОДНЫЙ ДОКЛАД КОНСУЛЬТАНТА ПО ВОПРОСАМ БЕЗОПАСНОСТИ </w:t>
            </w:r>
            <w:r w:rsidRPr="0016198D">
              <w:rPr>
                <w:rFonts w:eastAsia="Times New Roman"/>
                <w:b/>
                <w:spacing w:val="0"/>
                <w:w w:val="100"/>
                <w:kern w:val="0"/>
                <w:szCs w:val="20"/>
                <w:u w:val="single"/>
              </w:rPr>
              <w:br/>
              <w:t>ПЕРЕВОЗКИ ОПАСНЫХ ГРУЗОВ</w:t>
            </w:r>
          </w:p>
        </w:tc>
      </w:tr>
      <w:tr w:rsidR="00733498" w:rsidRPr="00264510" w:rsidTr="00712C04">
        <w:tc>
          <w:tcPr>
            <w:tcW w:w="3748" w:type="dxa"/>
            <w:gridSpan w:val="4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За период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>:</w:t>
            </w:r>
          </w:p>
        </w:tc>
        <w:tc>
          <w:tcPr>
            <w:tcW w:w="6508" w:type="dxa"/>
            <w:gridSpan w:val="12"/>
            <w:tcBorders>
              <w:top w:val="single" w:sz="12" w:space="0" w:color="auto"/>
            </w:tcBorders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  <w:u w:val="single"/>
                <w:lang w:val="en-GB"/>
              </w:rPr>
            </w:pPr>
          </w:p>
        </w:tc>
      </w:tr>
      <w:tr w:rsidR="00733498" w:rsidRPr="00264510" w:rsidTr="00712C04">
        <w:tc>
          <w:tcPr>
            <w:tcW w:w="3748" w:type="dxa"/>
            <w:gridSpan w:val="4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16198D">
            <w:pPr>
              <w:spacing w:line="240" w:lineRule="auto"/>
              <w:ind w:right="-98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Доклад относится к видам деятельности, входящим в сферу:</w:t>
            </w:r>
          </w:p>
        </w:tc>
        <w:tc>
          <w:tcPr>
            <w:tcW w:w="6508" w:type="dxa"/>
            <w:gridSpan w:val="12"/>
            <w:tcBorders>
              <w:top w:val="single" w:sz="12" w:space="0" w:color="auto"/>
            </w:tcBorders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sym w:font="Wingdings 2" w:char="F02A"/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ДОПОГ</w:t>
            </w:r>
          </w:p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sym w:font="Wingdings 2" w:char="F02A"/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МПОГ</w:t>
            </w:r>
          </w:p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sym w:font="Wingdings 2" w:char="F02A"/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ВОПОГ</w:t>
            </w:r>
          </w:p>
        </w:tc>
      </w:tr>
      <w:tr w:rsidR="00733498" w:rsidRPr="00264510" w:rsidTr="00712C04">
        <w:tc>
          <w:tcPr>
            <w:tcW w:w="3748" w:type="dxa"/>
            <w:gridSpan w:val="4"/>
            <w:tcBorders>
              <w:top w:val="single" w:sz="12" w:space="0" w:color="auto"/>
            </w:tcBorders>
          </w:tcPr>
          <w:p w:rsidR="000B0667" w:rsidRPr="000A477D" w:rsidRDefault="000B0667" w:rsidP="0016198D">
            <w:pPr>
              <w:spacing w:line="240" w:lineRule="auto"/>
              <w:ind w:right="-98"/>
              <w:outlineLvl w:val="2"/>
              <w:rPr>
                <w:rFonts w:eastAsia="Times New Roman"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Сведения об участниках, о которых гов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о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рится в докладе (адрес операций и/или штаб-квартиры и номер телефона):</w:t>
            </w:r>
          </w:p>
        </w:tc>
        <w:tc>
          <w:tcPr>
            <w:tcW w:w="6508" w:type="dxa"/>
            <w:gridSpan w:val="12"/>
            <w:tcBorders>
              <w:top w:val="single" w:sz="12" w:space="0" w:color="auto"/>
            </w:tcBorders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</w:p>
        </w:tc>
      </w:tr>
      <w:tr w:rsidR="00733498" w:rsidRPr="00264510" w:rsidTr="00712C04">
        <w:tc>
          <w:tcPr>
            <w:tcW w:w="3748" w:type="dxa"/>
            <w:gridSpan w:val="4"/>
            <w:vMerge w:val="restart"/>
            <w:tcBorders>
              <w:top w:val="single" w:sz="12" w:space="0" w:color="auto"/>
            </w:tcBorders>
          </w:tcPr>
          <w:p w:rsidR="000B0667" w:rsidRPr="000A477D" w:rsidRDefault="000B0667" w:rsidP="0016198D">
            <w:pPr>
              <w:spacing w:line="240" w:lineRule="auto"/>
              <w:ind w:right="-98"/>
              <w:outlineLvl w:val="2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Имели ли место какие-либо дорожно-транспортные происшествия, инциденты или случаи несоблюдения требований в контексте перевозки опасных грузов? Е</w:t>
            </w: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с</w:t>
            </w: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ли да, представьте краткое описание ка</w:t>
            </w: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ж</w:t>
            </w: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дого из них с у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казанием даты и места</w:t>
            </w:r>
            <w:proofErr w:type="gramStart"/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да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нет</w:t>
            </w:r>
          </w:p>
        </w:tc>
        <w:tc>
          <w:tcPr>
            <w:tcW w:w="2258" w:type="dxa"/>
            <w:gridSpan w:val="6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B0667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не</w:t>
            </w:r>
            <w:r w:rsidR="00FA2025"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 xml:space="preserve"> </w:t>
            </w:r>
            <w:r w:rsidRPr="000A477D"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  <w:t>применимо</w:t>
            </w:r>
          </w:p>
        </w:tc>
      </w:tr>
      <w:tr w:rsidR="00733498" w:rsidRPr="00264510" w:rsidTr="00712C04">
        <w:tc>
          <w:tcPr>
            <w:tcW w:w="3748" w:type="dxa"/>
            <w:gridSpan w:val="4"/>
            <w:vMerge/>
          </w:tcPr>
          <w:p w:rsidR="000B0667" w:rsidRPr="000A477D" w:rsidRDefault="000B0667" w:rsidP="0016198D">
            <w:pPr>
              <w:spacing w:line="240" w:lineRule="auto"/>
              <w:ind w:right="-98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6508" w:type="dxa"/>
            <w:gridSpan w:val="12"/>
            <w:tcBorders>
              <w:top w:val="single" w:sz="12" w:space="0" w:color="auto"/>
            </w:tcBorders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733498" w:rsidRPr="00264510" w:rsidTr="00712C04">
        <w:tc>
          <w:tcPr>
            <w:tcW w:w="3748" w:type="dxa"/>
            <w:gridSpan w:val="4"/>
            <w:tcBorders>
              <w:top w:val="single" w:sz="12" w:space="0" w:color="auto"/>
            </w:tcBorders>
          </w:tcPr>
          <w:p w:rsidR="000B0667" w:rsidRPr="000A477D" w:rsidRDefault="000B0667" w:rsidP="0016198D">
            <w:pPr>
              <w:spacing w:line="240" w:lineRule="auto"/>
              <w:ind w:right="-98"/>
              <w:outlineLvl w:val="2"/>
              <w:rPr>
                <w:rFonts w:eastAsia="Times New Roman"/>
                <w:b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Все ли соответствующие лица, участв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у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ющие в перевозке опасных грузов, пр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о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шли подготовку в соответствии с разд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е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лом 1.3?</w:t>
            </w:r>
          </w:p>
        </w:tc>
        <w:tc>
          <w:tcPr>
            <w:tcW w:w="4250" w:type="dxa"/>
            <w:gridSpan w:val="6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да</w:t>
            </w:r>
          </w:p>
        </w:tc>
        <w:tc>
          <w:tcPr>
            <w:tcW w:w="2258" w:type="dxa"/>
            <w:gridSpan w:val="6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нет</w:t>
            </w:r>
          </w:p>
        </w:tc>
      </w:tr>
      <w:tr w:rsidR="00733498" w:rsidRPr="00264510" w:rsidTr="00712C04">
        <w:tc>
          <w:tcPr>
            <w:tcW w:w="3748" w:type="dxa"/>
            <w:gridSpan w:val="4"/>
            <w:tcBorders>
              <w:top w:val="single" w:sz="12" w:space="0" w:color="auto"/>
            </w:tcBorders>
          </w:tcPr>
          <w:p w:rsidR="000B0667" w:rsidRPr="000A477D" w:rsidRDefault="000B0667" w:rsidP="0016198D">
            <w:pPr>
              <w:spacing w:line="240" w:lineRule="auto"/>
              <w:ind w:right="-98"/>
              <w:outlineLvl w:val="2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Если это применимо, существует ли план обеспечения безопасности в соответствии с разделом 1.10?</w:t>
            </w:r>
          </w:p>
        </w:tc>
        <w:tc>
          <w:tcPr>
            <w:tcW w:w="4250" w:type="dxa"/>
            <w:gridSpan w:val="6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да</w:t>
            </w:r>
          </w:p>
        </w:tc>
        <w:tc>
          <w:tcPr>
            <w:tcW w:w="2258" w:type="dxa"/>
            <w:gridSpan w:val="6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нет</w:t>
            </w:r>
          </w:p>
        </w:tc>
      </w:tr>
      <w:tr w:rsidR="00733498" w:rsidRPr="00264510" w:rsidTr="00712C04">
        <w:trPr>
          <w:trHeight w:val="381"/>
        </w:trPr>
        <w:tc>
          <w:tcPr>
            <w:tcW w:w="3748" w:type="dxa"/>
            <w:gridSpan w:val="4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712C04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i/>
                <w:iCs/>
                <w:spacing w:val="0"/>
                <w:w w:val="100"/>
                <w:kern w:val="0"/>
                <w:szCs w:val="20"/>
                <w:lang w:val="en-GB"/>
              </w:rPr>
            </w:pP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</w:rPr>
              <w:t>Метод перевозки</w:t>
            </w:r>
            <w:r w:rsidRPr="000A477D">
              <w:rPr>
                <w:rFonts w:eastAsia="Times New Roman"/>
                <w:bCs/>
                <w:iCs/>
                <w:spacing w:val="0"/>
                <w:w w:val="100"/>
                <w:kern w:val="0"/>
                <w:szCs w:val="20"/>
                <w:lang w:val="en-GB"/>
              </w:rPr>
              <w:t>: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712C04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в упаковке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712C04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в цистернах</w:t>
            </w:r>
          </w:p>
        </w:tc>
        <w:tc>
          <w:tcPr>
            <w:tcW w:w="2258" w:type="dxa"/>
            <w:gridSpan w:val="6"/>
            <w:tcBorders>
              <w:top w:val="single" w:sz="12" w:space="0" w:color="auto"/>
            </w:tcBorders>
            <w:vAlign w:val="center"/>
          </w:tcPr>
          <w:p w:rsidR="000B0667" w:rsidRPr="000A477D" w:rsidRDefault="000B0667" w:rsidP="00712C04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[  ] 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навалом/насыпью</w:t>
            </w:r>
          </w:p>
        </w:tc>
      </w:tr>
      <w:tr w:rsidR="000B0667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5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0667" w:rsidRPr="000A477D" w:rsidRDefault="000B0667" w:rsidP="0016198D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  <w:t>Информация о характере перевозок и количестве грузов</w:t>
            </w:r>
          </w:p>
          <w:p w:rsidR="000B0667" w:rsidRPr="000A477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  <w:lang w:val="x-none"/>
              </w:rPr>
            </w:pPr>
          </w:p>
        </w:tc>
      </w:tr>
      <w:tr w:rsidR="00733498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0667" w:rsidRPr="000A477D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b/>
                <w:spacing w:val="0"/>
                <w:w w:val="100"/>
                <w:kern w:val="0"/>
                <w:szCs w:val="20"/>
              </w:rPr>
              <w:t>Класс</w:t>
            </w:r>
          </w:p>
        </w:tc>
        <w:tc>
          <w:tcPr>
            <w:tcW w:w="635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667" w:rsidRPr="000A477D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Тип транспортных операций</w:t>
            </w:r>
          </w:p>
        </w:tc>
        <w:tc>
          <w:tcPr>
            <w:tcW w:w="22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667" w:rsidRPr="000A477D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</w:pP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Количество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 xml:space="preserve"> (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</w:rPr>
              <w:t>т/год</w:t>
            </w:r>
            <w:r w:rsidRPr="000A477D">
              <w:rPr>
                <w:rFonts w:eastAsia="Times New Roman"/>
                <w:spacing w:val="0"/>
                <w:w w:val="100"/>
                <w:kern w:val="0"/>
                <w:szCs w:val="20"/>
                <w:lang w:val="en-GB"/>
              </w:rPr>
              <w:t>)</w:t>
            </w: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Отправка</w:t>
            </w:r>
          </w:p>
        </w:tc>
        <w:tc>
          <w:tcPr>
            <w:tcW w:w="1070" w:type="dxa"/>
            <w:gridSpan w:val="2"/>
            <w:tcBorders>
              <w:bottom w:val="single" w:sz="12" w:space="0" w:color="auto"/>
            </w:tcBorders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Перевозка</w:t>
            </w: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Упаковка</w:t>
            </w:r>
          </w:p>
        </w:tc>
        <w:tc>
          <w:tcPr>
            <w:tcW w:w="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Погрузка</w:t>
            </w:r>
          </w:p>
        </w:tc>
        <w:tc>
          <w:tcPr>
            <w:tcW w:w="1212" w:type="dxa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Наполнение</w:t>
            </w:r>
          </w:p>
        </w:tc>
        <w:tc>
          <w:tcPr>
            <w:tcW w:w="10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</w:rPr>
              <w:t>Разгрузка</w:t>
            </w:r>
          </w:p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ind w:right="-165" w:hanging="80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&lt; 5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ind w:right="-104" w:hanging="65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5-50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ind w:right="-84" w:hanging="103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50-1000</w:t>
            </w: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667" w:rsidRPr="00264510" w:rsidRDefault="000B0667" w:rsidP="00712C04">
            <w:pPr>
              <w:tabs>
                <w:tab w:val="left" w:pos="364"/>
              </w:tabs>
              <w:suppressAutoHyphens/>
              <w:spacing w:before="20" w:after="20" w:line="240" w:lineRule="auto"/>
              <w:ind w:right="-133" w:hanging="35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&gt; 1000</w:t>
            </w: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top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top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4.1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4.2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4.3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5.1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5.2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6.1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6.2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264510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70" w:type="dxa"/>
            <w:gridSpan w:val="2"/>
            <w:tcBorders>
              <w:bottom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12" w:type="dxa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</w:tcPr>
          <w:p w:rsidR="000B0667" w:rsidRPr="00264510" w:rsidRDefault="000B0667" w:rsidP="00712C04">
            <w:pPr>
              <w:suppressAutoHyphens/>
              <w:spacing w:before="20" w:after="20"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  <w:tr w:rsidR="000B0667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256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0667" w:rsidRPr="0016198D" w:rsidRDefault="000B0667" w:rsidP="00FA2025">
            <w:pPr>
              <w:pageBreakBefore/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  <w:lastRenderedPageBreak/>
              <w:t>Задачи консультанта по вопросам безопасности перевозки опасных грузов</w:t>
            </w: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before="40" w:after="40"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uppressAutoHyphens/>
              <w:spacing w:before="40" w:after="40" w:line="240" w:lineRule="auto"/>
              <w:ind w:left="-46" w:right="-107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  <w:t>Задача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before="40" w:after="40" w:line="240" w:lineRule="auto"/>
              <w:jc w:val="center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  <w:t>Да</w:t>
            </w: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before="40" w:after="40" w:line="240" w:lineRule="auto"/>
              <w:jc w:val="center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  <w:t>Нет</w:t>
            </w: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733498" w:rsidP="00031EE0">
            <w:pPr>
              <w:suppressAutoHyphens/>
              <w:spacing w:before="40" w:after="40" w:line="240" w:lineRule="auto"/>
              <w:ind w:right="-133" w:hanging="59"/>
              <w:jc w:val="both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  <w:t>Не</w:t>
            </w:r>
            <w:r w:rsidR="00FA2025" w:rsidRPr="0016198D"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  <w:t xml:space="preserve"> </w:t>
            </w:r>
            <w:r w:rsidR="000B0667" w:rsidRPr="0016198D"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  <w:t>применимо</w:t>
            </w: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1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2A718F">
            <w:pPr>
              <w:ind w:left="-43" w:right="-14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Существуют ли процедуры, обеспечивающие соблюдение предпис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а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ний в отношении идентификации перевозимых опасных грузов?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2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Учитываются ли в практике предприятия при закупке перевозочных средств любые особые требования, обусловленные характером пер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е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возимых опасных грузов?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FA2025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3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Существуют ли процедуры проверки оборудования, используемого для перевозки опасных грузов или для погрузочно-разгрузочных оп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е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раций?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4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Обеспечиваются ли надлежащая подготовка работников предприятия и ведение учета такой подготовки?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5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Применяются ли надлежащие срочные процедуры в случае любой аварии или инцидента, способных причинить ущерб безопасности во время перевозки опасных грузов или в процессе погрузочно-разгрузочных операций?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B0667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6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pageBreakBefore/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Проводятся ли расследование обстоятельств аварий, инцидентов или серьезных нарушений, отмеченных во время перевозки опасных гр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у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зов или в процессе погрузочно-разгрузочных операций, и, при нео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б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ходимости, подготовка соответствующих отчетов?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pageBreakBefore/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pageBreakBefore/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pageBreakBefore/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7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Принимаются ли необходимые меры во избежание повторения ав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а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рий, инцидентов или серьезных нарушений?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</w:rPr>
              <w:t>8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Ведется ли учет нормативных предписаний и особых требований, св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я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занных с перевозкой опасных грузов, при выборе и использовании услуг субподрядчиков или третьих сторон?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9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2A718F">
            <w:pPr>
              <w:spacing w:line="240" w:lineRule="auto"/>
              <w:ind w:left="-46" w:right="-27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Проводится ли проверка того, что работники, занимающиеся перевозкой опасных грузов, их погрузкой или разгрузкой, имеют в своем распор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я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жении подробные правила выполнения операций и инструкции?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10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Принимаются ли меры по информированию работников о видах опа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с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ности, связанных с перевозкой опасных грузов, их погрузкой и ра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з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грузкой?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11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Применяются ли процедуры проверки, позволяющие удостовериться в наличии на перевозочных средствах требуемых документов и обор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у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дования для обеспечения безопасности и в соответствии этих док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у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ментов и оборудования действующим правилам?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12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Применяются ли процедуры проверки для обеспечения соблюдения предписаний, касающихся погрузочно-разгрузочных операций;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0A477D" w:rsidRPr="00264510" w:rsidTr="007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/>
                <w:spacing w:val="0"/>
                <w:w w:val="100"/>
                <w:kern w:val="0"/>
                <w:sz w:val="19"/>
                <w:szCs w:val="19"/>
                <w:lang w:val="en-GB"/>
              </w:rPr>
              <w:t>13</w:t>
            </w:r>
          </w:p>
        </w:tc>
        <w:tc>
          <w:tcPr>
            <w:tcW w:w="584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0B0667" w:rsidRPr="0016198D" w:rsidRDefault="000B0667" w:rsidP="0016198D">
            <w:pPr>
              <w:spacing w:line="240" w:lineRule="auto"/>
              <w:ind w:left="-46" w:right="-107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Имеется ли план обеспечения безопасности, указанный в подразд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е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ле</w:t>
            </w:r>
            <w:r w:rsidR="00FA2025"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 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  <w:t>1.10.3.2?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</w:tr>
      <w:tr w:rsidR="00733498" w:rsidRPr="00264510" w:rsidTr="00712C04"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Комментарии</w:t>
            </w: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  <w:lang w:val="en-GB"/>
              </w:rPr>
              <w:t>:</w:t>
            </w:r>
          </w:p>
          <w:p w:rsidR="000B0667" w:rsidRDefault="000B0667" w:rsidP="002A718F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</w:p>
          <w:p w:rsidR="002A718F" w:rsidRPr="002A718F" w:rsidRDefault="002A718F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</w:p>
        </w:tc>
        <w:tc>
          <w:tcPr>
            <w:tcW w:w="860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</w:tr>
      <w:tr w:rsidR="000B0667" w:rsidRPr="00264510" w:rsidTr="00712C04">
        <w:trPr>
          <w:cantSplit/>
          <w:trHeight w:val="178"/>
        </w:trPr>
        <w:tc>
          <w:tcPr>
            <w:tcW w:w="10256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Доклад подготовлен</w:t>
            </w:r>
            <w:r w:rsidRPr="0016198D"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  <w:t>:</w:t>
            </w:r>
          </w:p>
        </w:tc>
      </w:tr>
      <w:tr w:rsidR="00733498" w:rsidRPr="00264510" w:rsidTr="00712C04">
        <w:trPr>
          <w:cantSplit/>
          <w:trHeight w:val="976"/>
        </w:trPr>
        <w:tc>
          <w:tcPr>
            <w:tcW w:w="303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3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768" w:type="dxa"/>
            <w:gridSpan w:val="7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</w:tr>
      <w:tr w:rsidR="00733498" w:rsidRPr="00264510" w:rsidTr="00712C04">
        <w:trPr>
          <w:cantSplit/>
          <w:trHeight w:val="150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Имя и фамилия консультанта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Код свидетельства консультанта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Подпись консультанта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Дата подготовки</w:t>
            </w:r>
          </w:p>
        </w:tc>
      </w:tr>
      <w:tr w:rsidR="00733498" w:rsidRPr="00264510" w:rsidTr="00712C04">
        <w:trPr>
          <w:cantSplit/>
          <w:trHeight w:val="766"/>
        </w:trPr>
        <w:tc>
          <w:tcPr>
            <w:tcW w:w="5103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515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</w:tr>
      <w:tr w:rsidR="00733498" w:rsidRPr="00264510" w:rsidTr="00712C04">
        <w:trPr>
          <w:cantSplit/>
          <w:trHeight w:val="173"/>
        </w:trPr>
        <w:tc>
          <w:tcPr>
            <w:tcW w:w="5103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0667" w:rsidRPr="0016198D" w:rsidRDefault="000B0667" w:rsidP="00031EE0">
            <w:pPr>
              <w:suppressAutoHyphens/>
              <w:spacing w:line="240" w:lineRule="auto"/>
              <w:outlineLvl w:val="2"/>
              <w:rPr>
                <w:rFonts w:eastAsia="Times New Roman"/>
                <w:spacing w:val="0"/>
                <w:w w:val="100"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515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0667" w:rsidRPr="0016198D" w:rsidRDefault="000B0667" w:rsidP="00712C04">
            <w:pPr>
              <w:suppressAutoHyphens/>
              <w:spacing w:before="40" w:after="40" w:line="240" w:lineRule="auto"/>
              <w:outlineLvl w:val="2"/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</w:pPr>
            <w:r w:rsidRPr="0016198D">
              <w:rPr>
                <w:rFonts w:eastAsia="Times New Roman"/>
                <w:bCs/>
                <w:spacing w:val="0"/>
                <w:w w:val="100"/>
                <w:kern w:val="0"/>
                <w:sz w:val="19"/>
                <w:szCs w:val="19"/>
              </w:rPr>
              <w:t>Подпись ответственного лица предприятия</w:t>
            </w:r>
          </w:p>
        </w:tc>
      </w:tr>
    </w:tbl>
    <w:p w:rsidR="00E01A8A" w:rsidRPr="00E01A8A" w:rsidRDefault="00FA2025" w:rsidP="009056B7">
      <w:pPr>
        <w:pStyle w:val="SingleTxt"/>
        <w:spacing w:after="0"/>
        <w:ind w:right="47"/>
        <w:jc w:val="right"/>
        <w:rPr>
          <w:lang w:val="x-none"/>
        </w:rPr>
      </w:pPr>
      <w:r>
        <w:t>»</w:t>
      </w:r>
      <w:r w:rsidR="00E01A8A" w:rsidRPr="00E01A8A">
        <w:rPr>
          <w:lang w:val="x-none"/>
        </w:rPr>
        <w:t>.</w:t>
      </w:r>
    </w:p>
    <w:p w:rsidR="00E01A8A" w:rsidRDefault="00FA2025" w:rsidP="00E01A8A">
      <w:pPr>
        <w:pStyle w:val="SingleTxt"/>
      </w:pPr>
      <w:r>
        <w:rPr>
          <w:lang w:val="x-none"/>
        </w:rPr>
        <w:br w:type="page"/>
      </w:r>
      <w:r w:rsidR="00E01A8A" w:rsidRPr="00E01A8A">
        <w:rPr>
          <w:lang w:val="x-none"/>
        </w:rPr>
        <w:lastRenderedPageBreak/>
        <w:t>13.</w:t>
      </w:r>
      <w:r w:rsidR="00E01A8A" w:rsidRPr="00E01A8A">
        <w:rPr>
          <w:lang w:val="x-none"/>
        </w:rPr>
        <w:tab/>
      </w:r>
      <w:r w:rsidR="00E01A8A" w:rsidRPr="00E01A8A">
        <w:t xml:space="preserve">В подразделе </w:t>
      </w:r>
      <w:r w:rsidR="00E01A8A" w:rsidRPr="00E01A8A">
        <w:rPr>
          <w:lang w:val="x-none"/>
        </w:rPr>
        <w:t>1.8.3.3</w:t>
      </w:r>
      <w:r w:rsidR="00E01A8A" w:rsidRPr="00E01A8A">
        <w:t xml:space="preserve"> (девятый абзац) речь идет лишь о работниках, име</w:t>
      </w:r>
      <w:r w:rsidR="00E01A8A" w:rsidRPr="00E01A8A">
        <w:t>ю</w:t>
      </w:r>
      <w:r w:rsidR="00E01A8A" w:rsidRPr="00E01A8A">
        <w:t>щих отношение к перевозке, погрузке или разгрузке опасных грузов. Как уже г</w:t>
      </w:r>
      <w:r w:rsidR="00E01A8A" w:rsidRPr="00E01A8A">
        <w:t>о</w:t>
      </w:r>
      <w:r w:rsidR="00E01A8A" w:rsidRPr="00E01A8A">
        <w:t xml:space="preserve">ворилось в разделе </w:t>
      </w:r>
      <w:r w:rsidR="00E01A8A" w:rsidRPr="00E01A8A">
        <w:rPr>
          <w:lang w:val="en-US"/>
        </w:rPr>
        <w:t>II</w:t>
      </w:r>
      <w:r w:rsidR="00E01A8A" w:rsidRPr="00E01A8A">
        <w:t xml:space="preserve"> настоящего документа, представляется неясным, почему охватываются некоторые участники, которым в соответствии с разделом 1.4 предписаны обязанности в области безопасности. ЕАКБ считает, что консультант по вопросам безопасности должен проверять подробные правила выполнения операций и инструкции для всех соответствующих участников, перечисленных в подразделе 1.4.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2E77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A8A">
        <w:tab/>
      </w:r>
      <w:r w:rsidRPr="00E01A8A">
        <w:tab/>
        <w:t>Предложение 5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E01A8A">
      <w:pPr>
        <w:pStyle w:val="SingleTxt"/>
      </w:pPr>
      <w:r w:rsidRPr="00E01A8A">
        <w:t>14.</w:t>
      </w:r>
      <w:r w:rsidRPr="00E01A8A">
        <w:tab/>
      </w:r>
      <w:proofErr w:type="spellStart"/>
      <w:r w:rsidRPr="00E01A8A">
        <w:rPr>
          <w:lang w:val="x-none"/>
        </w:rPr>
        <w:t>Внести</w:t>
      </w:r>
      <w:proofErr w:type="spellEnd"/>
      <w:r w:rsidRPr="00E01A8A">
        <w:rPr>
          <w:lang w:val="x-none"/>
        </w:rPr>
        <w:t xml:space="preserve"> </w:t>
      </w:r>
      <w:proofErr w:type="spellStart"/>
      <w:r w:rsidRPr="00E01A8A">
        <w:rPr>
          <w:lang w:val="x-none"/>
        </w:rPr>
        <w:t>следующую</w:t>
      </w:r>
      <w:proofErr w:type="spellEnd"/>
      <w:r w:rsidRPr="00E01A8A">
        <w:rPr>
          <w:lang w:val="x-none"/>
        </w:rPr>
        <w:t xml:space="preserve"> </w:t>
      </w:r>
      <w:proofErr w:type="spellStart"/>
      <w:r w:rsidRPr="00E01A8A">
        <w:rPr>
          <w:lang w:val="x-none"/>
        </w:rPr>
        <w:t>поправку</w:t>
      </w:r>
      <w:proofErr w:type="spellEnd"/>
      <w:r w:rsidRPr="00E01A8A">
        <w:rPr>
          <w:lang w:val="x-none"/>
        </w:rPr>
        <w:t xml:space="preserve"> в </w:t>
      </w:r>
      <w:r w:rsidRPr="00E01A8A">
        <w:t xml:space="preserve">девятый абзац подраздела </w:t>
      </w:r>
      <w:r w:rsidRPr="00E01A8A">
        <w:rPr>
          <w:lang w:val="x-none"/>
        </w:rPr>
        <w:t>1.8.3.3 (</w:t>
      </w:r>
      <w:proofErr w:type="spellStart"/>
      <w:r w:rsidRPr="00E01A8A">
        <w:rPr>
          <w:lang w:val="x-none"/>
        </w:rPr>
        <w:t>новый</w:t>
      </w:r>
      <w:proofErr w:type="spellEnd"/>
      <w:r w:rsidRPr="00E01A8A">
        <w:rPr>
          <w:lang w:val="x-none"/>
        </w:rPr>
        <w:t xml:space="preserve"> </w:t>
      </w:r>
      <w:proofErr w:type="spellStart"/>
      <w:r w:rsidRPr="00E01A8A">
        <w:rPr>
          <w:lang w:val="x-none"/>
        </w:rPr>
        <w:t>текст</w:t>
      </w:r>
      <w:proofErr w:type="spellEnd"/>
      <w:r w:rsidRPr="00E01A8A">
        <w:rPr>
          <w:lang w:val="x-none"/>
        </w:rPr>
        <w:t xml:space="preserve"> </w:t>
      </w:r>
      <w:proofErr w:type="spellStart"/>
      <w:r w:rsidRPr="00031EE0">
        <w:rPr>
          <w:u w:val="single"/>
          <w:lang w:val="x-none"/>
        </w:rPr>
        <w:t>подчеркнут</w:t>
      </w:r>
      <w:proofErr w:type="spellEnd"/>
      <w:r w:rsidRPr="00E01A8A">
        <w:rPr>
          <w:lang w:val="x-none"/>
        </w:rPr>
        <w:t>):</w:t>
      </w:r>
    </w:p>
    <w:p w:rsidR="00E01A8A" w:rsidRPr="00E01A8A" w:rsidRDefault="002E7768" w:rsidP="002E7768">
      <w:pPr>
        <w:pStyle w:val="SingleTxt"/>
      </w:pPr>
      <w:r>
        <w:t>«</w:t>
      </w:r>
      <w:r w:rsidR="00E01A8A" w:rsidRPr="00E01A8A">
        <w:t>–</w:t>
      </w:r>
      <w:r w:rsidR="00E01A8A" w:rsidRPr="00E01A8A">
        <w:tab/>
        <w:t xml:space="preserve">проверка того, что работники, занимающиеся </w:t>
      </w:r>
      <w:r w:rsidR="00E01A8A" w:rsidRPr="00E01A8A">
        <w:rPr>
          <w:u w:val="single"/>
        </w:rPr>
        <w:t>отправкой,</w:t>
      </w:r>
      <w:r w:rsidR="00E01A8A" w:rsidRPr="00E01A8A">
        <w:t xml:space="preserve"> перевозкой, уп</w:t>
      </w:r>
      <w:r w:rsidR="00E01A8A" w:rsidRPr="00E01A8A">
        <w:t>а</w:t>
      </w:r>
      <w:r w:rsidR="00E01A8A" w:rsidRPr="00E01A8A">
        <w:t>ковкой, наполнением, погрузкой или разгрузкой опасных грузов, имеют в своем распоряжении подробные правила выполнения операций и инструкции…</w:t>
      </w:r>
      <w:r>
        <w:t>»</w:t>
      </w:r>
      <w:r w:rsidR="00E01A8A" w:rsidRPr="00E01A8A">
        <w:t>.</w:t>
      </w:r>
    </w:p>
    <w:p w:rsidR="00E01A8A" w:rsidRDefault="00E01A8A" w:rsidP="00031EE0">
      <w:pPr>
        <w:pStyle w:val="SingleTxt"/>
      </w:pPr>
      <w:r w:rsidRPr="00E01A8A">
        <w:rPr>
          <w:lang w:val="x-none"/>
        </w:rPr>
        <w:t>15.</w:t>
      </w:r>
      <w:r w:rsidRPr="00E01A8A">
        <w:rPr>
          <w:lang w:val="x-none"/>
        </w:rPr>
        <w:tab/>
      </w:r>
      <w:r w:rsidRPr="00E01A8A">
        <w:t>Для согласования стандарта знаний консультантов по вопросам безопасн</w:t>
      </w:r>
      <w:r w:rsidRPr="00E01A8A">
        <w:t>о</w:t>
      </w:r>
      <w:r w:rsidRPr="00E01A8A">
        <w:t>сти Договаривающихся сторон, ЕАКБ считает необходимым упорядочить экз</w:t>
      </w:r>
      <w:r w:rsidRPr="00E01A8A">
        <w:t>а</w:t>
      </w:r>
      <w:r w:rsidRPr="00E01A8A">
        <w:t>менационный процесс. Для достижения этого первым шагом должны быть по</w:t>
      </w:r>
      <w:r w:rsidRPr="00E01A8A">
        <w:t>д</w:t>
      </w:r>
      <w:r w:rsidRPr="00E01A8A">
        <w:t>готовка компетентными органами по проведению экзаменов списков согласова</w:t>
      </w:r>
      <w:r w:rsidRPr="00E01A8A">
        <w:t>н</w:t>
      </w:r>
      <w:r w:rsidRPr="00E01A8A">
        <w:t>ных вопросов и обеспечение открытого доступа. В ВОПОГ уже вошло в практ</w:t>
      </w:r>
      <w:r w:rsidRPr="00E01A8A">
        <w:t>и</w:t>
      </w:r>
      <w:r w:rsidRPr="00E01A8A">
        <w:t>ку размещение на веб-сайте ЕЭК ООН перечня вопросов, из которого отбираю</w:t>
      </w:r>
      <w:r w:rsidRPr="00E01A8A">
        <w:t>т</w:t>
      </w:r>
      <w:r w:rsidRPr="00E01A8A">
        <w:t>ся вопросы для экзаменов. Кроме того, ЕАКБ рассмотрела минимальный показ</w:t>
      </w:r>
      <w:r w:rsidRPr="00E01A8A">
        <w:t>а</w:t>
      </w:r>
      <w:r w:rsidRPr="00E01A8A">
        <w:t>тель оценки, установленный компетентным органом для сдачи экзамена: он с</w:t>
      </w:r>
      <w:r w:rsidRPr="00E01A8A">
        <w:t>о</w:t>
      </w:r>
      <w:r w:rsidRPr="00E01A8A">
        <w:t xml:space="preserve">ставляет от 50 до 90%. ЕАКБ </w:t>
      </w:r>
      <w:proofErr w:type="gramStart"/>
      <w:r w:rsidRPr="00E01A8A">
        <w:t>намерен</w:t>
      </w:r>
      <w:r w:rsidR="002E7768">
        <w:t>а</w:t>
      </w:r>
      <w:proofErr w:type="gramEnd"/>
      <w:r w:rsidR="002E7768">
        <w:t xml:space="preserve"> предложить следующую поправку: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2E77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A8A">
        <w:tab/>
      </w:r>
      <w:r w:rsidRPr="00E01A8A">
        <w:tab/>
        <w:t>Предложение 6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E01A8A">
      <w:pPr>
        <w:pStyle w:val="SingleTxt"/>
      </w:pPr>
      <w:r w:rsidRPr="00E01A8A">
        <w:t>16.</w:t>
      </w:r>
      <w:r w:rsidRPr="00E01A8A">
        <w:tab/>
        <w:t xml:space="preserve">Внести следующую поправку в подраздел 1.8.3.14 (новый текст </w:t>
      </w:r>
      <w:r w:rsidRPr="00031EE0">
        <w:rPr>
          <w:u w:val="single"/>
        </w:rPr>
        <w:t>подчер</w:t>
      </w:r>
      <w:r w:rsidRPr="00031EE0">
        <w:rPr>
          <w:u w:val="single"/>
        </w:rPr>
        <w:t>к</w:t>
      </w:r>
      <w:r w:rsidRPr="00031EE0">
        <w:rPr>
          <w:u w:val="single"/>
        </w:rPr>
        <w:t>нут</w:t>
      </w:r>
      <w:r w:rsidRPr="00E01A8A">
        <w:t>):</w:t>
      </w:r>
    </w:p>
    <w:p w:rsidR="00E01A8A" w:rsidRPr="00E01A8A" w:rsidRDefault="002E7768" w:rsidP="00DB2E0A">
      <w:pPr>
        <w:pStyle w:val="SingleTxt"/>
      </w:pPr>
      <w:r>
        <w:t>«</w:t>
      </w:r>
      <w:r w:rsidR="00E01A8A" w:rsidRPr="00E01A8A">
        <w:t>1.8.3.14</w:t>
      </w:r>
      <w:r w:rsidR="00E01A8A" w:rsidRPr="00E01A8A">
        <w:tab/>
        <w:t xml:space="preserve">Компетентный орган или экзаменующая организация составляет </w:t>
      </w:r>
      <w:r w:rsidR="00E01A8A" w:rsidRPr="00E01A8A">
        <w:rPr>
          <w:u w:val="single"/>
        </w:rPr>
        <w:t>о</w:t>
      </w:r>
      <w:r w:rsidR="00E01A8A" w:rsidRPr="00E01A8A">
        <w:rPr>
          <w:u w:val="single"/>
        </w:rPr>
        <w:t>т</w:t>
      </w:r>
      <w:r w:rsidR="00E01A8A" w:rsidRPr="00E01A8A">
        <w:rPr>
          <w:u w:val="single"/>
        </w:rPr>
        <w:t>крытый</w:t>
      </w:r>
      <w:r w:rsidR="00E01A8A" w:rsidRPr="00E01A8A">
        <w:t xml:space="preserve"> пополняемый список </w:t>
      </w:r>
      <w:r w:rsidR="00E01A8A" w:rsidRPr="00E01A8A">
        <w:rPr>
          <w:u w:val="single"/>
        </w:rPr>
        <w:t>согласованных</w:t>
      </w:r>
      <w:r w:rsidR="00E01A8A" w:rsidRPr="00E01A8A">
        <w:t xml:space="preserve"> вопросов, задаваемых в ходе экз</w:t>
      </w:r>
      <w:r w:rsidR="00E01A8A" w:rsidRPr="00E01A8A">
        <w:t>а</w:t>
      </w:r>
      <w:r w:rsidR="00E01A8A" w:rsidRPr="00E01A8A">
        <w:t>мена</w:t>
      </w:r>
      <w:r w:rsidR="00DB2E0A">
        <w:t>»</w:t>
      </w:r>
      <w:r w:rsidR="00E01A8A" w:rsidRPr="00E01A8A">
        <w:t>.</w:t>
      </w:r>
    </w:p>
    <w:p w:rsidR="00E01A8A" w:rsidRPr="00E01A8A" w:rsidRDefault="00E01A8A" w:rsidP="00E01A8A">
      <w:pPr>
        <w:pStyle w:val="SingleTxt"/>
      </w:pPr>
      <w:r w:rsidRPr="00E01A8A">
        <w:rPr>
          <w:lang w:val="x-none"/>
        </w:rPr>
        <w:t>17.</w:t>
      </w:r>
      <w:r w:rsidRPr="00E01A8A">
        <w:rPr>
          <w:lang w:val="x-none"/>
        </w:rPr>
        <w:tab/>
      </w:r>
      <w:r w:rsidRPr="00E01A8A">
        <w:t>Если делегации пока не в состоянии проголосовать в поддержку этого пре</w:t>
      </w:r>
      <w:r w:rsidRPr="00E01A8A">
        <w:t>д</w:t>
      </w:r>
      <w:r w:rsidRPr="00E01A8A">
        <w:t xml:space="preserve">ложения, ЕАКБ предлагает сформировать неофициальную рабочую группу по </w:t>
      </w:r>
      <w:proofErr w:type="gramStart"/>
      <w:r w:rsidRPr="00E01A8A">
        <w:t>вопросам</w:t>
      </w:r>
      <w:proofErr w:type="gramEnd"/>
      <w:r w:rsidRPr="00E01A8A">
        <w:t xml:space="preserve"> как согласования существующих перечней экзаменационных вопросов, так и согласования условий проведения экзаменов, включая установление мин</w:t>
      </w:r>
      <w:r w:rsidRPr="00E01A8A">
        <w:t>и</w:t>
      </w:r>
      <w:r w:rsidRPr="00E01A8A">
        <w:t>мальных оценок, необходимых для успешной сдачи экзаменов.</w:t>
      </w:r>
    </w:p>
    <w:p w:rsidR="00E01A8A" w:rsidRDefault="00E01A8A" w:rsidP="00E01A8A">
      <w:pPr>
        <w:pStyle w:val="SingleTxt"/>
      </w:pPr>
      <w:r w:rsidRPr="00E01A8A" w:rsidDel="00F00704">
        <w:t>18.</w:t>
      </w:r>
      <w:r w:rsidRPr="00E01A8A" w:rsidDel="00F00704">
        <w:tab/>
      </w:r>
      <w:r w:rsidRPr="00E01A8A">
        <w:t xml:space="preserve">Мы считаем, что содержащийся в подразделе </w:t>
      </w:r>
      <w:r w:rsidRPr="00E01A8A" w:rsidDel="00F00704">
        <w:t>1.8.3.16.1</w:t>
      </w:r>
      <w:r w:rsidRPr="00E01A8A">
        <w:t xml:space="preserve"> текст нуждается в разъяснении, поскольку экзамен на возобновление свидетельства не требует пр</w:t>
      </w:r>
      <w:r w:rsidRPr="00E01A8A">
        <w:t>о</w:t>
      </w:r>
      <w:r w:rsidRPr="00E01A8A">
        <w:t>хождения учебного курса. На практике имела место серьезная дискуссия по п</w:t>
      </w:r>
      <w:r w:rsidRPr="00E01A8A">
        <w:t>о</w:t>
      </w:r>
      <w:r w:rsidRPr="00E01A8A">
        <w:t>воду различных толкований этого текста.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2E77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A8A">
        <w:tab/>
      </w:r>
      <w:r w:rsidRPr="00E01A8A">
        <w:tab/>
        <w:t>Предложение 7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2E7768">
      <w:pPr>
        <w:pStyle w:val="SingleTxt"/>
      </w:pPr>
      <w:r w:rsidRPr="00E01A8A">
        <w:t>19.</w:t>
      </w:r>
      <w:r w:rsidRPr="00E01A8A">
        <w:tab/>
        <w:t xml:space="preserve">В подразделе 1.8.3.6.1 добавить следующее предложение: </w:t>
      </w:r>
      <w:r w:rsidR="002E7768">
        <w:t>«</w:t>
      </w:r>
      <w:r w:rsidRPr="00E01A8A">
        <w:t>Кандидату не обязательно проходить учебный курс</w:t>
      </w:r>
      <w:r w:rsidR="002E7768">
        <w:t>»</w:t>
      </w:r>
      <w:r w:rsidRPr="00E01A8A">
        <w:t>.</w:t>
      </w:r>
    </w:p>
    <w:p w:rsidR="00E01A8A" w:rsidRDefault="00031EE0" w:rsidP="002E7768">
      <w:pPr>
        <w:pStyle w:val="SingleTxt"/>
      </w:pPr>
      <w:r>
        <w:rPr>
          <w:lang w:val="x-none"/>
        </w:rPr>
        <w:br w:type="page"/>
      </w:r>
      <w:r w:rsidR="00E01A8A" w:rsidRPr="00E01A8A">
        <w:rPr>
          <w:lang w:val="x-none"/>
        </w:rPr>
        <w:lastRenderedPageBreak/>
        <w:t>20.</w:t>
      </w:r>
      <w:r w:rsidR="00E01A8A" w:rsidRPr="00E01A8A">
        <w:rPr>
          <w:lang w:val="x-none"/>
        </w:rPr>
        <w:tab/>
      </w:r>
      <w:r w:rsidR="00E01A8A" w:rsidRPr="00E01A8A">
        <w:t xml:space="preserve">В подразделе </w:t>
      </w:r>
      <w:r w:rsidR="00E01A8A" w:rsidRPr="00E01A8A">
        <w:rPr>
          <w:lang w:val="x-none"/>
        </w:rPr>
        <w:t>1.8.3.18</w:t>
      </w:r>
      <w:r w:rsidR="00E01A8A" w:rsidRPr="00E01A8A">
        <w:t xml:space="preserve"> (образец свидетельства) содержится следующая фо</w:t>
      </w:r>
      <w:r w:rsidR="00E01A8A" w:rsidRPr="00E01A8A">
        <w:t>р</w:t>
      </w:r>
      <w:r w:rsidR="00E01A8A" w:rsidRPr="00E01A8A">
        <w:t xml:space="preserve">мулировка: </w:t>
      </w:r>
      <w:r w:rsidR="002E7768">
        <w:t>«</w:t>
      </w:r>
      <w:r w:rsidR="00E01A8A" w:rsidRPr="00E01A8A">
        <w:t>Действительно до ………….. для предприятий, перевозящих опа</w:t>
      </w:r>
      <w:r w:rsidR="00E01A8A" w:rsidRPr="00E01A8A">
        <w:t>с</w:t>
      </w:r>
      <w:r w:rsidR="00E01A8A" w:rsidRPr="00E01A8A">
        <w:t>ные грузы, а также предприятий, осуществляющих упаковку, наполнение, п</w:t>
      </w:r>
      <w:r w:rsidR="00E01A8A" w:rsidRPr="00E01A8A">
        <w:t>о</w:t>
      </w:r>
      <w:r w:rsidR="00E01A8A" w:rsidRPr="00E01A8A">
        <w:t>грузку или разгрузку, связанные с такой перевозкой: …</w:t>
      </w:r>
      <w:r w:rsidR="002E7768">
        <w:t>»</w:t>
      </w:r>
      <w:r w:rsidR="00E01A8A" w:rsidRPr="00E01A8A">
        <w:t xml:space="preserve">. Как уже объяснялось в разделе </w:t>
      </w:r>
      <w:r w:rsidR="00E01A8A" w:rsidRPr="00E01A8A">
        <w:rPr>
          <w:lang w:val="en-US"/>
        </w:rPr>
        <w:t>II</w:t>
      </w:r>
      <w:r w:rsidR="00E01A8A" w:rsidRPr="00E01A8A">
        <w:t xml:space="preserve">, должны быть упомянуты все участники, в </w:t>
      </w:r>
      <w:proofErr w:type="gramStart"/>
      <w:r w:rsidR="00E01A8A" w:rsidRPr="00E01A8A">
        <w:t>связи</w:t>
      </w:r>
      <w:proofErr w:type="gramEnd"/>
      <w:r w:rsidR="00E01A8A" w:rsidRPr="00E01A8A">
        <w:t xml:space="preserve"> с чем подраздел</w:t>
      </w:r>
      <w:r w:rsidR="002E7768">
        <w:t> </w:t>
      </w:r>
      <w:r w:rsidR="00E01A8A" w:rsidRPr="00E01A8A">
        <w:rPr>
          <w:lang w:val="x-none"/>
        </w:rPr>
        <w:t>1.8.3.18</w:t>
      </w:r>
      <w:r w:rsidR="00E01A8A" w:rsidRPr="00E01A8A">
        <w:t xml:space="preserve"> должен иметь следующую формулировку: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</w:rPr>
      </w:pPr>
    </w:p>
    <w:p w:rsidR="00E01A8A" w:rsidRPr="00E01A8A" w:rsidRDefault="00E01A8A" w:rsidP="002E776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01A8A">
        <w:tab/>
      </w:r>
      <w:r w:rsidRPr="00E01A8A">
        <w:tab/>
        <w:t>Предложение 8</w:t>
      </w:r>
    </w:p>
    <w:p w:rsidR="002E7768" w:rsidRPr="002E7768" w:rsidRDefault="002E7768" w:rsidP="002E7768">
      <w:pPr>
        <w:pStyle w:val="SingleTxt"/>
        <w:spacing w:after="0" w:line="120" w:lineRule="exact"/>
        <w:rPr>
          <w:sz w:val="10"/>
          <w:lang w:val="x-none"/>
        </w:rPr>
      </w:pPr>
    </w:p>
    <w:p w:rsidR="002E7768" w:rsidRPr="002E7768" w:rsidRDefault="002E7768" w:rsidP="002E7768">
      <w:pPr>
        <w:pStyle w:val="SingleTxt"/>
        <w:spacing w:after="0" w:line="120" w:lineRule="exact"/>
        <w:rPr>
          <w:sz w:val="10"/>
          <w:lang w:val="x-none"/>
        </w:rPr>
      </w:pPr>
    </w:p>
    <w:p w:rsidR="00E01A8A" w:rsidRPr="00E01A8A" w:rsidRDefault="00E01A8A" w:rsidP="002E7768">
      <w:pPr>
        <w:pStyle w:val="SingleTxt"/>
      </w:pPr>
      <w:r w:rsidRPr="00E01A8A">
        <w:rPr>
          <w:lang w:val="x-none"/>
        </w:rPr>
        <w:t>21.</w:t>
      </w:r>
      <w:r w:rsidRPr="00E01A8A">
        <w:rPr>
          <w:lang w:val="x-none"/>
        </w:rPr>
        <w:tab/>
      </w:r>
      <w:r w:rsidRPr="00E01A8A">
        <w:t>Внести следующую поправку в восьмую строку свидетельства в подразделе</w:t>
      </w:r>
      <w:r w:rsidR="002E7768">
        <w:t> </w:t>
      </w:r>
      <w:r w:rsidRPr="00E01A8A">
        <w:rPr>
          <w:lang w:val="x-none"/>
        </w:rPr>
        <w:t>1.8.3.14</w:t>
      </w:r>
      <w:r w:rsidRPr="00E01A8A">
        <w:t xml:space="preserve"> (новый текст </w:t>
      </w:r>
      <w:r w:rsidRPr="00031EE0">
        <w:rPr>
          <w:u w:val="single"/>
        </w:rPr>
        <w:t>подчеркнут</w:t>
      </w:r>
      <w:r w:rsidRPr="00E01A8A">
        <w:t>):</w:t>
      </w:r>
    </w:p>
    <w:p w:rsidR="00E01A8A" w:rsidRDefault="002E7768" w:rsidP="002E7768">
      <w:pPr>
        <w:pStyle w:val="SingleTxt"/>
      </w:pPr>
      <w:proofErr w:type="gramStart"/>
      <w:r>
        <w:t>«</w:t>
      </w:r>
      <w:r w:rsidR="00E01A8A" w:rsidRPr="00E01A8A">
        <w:t xml:space="preserve">Действительно до ………….. для предприятий, перевозящих опасные грузы, а также предприятий, осуществляющих </w:t>
      </w:r>
      <w:r w:rsidR="00E01A8A" w:rsidRPr="00E01A8A">
        <w:rPr>
          <w:u w:val="single"/>
        </w:rPr>
        <w:t>отправку,</w:t>
      </w:r>
      <w:r w:rsidR="00E01A8A" w:rsidRPr="00E01A8A">
        <w:t xml:space="preserve"> упаковку, наполнение, погрузку или разгрузку, связанные с такой перевозкой:</w:t>
      </w:r>
      <w:r>
        <w:t xml:space="preserve"> …»</w:t>
      </w:r>
      <w:r w:rsidR="00E01A8A" w:rsidRPr="00E01A8A">
        <w:t>.</w:t>
      </w:r>
      <w:proofErr w:type="gramEnd"/>
    </w:p>
    <w:p w:rsidR="00E01A8A" w:rsidRPr="00E01A8A" w:rsidRDefault="00E01A8A" w:rsidP="00E01A8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01A8A" w:rsidRPr="00E01A8A" w:rsidSect="00B5409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E0" w:rsidRDefault="00031EE0" w:rsidP="008A1A7A">
      <w:pPr>
        <w:spacing w:line="240" w:lineRule="auto"/>
      </w:pPr>
      <w:r>
        <w:separator/>
      </w:r>
    </w:p>
  </w:endnote>
  <w:endnote w:type="continuationSeparator" w:id="0">
    <w:p w:rsidR="00031EE0" w:rsidRDefault="00031EE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31EE0" w:rsidTr="00B5409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31EE0" w:rsidRPr="00B54095" w:rsidRDefault="00031EE0" w:rsidP="00B5409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21A3F">
            <w:rPr>
              <w:noProof/>
            </w:rPr>
            <w:t>6</w:t>
          </w:r>
          <w:r>
            <w:fldChar w:fldCharType="end"/>
          </w:r>
          <w:r>
            <w:t>/</w:t>
          </w:r>
          <w:r w:rsidR="00E21A3F">
            <w:fldChar w:fldCharType="begin"/>
          </w:r>
          <w:r w:rsidR="00E21A3F">
            <w:instrText xml:space="preserve"> NUMPAGES  \* Arabic  \* MERGEFORMAT </w:instrText>
          </w:r>
          <w:r w:rsidR="00E21A3F">
            <w:fldChar w:fldCharType="separate"/>
          </w:r>
          <w:r w:rsidR="00E21A3F">
            <w:rPr>
              <w:noProof/>
            </w:rPr>
            <w:t>7</w:t>
          </w:r>
          <w:r w:rsidR="00E21A3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31EE0" w:rsidRPr="00B54095" w:rsidRDefault="00031EE0" w:rsidP="00B5409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21A3F">
            <w:rPr>
              <w:b w:val="0"/>
              <w:color w:val="000000"/>
              <w:sz w:val="14"/>
            </w:rPr>
            <w:t>GE.15-22654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31EE0" w:rsidRPr="00B54095" w:rsidRDefault="00031EE0" w:rsidP="00B54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31EE0" w:rsidTr="00B5409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31EE0" w:rsidRPr="00B54095" w:rsidRDefault="00031EE0" w:rsidP="00B5409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21A3F">
            <w:rPr>
              <w:b w:val="0"/>
              <w:color w:val="000000"/>
              <w:sz w:val="14"/>
            </w:rPr>
            <w:t>GE.15-22654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31EE0" w:rsidRPr="00B54095" w:rsidRDefault="00031EE0" w:rsidP="00B5409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21A3F">
            <w:rPr>
              <w:noProof/>
            </w:rPr>
            <w:t>7</w:t>
          </w:r>
          <w:r>
            <w:fldChar w:fldCharType="end"/>
          </w:r>
          <w:r>
            <w:t>/</w:t>
          </w:r>
          <w:r w:rsidR="00E21A3F">
            <w:fldChar w:fldCharType="begin"/>
          </w:r>
          <w:r w:rsidR="00E21A3F">
            <w:instrText xml:space="preserve"> NUMPAGES  \* Arabic  \* MERGEFORMAT </w:instrText>
          </w:r>
          <w:r w:rsidR="00E21A3F">
            <w:fldChar w:fldCharType="separate"/>
          </w:r>
          <w:r w:rsidR="00E21A3F">
            <w:rPr>
              <w:noProof/>
            </w:rPr>
            <w:t>7</w:t>
          </w:r>
          <w:r w:rsidR="00E21A3F">
            <w:rPr>
              <w:noProof/>
            </w:rPr>
            <w:fldChar w:fldCharType="end"/>
          </w:r>
        </w:p>
      </w:tc>
    </w:tr>
  </w:tbl>
  <w:p w:rsidR="00031EE0" w:rsidRPr="00B54095" w:rsidRDefault="00031EE0" w:rsidP="00B54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31EE0" w:rsidTr="00B54095">
      <w:tc>
        <w:tcPr>
          <w:tcW w:w="3873" w:type="dxa"/>
        </w:tcPr>
        <w:p w:rsidR="00031EE0" w:rsidRDefault="00031EE0" w:rsidP="00B5409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93325CA" wp14:editId="2A3D8AE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GE.15-22654 (R)</w:t>
          </w:r>
          <w:r>
            <w:rPr>
              <w:color w:val="010000"/>
            </w:rPr>
            <w:t xml:space="preserve">    220116    250116</w:t>
          </w:r>
        </w:p>
        <w:p w:rsidR="00031EE0" w:rsidRPr="00B54095" w:rsidRDefault="00031EE0" w:rsidP="00B5409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*1522654*</w:t>
          </w:r>
        </w:p>
      </w:tc>
      <w:tc>
        <w:tcPr>
          <w:tcW w:w="5127" w:type="dxa"/>
        </w:tcPr>
        <w:p w:rsidR="00031EE0" w:rsidRDefault="00031EE0" w:rsidP="00B5409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6069590" wp14:editId="15A4806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1EE0" w:rsidRPr="00B54095" w:rsidRDefault="00031EE0" w:rsidP="00B5409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E0" w:rsidRPr="0003037B" w:rsidRDefault="00031EE0" w:rsidP="0003037B">
      <w:pPr>
        <w:pStyle w:val="Footer"/>
        <w:spacing w:after="80"/>
        <w:ind w:left="792"/>
        <w:rPr>
          <w:sz w:val="16"/>
        </w:rPr>
      </w:pPr>
      <w:r w:rsidRPr="0003037B">
        <w:rPr>
          <w:sz w:val="16"/>
        </w:rPr>
        <w:t>__________________</w:t>
      </w:r>
    </w:p>
  </w:footnote>
  <w:footnote w:type="continuationSeparator" w:id="0">
    <w:p w:rsidR="00031EE0" w:rsidRPr="0003037B" w:rsidRDefault="00031EE0" w:rsidP="0003037B">
      <w:pPr>
        <w:pStyle w:val="Footer"/>
        <w:spacing w:after="80"/>
        <w:ind w:left="792"/>
        <w:rPr>
          <w:sz w:val="16"/>
        </w:rPr>
      </w:pPr>
      <w:r w:rsidRPr="0003037B">
        <w:rPr>
          <w:sz w:val="16"/>
        </w:rPr>
        <w:t>__________________</w:t>
      </w:r>
    </w:p>
  </w:footnote>
  <w:footnote w:id="1">
    <w:p w:rsidR="00031EE0" w:rsidRPr="006E5117" w:rsidRDefault="00031EE0" w:rsidP="0003037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661F36">
        <w:t xml:space="preserve">В соответствии с программой работы Комитета по внутреннему транспорту </w:t>
      </w:r>
      <w:r>
        <w:br/>
      </w:r>
      <w:r w:rsidRPr="00661F36">
        <w:t>на 201</w:t>
      </w:r>
      <w:r>
        <w:t>6</w:t>
      </w:r>
      <w:r w:rsidRPr="00661F36">
        <w:t>−201</w:t>
      </w:r>
      <w:r>
        <w:t>7</w:t>
      </w:r>
      <w:r w:rsidRPr="00661F36">
        <w:t xml:space="preserve"> годы (</w:t>
      </w:r>
      <w:r>
        <w:t>ECE/TRANS/WP.15/2015/19 (9.2)</w:t>
      </w:r>
      <w:r w:rsidRPr="00661F36">
        <w:t>)</w:t>
      </w:r>
      <w:r>
        <w:t>.</w:t>
      </w:r>
    </w:p>
  </w:footnote>
  <w:footnote w:id="2">
    <w:p w:rsidR="00031EE0" w:rsidRPr="00696D6B" w:rsidRDefault="00031EE0" w:rsidP="0003037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661F36">
        <w:t>Распространено Межправительственной организацией по международным железнодорожным перевозкам (ОТИФ) под условным обозначением</w:t>
      </w:r>
      <w:r>
        <w:t xml:space="preserve"> </w:t>
      </w:r>
      <w:r w:rsidRPr="00561474">
        <w:t>OTIF/RID/RC/201</w:t>
      </w:r>
      <w:r>
        <w:t>6</w:t>
      </w:r>
      <w:r w:rsidRPr="00561474">
        <w:t>/</w:t>
      </w:r>
      <w:r>
        <w:t>3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31EE0" w:rsidTr="00B5409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31EE0" w:rsidRPr="00B54095" w:rsidRDefault="00031EE0" w:rsidP="00B5409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21A3F">
            <w:rPr>
              <w:b/>
            </w:rPr>
            <w:t>ECE/TRANS/WP.15/AC.1/2016/3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31EE0" w:rsidRDefault="00031EE0" w:rsidP="00B54095">
          <w:pPr>
            <w:pStyle w:val="Header"/>
          </w:pPr>
        </w:p>
      </w:tc>
    </w:tr>
  </w:tbl>
  <w:p w:rsidR="00031EE0" w:rsidRPr="00B54095" w:rsidRDefault="00031EE0" w:rsidP="00B54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31EE0" w:rsidTr="00B5409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31EE0" w:rsidRDefault="00031EE0" w:rsidP="00B5409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31EE0" w:rsidRPr="00B54095" w:rsidRDefault="00031EE0" w:rsidP="00B5409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21A3F">
            <w:rPr>
              <w:b/>
            </w:rPr>
            <w:t>ECE/TRANS/WP.15/AC.1/2016/3</w:t>
          </w:r>
          <w:r>
            <w:rPr>
              <w:b/>
            </w:rPr>
            <w:fldChar w:fldCharType="end"/>
          </w:r>
        </w:p>
      </w:tc>
    </w:tr>
  </w:tbl>
  <w:p w:rsidR="00031EE0" w:rsidRPr="00B54095" w:rsidRDefault="00031EE0" w:rsidP="00B54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31EE0" w:rsidTr="00B5409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31EE0" w:rsidRPr="00B54095" w:rsidRDefault="00031EE0" w:rsidP="00B5409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31EE0" w:rsidRDefault="00031EE0" w:rsidP="00B5409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31EE0" w:rsidRPr="00B54095" w:rsidRDefault="00031EE0" w:rsidP="00B5409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/TRANS/WP.15/AC.1/2016/3</w:t>
          </w:r>
        </w:p>
      </w:tc>
    </w:tr>
    <w:tr w:rsidR="00031EE0" w:rsidRPr="00FA32E6" w:rsidTr="00B5409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EE0" w:rsidRPr="00B54095" w:rsidRDefault="00031EE0" w:rsidP="00B5409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B1C6967" wp14:editId="5C043A0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EE0" w:rsidRPr="00B54095" w:rsidRDefault="00031EE0" w:rsidP="00B5409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EE0" w:rsidRPr="00B54095" w:rsidRDefault="00031EE0" w:rsidP="00B5409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1EE0" w:rsidRPr="00990EEA" w:rsidRDefault="00031EE0" w:rsidP="00B54095">
          <w:pPr>
            <w:pStyle w:val="Distribution"/>
            <w:rPr>
              <w:color w:val="000000"/>
              <w:lang w:val="en-US"/>
            </w:rPr>
          </w:pPr>
          <w:r w:rsidRPr="00990EEA">
            <w:rPr>
              <w:color w:val="000000"/>
              <w:lang w:val="en-US"/>
            </w:rPr>
            <w:t>Distr.: General</w:t>
          </w:r>
        </w:p>
        <w:p w:rsidR="00031EE0" w:rsidRPr="00990EEA" w:rsidRDefault="00031EE0" w:rsidP="000705B9">
          <w:pPr>
            <w:pStyle w:val="Publication"/>
            <w:rPr>
              <w:color w:val="000000"/>
              <w:lang w:val="en-US"/>
            </w:rPr>
          </w:pPr>
          <w:r w:rsidRPr="00990EEA">
            <w:rPr>
              <w:color w:val="000000"/>
              <w:lang w:val="en-US"/>
            </w:rPr>
            <w:t>22 December 2015</w:t>
          </w:r>
        </w:p>
        <w:p w:rsidR="00031EE0" w:rsidRPr="00990EEA" w:rsidRDefault="00031EE0" w:rsidP="00B54095">
          <w:pPr>
            <w:rPr>
              <w:color w:val="000000"/>
              <w:lang w:val="en-US"/>
            </w:rPr>
          </w:pPr>
          <w:r w:rsidRPr="00990EEA">
            <w:rPr>
              <w:color w:val="000000"/>
              <w:lang w:val="en-US"/>
            </w:rPr>
            <w:t>Russian</w:t>
          </w:r>
        </w:p>
        <w:p w:rsidR="00031EE0" w:rsidRPr="00990EEA" w:rsidRDefault="00031EE0" w:rsidP="00B54095">
          <w:pPr>
            <w:pStyle w:val="Original"/>
            <w:rPr>
              <w:color w:val="000000"/>
              <w:lang w:val="en-US"/>
            </w:rPr>
          </w:pPr>
          <w:r w:rsidRPr="00990EEA">
            <w:rPr>
              <w:color w:val="000000"/>
              <w:lang w:val="en-US"/>
            </w:rPr>
            <w:t>Original: English</w:t>
          </w:r>
        </w:p>
        <w:p w:rsidR="00031EE0" w:rsidRPr="00990EEA" w:rsidRDefault="00031EE0" w:rsidP="00B54095">
          <w:pPr>
            <w:rPr>
              <w:lang w:val="en-US"/>
            </w:rPr>
          </w:pPr>
        </w:p>
      </w:tc>
    </w:tr>
  </w:tbl>
  <w:p w:rsidR="00031EE0" w:rsidRPr="00990EEA" w:rsidRDefault="00031EE0" w:rsidP="00B5409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54*"/>
    <w:docVar w:name="CreationDt" w:val="1/25/2016 8:38: AM"/>
    <w:docVar w:name="DocCategory" w:val="Doc"/>
    <w:docVar w:name="DocType" w:val="Final"/>
    <w:docVar w:name="DutyStation" w:val="Geneva"/>
    <w:docVar w:name="FooterJN" w:val="GE.15-22654"/>
    <w:docVar w:name="jobn" w:val="GE.15-22654 (R)"/>
    <w:docVar w:name="jobnDT" w:val="GE.15-22654 (R)   250116"/>
    <w:docVar w:name="jobnDTDT" w:val="GE.15-22654 (R)   250116   250116"/>
    <w:docVar w:name="JobNo" w:val="GE.1522654R"/>
    <w:docVar w:name="JobNo2" w:val="1528915R"/>
    <w:docVar w:name="LocalDrive" w:val="0"/>
    <w:docVar w:name="OandT" w:val=" "/>
    <w:docVar w:name="PaperSize" w:val="A4"/>
    <w:docVar w:name="sss1" w:val="ECE/TRANS/WP.15/AC.1/2016/3"/>
    <w:docVar w:name="sss2" w:val="-"/>
    <w:docVar w:name="Symbol1" w:val="ECE/TRANS/WP.15/AC.1/2016/3"/>
    <w:docVar w:name="Symbol2" w:val="-"/>
  </w:docVars>
  <w:rsids>
    <w:rsidRoot w:val="00EE6972"/>
    <w:rsid w:val="00003304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037B"/>
    <w:rsid w:val="00031EE0"/>
    <w:rsid w:val="00033C1F"/>
    <w:rsid w:val="00041A49"/>
    <w:rsid w:val="000513EF"/>
    <w:rsid w:val="0005420D"/>
    <w:rsid w:val="00055EA2"/>
    <w:rsid w:val="00067A5A"/>
    <w:rsid w:val="00067A90"/>
    <w:rsid w:val="000705B9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77D"/>
    <w:rsid w:val="000A4A11"/>
    <w:rsid w:val="000B02B7"/>
    <w:rsid w:val="000B066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98D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5E78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5D15"/>
    <w:rsid w:val="002A712C"/>
    <w:rsid w:val="002A718F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7768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1073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49B5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371F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2C04"/>
    <w:rsid w:val="00716BC5"/>
    <w:rsid w:val="007170E5"/>
    <w:rsid w:val="00723115"/>
    <w:rsid w:val="00723A18"/>
    <w:rsid w:val="00724550"/>
    <w:rsid w:val="00726A54"/>
    <w:rsid w:val="00730859"/>
    <w:rsid w:val="00731830"/>
    <w:rsid w:val="00733498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96110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56B7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0EEA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4095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04FE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2E0A"/>
    <w:rsid w:val="00DB326E"/>
    <w:rsid w:val="00DC1E7E"/>
    <w:rsid w:val="00DC31D2"/>
    <w:rsid w:val="00DC7A5F"/>
    <w:rsid w:val="00DD0CE6"/>
    <w:rsid w:val="00DD6A66"/>
    <w:rsid w:val="00DE0D15"/>
    <w:rsid w:val="00DF1CF0"/>
    <w:rsid w:val="00DF2B0F"/>
    <w:rsid w:val="00DF6656"/>
    <w:rsid w:val="00DF7388"/>
    <w:rsid w:val="00E01A8A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1A3F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1A3C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6972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1501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2025"/>
    <w:rsid w:val="00FA32E6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5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9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9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5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9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9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2ECF-8F6E-4E5B-BB9F-A0D4786C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barrio-champeau</cp:lastModifiedBy>
  <cp:revision>4</cp:revision>
  <cp:lastPrinted>2016-02-24T13:38:00Z</cp:lastPrinted>
  <dcterms:created xsi:type="dcterms:W3CDTF">2016-02-24T13:38:00Z</dcterms:created>
  <dcterms:modified xsi:type="dcterms:W3CDTF">2016-02-24T13:39:00Z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1522654R</vt:lpwstr>
  </property>
  <property fmtid="{D5CDD505-2E9C-101B-9397-08002B2CF9AE}" pid="3" name="ODSRefJobNo">
    <vt:lpwstr>1528915R</vt:lpwstr>
  </property>
  <property fmtid="{D5CDD505-2E9C-101B-9397-08002B2CF9AE}" pid="4" name="Symbol1">
    <vt:lpwstr>ECE/TRANS/WP.15/AC.1/2016/3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250116</vt:lpwstr>
  </property>
</Properties>
</file>