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70BC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70BC2" w:rsidP="00270BC2">
            <w:pPr>
              <w:jc w:val="right"/>
            </w:pPr>
            <w:r w:rsidRPr="00270BC2">
              <w:rPr>
                <w:sz w:val="40"/>
              </w:rPr>
              <w:t>ECE</w:t>
            </w:r>
            <w:r>
              <w:t>/TRANS/WP.15/AC.1/2016/25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70BC2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270BC2" w:rsidRDefault="00270BC2" w:rsidP="00270BC2">
            <w:pPr>
              <w:spacing w:line="240" w:lineRule="exact"/>
            </w:pPr>
            <w:r>
              <w:t>29 juin 2016</w:t>
            </w:r>
          </w:p>
          <w:p w:rsidR="00270BC2" w:rsidRDefault="00270BC2" w:rsidP="00270BC2">
            <w:pPr>
              <w:spacing w:line="240" w:lineRule="exact"/>
            </w:pPr>
            <w:r>
              <w:t>Français</w:t>
            </w:r>
          </w:p>
          <w:p w:rsidR="00270BC2" w:rsidRPr="00DB58B5" w:rsidRDefault="00270BC2" w:rsidP="00270BC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70BC2" w:rsidRPr="009E01B8" w:rsidRDefault="00270BC2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270BC2" w:rsidRPr="00926E87" w:rsidRDefault="00270BC2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bookmarkStart w:id="0" w:name="_GoBack"/>
      <w:bookmarkEnd w:id="0"/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270BC2" w:rsidRDefault="00270BC2" w:rsidP="00786CDB">
      <w:r>
        <w:t xml:space="preserve">Genève, </w:t>
      </w:r>
      <w:r w:rsidRPr="007B6504">
        <w:rPr>
          <w:szCs w:val="24"/>
        </w:rPr>
        <w:t>19</w:t>
      </w:r>
      <w:r>
        <w:rPr>
          <w:szCs w:val="24"/>
        </w:rPr>
        <w:t>-</w:t>
      </w:r>
      <w:r w:rsidRPr="007B6504">
        <w:rPr>
          <w:szCs w:val="24"/>
        </w:rPr>
        <w:t>23</w:t>
      </w:r>
      <w:r w:rsidR="00421C15">
        <w:rPr>
          <w:szCs w:val="24"/>
        </w:rPr>
        <w:t> </w:t>
      </w:r>
      <w:r w:rsidRPr="007B6504">
        <w:rPr>
          <w:szCs w:val="24"/>
        </w:rPr>
        <w:t>septembre 2016</w:t>
      </w:r>
    </w:p>
    <w:p w:rsidR="00270BC2" w:rsidRDefault="00270BC2" w:rsidP="00AF0CB5">
      <w:r w:rsidRPr="00B93E72">
        <w:t xml:space="preserve">Point </w:t>
      </w:r>
      <w:r>
        <w:t>2</w:t>
      </w:r>
      <w:r w:rsidRPr="00B93E72">
        <w:t xml:space="preserve"> de l’ordre du jour provisoire</w:t>
      </w:r>
    </w:p>
    <w:p w:rsidR="00270BC2" w:rsidRPr="00D042BE" w:rsidRDefault="00270BC2" w:rsidP="00270BC2">
      <w:pPr>
        <w:rPr>
          <w:b/>
          <w:lang w:val="fr-FR"/>
        </w:rPr>
      </w:pPr>
      <w:r w:rsidRPr="00270BC2">
        <w:rPr>
          <w:b/>
        </w:rPr>
        <w:t>Citernes</w:t>
      </w:r>
    </w:p>
    <w:p w:rsidR="00270BC2" w:rsidRPr="00912D18" w:rsidRDefault="00270BC2" w:rsidP="00270BC2">
      <w:pPr>
        <w:pStyle w:val="HChG"/>
        <w:rPr>
          <w:rFonts w:eastAsia="SimSun"/>
          <w:lang w:eastAsia="zh-CN"/>
        </w:rPr>
      </w:pPr>
      <w:r w:rsidRPr="00431116">
        <w:rPr>
          <w:lang/>
        </w:rPr>
        <w:tab/>
      </w:r>
      <w:r w:rsidRPr="00431116">
        <w:rPr>
          <w:lang/>
        </w:rPr>
        <w:tab/>
      </w:r>
      <w:r w:rsidRPr="007F2B7C">
        <w:rPr>
          <w:spacing w:val="2"/>
        </w:rPr>
        <w:t>P</w:t>
      </w:r>
      <w:r w:rsidRPr="007F2B7C">
        <w:rPr>
          <w:spacing w:val="2"/>
          <w:lang/>
        </w:rPr>
        <w:t>rescription générale</w:t>
      </w:r>
      <w:r w:rsidRPr="007F2B7C">
        <w:rPr>
          <w:rFonts w:eastAsia="SimSun"/>
          <w:spacing w:val="2"/>
          <w:lang w:eastAsia="zh-CN"/>
        </w:rPr>
        <w:t xml:space="preserve"> </w:t>
      </w:r>
      <w:r w:rsidRPr="007F2B7C">
        <w:rPr>
          <w:rFonts w:eastAsia="SimSun"/>
          <w:spacing w:val="2"/>
          <w:lang w:eastAsia="zh-CN"/>
        </w:rPr>
        <w:t>concernant les soupapes de sécurité</w:t>
      </w:r>
      <w:r>
        <w:rPr>
          <w:rFonts w:eastAsia="SimSun"/>
          <w:lang w:eastAsia="zh-CN"/>
        </w:rPr>
        <w:t xml:space="preserve"> </w:t>
      </w:r>
      <w:r w:rsidRPr="007F2B7C">
        <w:rPr>
          <w:rFonts w:eastAsia="SimSun"/>
          <w:spacing w:val="-2"/>
          <w:lang w:eastAsia="zh-CN"/>
        </w:rPr>
        <w:t>des</w:t>
      </w:r>
      <w:r w:rsidR="007F2B7C" w:rsidRPr="007F2B7C">
        <w:rPr>
          <w:rFonts w:eastAsia="SimSun"/>
          <w:spacing w:val="-2"/>
          <w:lang w:eastAsia="zh-CN"/>
        </w:rPr>
        <w:t> </w:t>
      </w:r>
      <w:r w:rsidRPr="007F2B7C">
        <w:rPr>
          <w:rFonts w:eastAsia="SimSun"/>
          <w:spacing w:val="-2"/>
          <w:lang w:eastAsia="zh-CN"/>
        </w:rPr>
        <w:t xml:space="preserve">citernes et la </w:t>
      </w:r>
      <w:r w:rsidRPr="007F2B7C">
        <w:rPr>
          <w:rFonts w:eastAsia="SimSun"/>
          <w:spacing w:val="-2"/>
          <w:lang w:eastAsia="zh-CN"/>
        </w:rPr>
        <w:t xml:space="preserve">pression nominale </w:t>
      </w:r>
      <w:r w:rsidRPr="007F2B7C">
        <w:rPr>
          <w:rFonts w:eastAsia="SimSun"/>
          <w:spacing w:val="-2"/>
          <w:lang w:eastAsia="zh-CN"/>
        </w:rPr>
        <w:t xml:space="preserve">des disques de rupture </w:t>
      </w:r>
    </w:p>
    <w:p w:rsidR="00F9573C" w:rsidRDefault="00270BC2" w:rsidP="00270BC2">
      <w:pPr>
        <w:pStyle w:val="H1G"/>
      </w:pPr>
      <w:r w:rsidRPr="00912D18">
        <w:tab/>
      </w:r>
      <w:r w:rsidRPr="00912D18">
        <w:tab/>
        <w:t>Communication du Gouvernement des Pays-Bas</w:t>
      </w:r>
      <w:r w:rsidR="00F300CA" w:rsidRPr="00F300CA">
        <w:rPr>
          <w:rStyle w:val="Appelnotedebasdep"/>
          <w:b w:val="0"/>
        </w:rPr>
        <w:footnoteReference w:id="2"/>
      </w:r>
      <w:r w:rsidR="00F300CA" w:rsidRPr="00F300CA">
        <w:rPr>
          <w:b w:val="0"/>
          <w:position w:val="6"/>
          <w:sz w:val="18"/>
          <w:szCs w:val="18"/>
        </w:rPr>
        <w:t xml:space="preserve">, </w:t>
      </w:r>
      <w:r w:rsidR="00F300CA" w:rsidRPr="00F300CA">
        <w:rPr>
          <w:rStyle w:val="Appelnotedebasdep"/>
          <w:b w:val="0"/>
        </w:rPr>
        <w:footnoteReference w:id="3"/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/>
      </w:tblPr>
      <w:tblGrid>
        <w:gridCol w:w="9637"/>
      </w:tblGrid>
      <w:tr w:rsidR="00270BC2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270BC2" w:rsidRPr="000001E7" w:rsidRDefault="00270BC2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270BC2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270BC2" w:rsidRDefault="00270BC2" w:rsidP="00877418">
            <w:pPr>
              <w:pStyle w:val="SingleTxtG"/>
              <w:ind w:left="2552" w:hanging="2268"/>
            </w:pPr>
            <w:r w:rsidRPr="00BE1868">
              <w:rPr>
                <w:b/>
              </w:rPr>
              <w:t>Résumé analytique</w:t>
            </w:r>
            <w:r>
              <w:rPr>
                <w:b/>
              </w:rPr>
              <w:t> </w:t>
            </w:r>
            <w:r w:rsidRPr="00BE1868">
              <w:rPr>
                <w:b/>
              </w:rPr>
              <w:t xml:space="preserve">: </w:t>
            </w:r>
            <w:r w:rsidR="00877418">
              <w:rPr>
                <w:b/>
              </w:rPr>
              <w:tab/>
            </w:r>
            <w:r w:rsidRPr="00BE1868">
              <w:t xml:space="preserve">La présente proposition vise à éviter </w:t>
            </w:r>
            <w:r>
              <w:t>l’i</w:t>
            </w:r>
            <w:r w:rsidRPr="00BE1868">
              <w:t xml:space="preserve">ntervention superflue des autorités compétentes </w:t>
            </w:r>
            <w:r>
              <w:t xml:space="preserve">et contient des prescriptions de base pour les </w:t>
            </w:r>
            <w:r w:rsidRPr="00BE1868">
              <w:t>soupapes de sécurité</w:t>
            </w:r>
            <w:r>
              <w:t xml:space="preserve"> en conformité avec le chapitre </w:t>
            </w:r>
            <w:r w:rsidRPr="00BE1868">
              <w:t xml:space="preserve">6.7. </w:t>
            </w:r>
          </w:p>
        </w:tc>
      </w:tr>
      <w:tr w:rsidR="00270BC2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270BC2" w:rsidRDefault="00270BC2" w:rsidP="00877418">
            <w:pPr>
              <w:pStyle w:val="SingleTxtG"/>
              <w:ind w:left="2552" w:hanging="2268"/>
            </w:pPr>
            <w:r w:rsidRPr="00912D18">
              <w:rPr>
                <w:b/>
              </w:rPr>
              <w:t>Mesure à prendre</w:t>
            </w:r>
            <w:r>
              <w:rPr>
                <w:b/>
              </w:rPr>
              <w:t> </w:t>
            </w:r>
            <w:r w:rsidRPr="00912D18">
              <w:rPr>
                <w:b/>
              </w:rPr>
              <w:t xml:space="preserve">: </w:t>
            </w:r>
            <w:r w:rsidRPr="00912D18">
              <w:rPr>
                <w:b/>
              </w:rPr>
              <w:tab/>
            </w:r>
            <w:r w:rsidRPr="00BE1868">
              <w:t>Modifier le paragraphe</w:t>
            </w:r>
            <w:r>
              <w:rPr>
                <w:b/>
              </w:rPr>
              <w:t xml:space="preserve"> </w:t>
            </w:r>
            <w:r w:rsidRPr="00912D18">
              <w:t>6.8.2.2.10.</w:t>
            </w:r>
          </w:p>
        </w:tc>
      </w:tr>
      <w:tr w:rsidR="00270BC2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270BC2" w:rsidRDefault="00270BC2" w:rsidP="00506B28">
            <w:pPr>
              <w:pStyle w:val="SingleTxtG"/>
              <w:ind w:left="2552" w:hanging="2268"/>
            </w:pPr>
            <w:r w:rsidRPr="00912D18">
              <w:rPr>
                <w:b/>
              </w:rPr>
              <w:t>Documents de référence</w:t>
            </w:r>
            <w:r w:rsidR="00506B28">
              <w:rPr>
                <w:b/>
              </w:rPr>
              <w:t> </w:t>
            </w:r>
            <w:r w:rsidRPr="00912D18">
              <w:rPr>
                <w:b/>
              </w:rPr>
              <w:t>:</w:t>
            </w:r>
            <w:r w:rsidR="00506B28">
              <w:rPr>
                <w:b/>
              </w:rPr>
              <w:tab/>
            </w:r>
            <w:r w:rsidRPr="007B6504">
              <w:t>D</w:t>
            </w:r>
            <w:r w:rsidRPr="00912D18">
              <w:t xml:space="preserve">ocument </w:t>
            </w:r>
            <w:r>
              <w:t xml:space="preserve">informel </w:t>
            </w:r>
            <w:r w:rsidRPr="00912D18">
              <w:t xml:space="preserve">INF.13 </w:t>
            </w:r>
            <w:r>
              <w:t>de la session du printemps 20</w:t>
            </w:r>
            <w:r w:rsidRPr="00912D18">
              <w:t>16.</w:t>
            </w:r>
          </w:p>
        </w:tc>
      </w:tr>
      <w:tr w:rsidR="00270BC2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270BC2" w:rsidRDefault="00270BC2" w:rsidP="00216E0F"/>
        </w:tc>
      </w:tr>
    </w:tbl>
    <w:p w:rsidR="00DC5A12" w:rsidRDefault="00DC5A12" w:rsidP="00506B28">
      <w:pPr>
        <w:pStyle w:val="HChG"/>
      </w:pPr>
    </w:p>
    <w:p w:rsidR="00270BC2" w:rsidRPr="00431116" w:rsidRDefault="001D59EE" w:rsidP="00506B28">
      <w:pPr>
        <w:pStyle w:val="HChG"/>
      </w:pPr>
      <w:r>
        <w:br w:type="page"/>
      </w:r>
      <w:r w:rsidR="00270BC2" w:rsidRPr="00431116">
        <w:lastRenderedPageBreak/>
        <w:tab/>
      </w:r>
      <w:r w:rsidR="00270BC2" w:rsidRPr="00431116">
        <w:tab/>
        <w:t>Introduction</w:t>
      </w:r>
    </w:p>
    <w:p w:rsidR="00270BC2" w:rsidRPr="00664AA0" w:rsidRDefault="00270BC2" w:rsidP="00D57A0F">
      <w:pPr>
        <w:pStyle w:val="SingleTxtG"/>
        <w:numPr>
          <w:ilvl w:val="0"/>
          <w:numId w:val="15"/>
        </w:numPr>
        <w:ind w:left="1134" w:firstLine="0"/>
      </w:pPr>
      <w:r w:rsidRPr="004C2F44">
        <w:t xml:space="preserve">Lorsqu’une soupape de sécurité est utilisée sur une citerne </w:t>
      </w:r>
      <w:r>
        <w:t xml:space="preserve">fermée </w:t>
      </w:r>
      <w:r w:rsidRPr="004C2F44">
        <w:t>hermétiquement</w:t>
      </w:r>
      <w:r>
        <w:t>,</w:t>
      </w:r>
      <w:r w:rsidRPr="004C2F44">
        <w:t xml:space="preserve"> </w:t>
      </w:r>
      <w:r>
        <w:t>c’est à l’autorité compétente qu’il incombe de fixer l</w:t>
      </w:r>
      <w:r w:rsidRPr="004C2F44">
        <w:t xml:space="preserve">es </w:t>
      </w:r>
      <w:r>
        <w:t xml:space="preserve">prescriptions relatives à la soupape de sécurité et au disque de rupture. </w:t>
      </w:r>
      <w:r w:rsidRPr="000C4176">
        <w:t xml:space="preserve">En pratique, l’autorité compétente prescrit généralement le rapport de pression </w:t>
      </w:r>
      <w:r>
        <w:t>entre le disque de rupture et la soupape de sécurité qui est utilisé au chapitre</w:t>
      </w:r>
      <w:r w:rsidRPr="000C4176">
        <w:t xml:space="preserve"> 6.7. </w:t>
      </w:r>
      <w:r>
        <w:t xml:space="preserve">C’est une solution pratique qui a fait ses preuves et les informations pertinentes sont largement accessibles. Afin d’éviter </w:t>
      </w:r>
      <w:r w:rsidRPr="00664AA0">
        <w:t>l</w:t>
      </w:r>
      <w:r>
        <w:t>’</w:t>
      </w:r>
      <w:r w:rsidRPr="00664AA0">
        <w:t>intervention superflue des autorités compétentes</w:t>
      </w:r>
      <w:r>
        <w:t xml:space="preserve"> et par souci d’harmonisation il est proposé d’introduire le rapport de pression du chapitre 6.7 au paragraphe </w:t>
      </w:r>
      <w:r w:rsidRPr="00664AA0">
        <w:t>6.8.2.2.10.</w:t>
      </w:r>
    </w:p>
    <w:p w:rsidR="00270BC2" w:rsidRPr="00B050B8" w:rsidRDefault="00270BC2" w:rsidP="00877418">
      <w:pPr>
        <w:pStyle w:val="SingleTxtG"/>
        <w:numPr>
          <w:ilvl w:val="0"/>
          <w:numId w:val="15"/>
        </w:numPr>
        <w:ind w:left="1134" w:firstLine="0"/>
        <w:rPr>
          <w:szCs w:val="24"/>
        </w:rPr>
      </w:pPr>
      <w:r w:rsidRPr="00B050B8">
        <w:rPr>
          <w:szCs w:val="24"/>
        </w:rPr>
        <w:t>Comparées à celle du chapitre 6.7, les prescriptions générales d</w:t>
      </w:r>
      <w:r>
        <w:rPr>
          <w:szCs w:val="24"/>
        </w:rPr>
        <w:t xml:space="preserve">e la section </w:t>
      </w:r>
      <w:r w:rsidRPr="00B050B8">
        <w:rPr>
          <w:szCs w:val="24"/>
        </w:rPr>
        <w:t>6.</w:t>
      </w:r>
      <w:r>
        <w:rPr>
          <w:szCs w:val="24"/>
        </w:rPr>
        <w:t xml:space="preserve">8.2 sont plutôt limitées. </w:t>
      </w:r>
      <w:r w:rsidRPr="00B050B8">
        <w:rPr>
          <w:szCs w:val="24"/>
        </w:rPr>
        <w:t>Il est propos</w:t>
      </w:r>
      <w:r>
        <w:rPr>
          <w:szCs w:val="24"/>
        </w:rPr>
        <w:t>é</w:t>
      </w:r>
      <w:r w:rsidRPr="00B050B8">
        <w:rPr>
          <w:szCs w:val="24"/>
        </w:rPr>
        <w:t xml:space="preserve"> de </w:t>
      </w:r>
      <w:r>
        <w:rPr>
          <w:szCs w:val="24"/>
        </w:rPr>
        <w:t xml:space="preserve">s’inspirer du chapitre 6.7 pour </w:t>
      </w:r>
      <w:r w:rsidRPr="00B050B8">
        <w:rPr>
          <w:szCs w:val="24"/>
        </w:rPr>
        <w:t>compléter les prescriptions applicables aux soupapes de sécurité.</w:t>
      </w:r>
    </w:p>
    <w:p w:rsidR="00270BC2" w:rsidRPr="00431116" w:rsidRDefault="00270BC2" w:rsidP="00270BC2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300" w:lineRule="exact"/>
        <w:ind w:left="1134" w:right="1134" w:hanging="1134"/>
        <w:rPr>
          <w:b/>
          <w:sz w:val="28"/>
          <w:lang w:val="en-US"/>
        </w:rPr>
      </w:pPr>
      <w:r w:rsidRPr="00431116">
        <w:rPr>
          <w:b/>
          <w:sz w:val="28"/>
          <w:lang/>
        </w:rPr>
        <w:tab/>
      </w:r>
      <w:r w:rsidRPr="00431116">
        <w:rPr>
          <w:b/>
          <w:sz w:val="28"/>
          <w:lang/>
        </w:rPr>
        <w:tab/>
        <w:t>Propos</w:t>
      </w:r>
      <w:r w:rsidRPr="00B050B8">
        <w:rPr>
          <w:b/>
          <w:sz w:val="28"/>
          <w:lang w:val="en-US"/>
        </w:rPr>
        <w:t>itions</w:t>
      </w:r>
    </w:p>
    <w:p w:rsidR="00270BC2" w:rsidRPr="007B6504" w:rsidRDefault="00270BC2" w:rsidP="00506B28">
      <w:pPr>
        <w:pStyle w:val="SingleTxtG"/>
        <w:numPr>
          <w:ilvl w:val="0"/>
          <w:numId w:val="15"/>
        </w:numPr>
        <w:ind w:left="1134" w:firstLine="0"/>
        <w:rPr>
          <w:rFonts w:eastAsia="SimSun"/>
          <w:b/>
          <w:szCs w:val="24"/>
          <w:lang w:val="en-GB" w:eastAsia="zh-CN"/>
        </w:rPr>
      </w:pPr>
      <w:r w:rsidRPr="00B22948">
        <w:rPr>
          <w:rFonts w:eastAsia="SimSun"/>
          <w:b/>
          <w:szCs w:val="24"/>
          <w:lang w:val="en-GB" w:eastAsia="zh-CN"/>
        </w:rPr>
        <w:t>Propos</w:t>
      </w:r>
      <w:r>
        <w:rPr>
          <w:rFonts w:eastAsia="SimSun"/>
          <w:b/>
          <w:szCs w:val="24"/>
          <w:lang w:val="en-GB" w:eastAsia="zh-CN"/>
        </w:rPr>
        <w:t xml:space="preserve">ition </w:t>
      </w:r>
      <w:r w:rsidRPr="00B22948">
        <w:rPr>
          <w:rFonts w:eastAsia="SimSun"/>
          <w:b/>
          <w:szCs w:val="24"/>
          <w:lang w:val="en-GB" w:eastAsia="zh-CN"/>
        </w:rPr>
        <w:t>1</w:t>
      </w:r>
      <w:r w:rsidRPr="007B6504">
        <w:rPr>
          <w:rFonts w:eastAsia="SimSun"/>
          <w:b/>
          <w:szCs w:val="24"/>
          <w:lang w:val="en-GB" w:eastAsia="zh-CN"/>
        </w:rPr>
        <w:t xml:space="preserve"> </w:t>
      </w:r>
    </w:p>
    <w:p w:rsidR="00270BC2" w:rsidRPr="00B050B8" w:rsidRDefault="00270BC2" w:rsidP="00506B28">
      <w:pPr>
        <w:pStyle w:val="SingleTxtG"/>
        <w:rPr>
          <w:rFonts w:eastAsia="SimSun"/>
          <w:szCs w:val="24"/>
          <w:lang w:eastAsia="zh-CN"/>
        </w:rPr>
      </w:pPr>
      <w:r w:rsidRPr="00877418">
        <w:t>Ajouter</w:t>
      </w:r>
      <w:r w:rsidRPr="00B050B8">
        <w:rPr>
          <w:rFonts w:eastAsia="SimSun"/>
          <w:szCs w:val="24"/>
          <w:lang w:eastAsia="zh-CN"/>
        </w:rPr>
        <w:t xml:space="preserve"> une nouve</w:t>
      </w:r>
      <w:r>
        <w:rPr>
          <w:rFonts w:eastAsia="SimSun"/>
          <w:szCs w:val="24"/>
          <w:lang w:eastAsia="zh-CN"/>
        </w:rPr>
        <w:t>lle première partie d</w:t>
      </w:r>
      <w:r w:rsidRPr="00B050B8">
        <w:rPr>
          <w:rFonts w:eastAsia="SimSun"/>
          <w:szCs w:val="24"/>
          <w:lang w:eastAsia="zh-CN"/>
        </w:rPr>
        <w:t>u paragraphe 6.8.2.2.10 ainsi conçu</w:t>
      </w:r>
      <w:r>
        <w:rPr>
          <w:rFonts w:eastAsia="SimSun"/>
          <w:szCs w:val="24"/>
          <w:lang w:eastAsia="zh-CN"/>
        </w:rPr>
        <w:t>e</w:t>
      </w:r>
      <w:r w:rsidRPr="00B050B8">
        <w:rPr>
          <w:rFonts w:eastAsia="SimSun"/>
          <w:szCs w:val="24"/>
          <w:lang w:eastAsia="zh-CN"/>
        </w:rPr>
        <w:t xml:space="preserve"> (nouveau texte </w:t>
      </w:r>
      <w:r w:rsidRPr="00B050B8">
        <w:rPr>
          <w:rFonts w:eastAsia="SimSun"/>
          <w:i/>
          <w:szCs w:val="24"/>
          <w:lang w:eastAsia="zh-CN"/>
        </w:rPr>
        <w:t>en italique</w:t>
      </w:r>
      <w:r w:rsidRPr="00506B28">
        <w:rPr>
          <w:rFonts w:eastAsia="SimSun"/>
          <w:szCs w:val="24"/>
          <w:lang w:eastAsia="zh-CN"/>
        </w:rPr>
        <w:t>)</w:t>
      </w:r>
      <w:r w:rsidR="00506B28" w:rsidRPr="00506B28">
        <w:rPr>
          <w:rFonts w:eastAsia="SimSun"/>
          <w:szCs w:val="24"/>
          <w:lang w:eastAsia="zh-CN"/>
        </w:rPr>
        <w:t> </w:t>
      </w:r>
      <w:r w:rsidRPr="00506B28">
        <w:rPr>
          <w:rFonts w:eastAsia="SimSun"/>
          <w:szCs w:val="24"/>
          <w:lang w:eastAsia="zh-CN"/>
        </w:rPr>
        <w:t>:</w:t>
      </w:r>
      <w:r w:rsidRPr="00B050B8">
        <w:rPr>
          <w:rFonts w:eastAsia="SimSun"/>
          <w:szCs w:val="24"/>
          <w:lang w:eastAsia="zh-CN"/>
        </w:rPr>
        <w:t xml:space="preserve"> </w:t>
      </w:r>
    </w:p>
    <w:p w:rsidR="00270BC2" w:rsidRPr="000F1BC9" w:rsidRDefault="00506B28" w:rsidP="00506B28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SimSun"/>
          <w:i/>
          <w:szCs w:val="24"/>
          <w:lang w:eastAsia="zh-CN"/>
        </w:rPr>
      </w:pPr>
      <w:r>
        <w:rPr>
          <w:rFonts w:eastAsia="SimSun"/>
          <w:szCs w:val="24"/>
          <w:lang w:eastAsia="zh-CN"/>
        </w:rPr>
        <w:t>« </w:t>
      </w:r>
      <w:r w:rsidR="00270BC2" w:rsidRPr="00B050B8">
        <w:rPr>
          <w:rFonts w:eastAsia="SimSun"/>
          <w:szCs w:val="24"/>
          <w:lang w:eastAsia="zh-CN"/>
        </w:rPr>
        <w:t>6.8.2.2.10</w:t>
      </w:r>
      <w:r w:rsidR="00270BC2" w:rsidRPr="00B050B8">
        <w:rPr>
          <w:rFonts w:eastAsia="SimSun"/>
          <w:i/>
          <w:szCs w:val="24"/>
          <w:lang w:eastAsia="zh-CN"/>
        </w:rPr>
        <w:tab/>
        <w:t>Les soupapes de sécurité doivent être à ressort et conçues de manière à empêcher la pénétration de substances étrangères</w:t>
      </w:r>
      <w:r w:rsidR="00270BC2">
        <w:rPr>
          <w:rFonts w:eastAsia="SimSun"/>
          <w:i/>
          <w:szCs w:val="24"/>
          <w:lang w:eastAsia="zh-CN"/>
        </w:rPr>
        <w:t xml:space="preserve">, </w:t>
      </w:r>
      <w:r w:rsidR="00270BC2" w:rsidRPr="00B050B8">
        <w:rPr>
          <w:rFonts w:eastAsia="SimSun"/>
          <w:i/>
          <w:szCs w:val="24"/>
          <w:lang w:eastAsia="zh-CN"/>
        </w:rPr>
        <w:t xml:space="preserve">la formation de toute surpression dangereuse </w:t>
      </w:r>
      <w:r w:rsidR="00270BC2">
        <w:rPr>
          <w:rFonts w:eastAsia="SimSun"/>
          <w:i/>
          <w:szCs w:val="24"/>
          <w:lang w:eastAsia="zh-CN"/>
        </w:rPr>
        <w:t xml:space="preserve">et </w:t>
      </w:r>
      <w:r w:rsidR="00270BC2" w:rsidRPr="000F1BC9">
        <w:rPr>
          <w:rFonts w:eastAsia="SimSun"/>
          <w:i/>
          <w:szCs w:val="24"/>
          <w:lang w:eastAsia="zh-CN"/>
        </w:rPr>
        <w:t>la fuite du liquide</w:t>
      </w:r>
      <w:r w:rsidR="00270BC2">
        <w:rPr>
          <w:rFonts w:eastAsia="SimSun"/>
          <w:i/>
          <w:szCs w:val="24"/>
          <w:lang w:eastAsia="zh-CN"/>
        </w:rPr>
        <w:t xml:space="preserve"> ou de gaz.</w:t>
      </w:r>
    </w:p>
    <w:p w:rsidR="00270BC2" w:rsidRPr="00F67CE3" w:rsidRDefault="00270BC2" w:rsidP="00506B2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ind w:left="2268" w:right="1134"/>
        <w:jc w:val="both"/>
        <w:rPr>
          <w:rFonts w:eastAsia="SimSun"/>
          <w:i/>
          <w:szCs w:val="24"/>
          <w:lang w:eastAsia="zh-CN"/>
        </w:rPr>
      </w:pPr>
      <w:r w:rsidRPr="000F1BC9">
        <w:rPr>
          <w:rFonts w:eastAsia="SimSun"/>
          <w:szCs w:val="24"/>
          <w:lang w:eastAsia="zh-CN"/>
        </w:rPr>
        <w:tab/>
      </w:r>
      <w:r w:rsidRPr="000F1BC9">
        <w:rPr>
          <w:rFonts w:eastAsia="SimSun"/>
          <w:i/>
          <w:szCs w:val="24"/>
          <w:lang w:eastAsia="zh-CN"/>
        </w:rPr>
        <w:t>Les soupapes de sécurité doivent s’ouvrir automatiquement à une pression qui ne soit pas inférieure à la pression maximale de service et être en pleine ouverture à une pression égale à 110</w:t>
      </w:r>
      <w:r w:rsidR="00506B28">
        <w:rPr>
          <w:rFonts w:eastAsia="SimSun"/>
          <w:i/>
          <w:szCs w:val="24"/>
          <w:lang w:eastAsia="zh-CN"/>
        </w:rPr>
        <w:t> </w:t>
      </w:r>
      <w:r w:rsidRPr="000F1BC9">
        <w:rPr>
          <w:rFonts w:eastAsia="SimSun"/>
          <w:i/>
          <w:szCs w:val="24"/>
          <w:lang w:eastAsia="zh-CN"/>
        </w:rPr>
        <w:t xml:space="preserve">% de </w:t>
      </w:r>
      <w:r>
        <w:rPr>
          <w:rFonts w:eastAsia="SimSun"/>
          <w:i/>
          <w:szCs w:val="24"/>
          <w:lang w:eastAsia="zh-CN"/>
        </w:rPr>
        <w:t xml:space="preserve">cette même </w:t>
      </w:r>
      <w:r w:rsidRPr="000F1BC9">
        <w:rPr>
          <w:rFonts w:eastAsia="SimSun"/>
          <w:i/>
          <w:szCs w:val="24"/>
          <w:lang w:eastAsia="zh-CN"/>
        </w:rPr>
        <w:t>pression maximale de service.</w:t>
      </w:r>
      <w:r>
        <w:rPr>
          <w:rFonts w:eastAsia="SimSun"/>
          <w:i/>
          <w:szCs w:val="24"/>
          <w:lang w:eastAsia="zh-CN"/>
        </w:rPr>
        <w:t xml:space="preserve"> </w:t>
      </w:r>
      <w:r w:rsidRPr="000F1BC9">
        <w:rPr>
          <w:rFonts w:eastAsia="SimSun"/>
          <w:i/>
          <w:szCs w:val="24"/>
          <w:lang w:eastAsia="zh-CN"/>
        </w:rPr>
        <w:t xml:space="preserve">Après vidange, </w:t>
      </w:r>
      <w:r>
        <w:rPr>
          <w:rFonts w:eastAsia="SimSun"/>
          <w:i/>
          <w:szCs w:val="24"/>
          <w:lang w:eastAsia="zh-CN"/>
        </w:rPr>
        <w:t xml:space="preserve">elles doivent </w:t>
      </w:r>
      <w:r w:rsidRPr="000F1BC9">
        <w:rPr>
          <w:rFonts w:eastAsia="SimSun"/>
          <w:i/>
          <w:szCs w:val="24"/>
          <w:lang w:eastAsia="zh-CN"/>
        </w:rPr>
        <w:t>se fermer à une pression qui ne soit pas inférieure à 10</w:t>
      </w:r>
      <w:r w:rsidR="00506B28">
        <w:rPr>
          <w:rFonts w:eastAsia="SimSun"/>
          <w:i/>
          <w:szCs w:val="24"/>
          <w:lang w:eastAsia="zh-CN"/>
        </w:rPr>
        <w:t> </w:t>
      </w:r>
      <w:r w:rsidRPr="000F1BC9">
        <w:rPr>
          <w:rFonts w:eastAsia="SimSun"/>
          <w:i/>
          <w:szCs w:val="24"/>
          <w:lang w:eastAsia="zh-CN"/>
        </w:rPr>
        <w:t xml:space="preserve">% de la pression </w:t>
      </w:r>
      <w:r w:rsidRPr="0093732B">
        <w:rPr>
          <w:rFonts w:eastAsia="SimSun"/>
          <w:i/>
          <w:szCs w:val="24"/>
          <w:lang w:eastAsia="zh-CN"/>
        </w:rPr>
        <w:t xml:space="preserve">de début d’ouverture </w:t>
      </w:r>
      <w:r w:rsidRPr="000F1BC9">
        <w:rPr>
          <w:rFonts w:eastAsia="SimSun"/>
          <w:i/>
          <w:szCs w:val="24"/>
          <w:lang w:eastAsia="zh-CN"/>
        </w:rPr>
        <w:t>et doi</w:t>
      </w:r>
      <w:r>
        <w:rPr>
          <w:rFonts w:eastAsia="SimSun"/>
          <w:i/>
          <w:szCs w:val="24"/>
          <w:lang w:eastAsia="zh-CN"/>
        </w:rPr>
        <w:t>ven</w:t>
      </w:r>
      <w:r w:rsidRPr="000F1BC9">
        <w:rPr>
          <w:rFonts w:eastAsia="SimSun"/>
          <w:i/>
          <w:szCs w:val="24"/>
          <w:lang w:eastAsia="zh-CN"/>
        </w:rPr>
        <w:t>t rester fermé</w:t>
      </w:r>
      <w:r>
        <w:rPr>
          <w:rFonts w:eastAsia="SimSun"/>
          <w:i/>
          <w:szCs w:val="24"/>
          <w:lang w:eastAsia="zh-CN"/>
        </w:rPr>
        <w:t>es</w:t>
      </w:r>
      <w:r w:rsidRPr="000F1BC9">
        <w:rPr>
          <w:rFonts w:eastAsia="SimSun"/>
          <w:i/>
          <w:szCs w:val="24"/>
          <w:lang w:eastAsia="zh-CN"/>
        </w:rPr>
        <w:t xml:space="preserve"> à toute pression inférieure.</w:t>
      </w:r>
      <w:r>
        <w:rPr>
          <w:rFonts w:eastAsia="SimSun"/>
          <w:i/>
          <w:szCs w:val="24"/>
          <w:lang w:eastAsia="zh-CN"/>
        </w:rPr>
        <w:t xml:space="preserve"> </w:t>
      </w:r>
      <w:r w:rsidRPr="009E3032">
        <w:rPr>
          <w:rFonts w:eastAsia="SimSun"/>
          <w:i/>
          <w:szCs w:val="24"/>
          <w:lang w:eastAsia="zh-CN"/>
        </w:rPr>
        <w:t xml:space="preserve">Les soupapes de sécurité doivent </w:t>
      </w:r>
      <w:r>
        <w:rPr>
          <w:rFonts w:eastAsia="SimSun"/>
          <w:i/>
          <w:szCs w:val="24"/>
          <w:lang w:eastAsia="zh-CN"/>
        </w:rPr>
        <w:t xml:space="preserve">être d’un type </w:t>
      </w:r>
      <w:r w:rsidRPr="009E3032">
        <w:rPr>
          <w:rFonts w:eastAsia="SimSun"/>
          <w:i/>
          <w:szCs w:val="24"/>
          <w:lang w:eastAsia="zh-CN"/>
        </w:rPr>
        <w:t xml:space="preserve">capable de résister à des forces dynamiques, notamment </w:t>
      </w:r>
      <w:r>
        <w:rPr>
          <w:rFonts w:eastAsia="SimSun"/>
          <w:i/>
          <w:szCs w:val="24"/>
          <w:lang w:eastAsia="zh-CN"/>
        </w:rPr>
        <w:t>au</w:t>
      </w:r>
      <w:r w:rsidRPr="009E3032">
        <w:rPr>
          <w:rFonts w:eastAsia="SimSun"/>
          <w:i/>
          <w:szCs w:val="24"/>
          <w:lang w:eastAsia="zh-CN"/>
        </w:rPr>
        <w:t xml:space="preserve"> reflux</w:t>
      </w:r>
      <w:r w:rsidRPr="00F67CE3">
        <w:rPr>
          <w:rFonts w:eastAsia="SimSun"/>
          <w:i/>
          <w:szCs w:val="24"/>
          <w:lang w:eastAsia="zh-CN"/>
        </w:rPr>
        <w:t>.</w:t>
      </w:r>
      <w:r w:rsidR="00506B28" w:rsidRPr="00506B28">
        <w:rPr>
          <w:rFonts w:eastAsia="SimSun"/>
          <w:szCs w:val="24"/>
          <w:lang w:eastAsia="zh-CN"/>
        </w:rPr>
        <w:t> »</w:t>
      </w:r>
      <w:r w:rsidRPr="00506B28">
        <w:rPr>
          <w:rFonts w:eastAsia="SimSun"/>
          <w:szCs w:val="24"/>
          <w:lang w:eastAsia="zh-CN"/>
        </w:rPr>
        <w:t>.</w:t>
      </w:r>
    </w:p>
    <w:p w:rsidR="00270BC2" w:rsidRPr="00F67CE3" w:rsidRDefault="00270BC2" w:rsidP="00506B28">
      <w:pPr>
        <w:pStyle w:val="SingleTxtG"/>
        <w:numPr>
          <w:ilvl w:val="0"/>
          <w:numId w:val="15"/>
        </w:numPr>
        <w:ind w:left="1134" w:firstLine="0"/>
        <w:rPr>
          <w:rFonts w:eastAsia="SimSun"/>
          <w:szCs w:val="24"/>
          <w:lang w:eastAsia="zh-CN"/>
        </w:rPr>
      </w:pPr>
      <w:r w:rsidRPr="00F67CE3">
        <w:rPr>
          <w:rFonts w:eastAsia="SimSun"/>
          <w:b/>
          <w:szCs w:val="24"/>
          <w:lang w:eastAsia="zh-CN"/>
        </w:rPr>
        <w:t>Proposition 2</w:t>
      </w:r>
    </w:p>
    <w:p w:rsidR="00270BC2" w:rsidRPr="00F67CE3" w:rsidRDefault="00270BC2" w:rsidP="00506B28">
      <w:pPr>
        <w:pStyle w:val="SingleTxtG"/>
        <w:rPr>
          <w:rFonts w:eastAsia="SimSun"/>
          <w:szCs w:val="24"/>
          <w:lang w:eastAsia="zh-CN"/>
        </w:rPr>
      </w:pPr>
      <w:r w:rsidRPr="00F67CE3">
        <w:rPr>
          <w:rFonts w:eastAsia="SimSun"/>
          <w:szCs w:val="24"/>
          <w:lang w:eastAsia="zh-CN"/>
        </w:rPr>
        <w:t>Modifier la deuxième partie du paragraphe 6.8.2.2.10</w:t>
      </w:r>
      <w:r>
        <w:rPr>
          <w:rFonts w:eastAsia="SimSun"/>
          <w:szCs w:val="24"/>
          <w:lang w:eastAsia="zh-CN"/>
        </w:rPr>
        <w:t>,</w:t>
      </w:r>
      <w:r w:rsidRPr="00F67CE3">
        <w:rPr>
          <w:rFonts w:eastAsia="SimSun"/>
          <w:szCs w:val="24"/>
          <w:lang w:eastAsia="zh-CN"/>
        </w:rPr>
        <w:t xml:space="preserve"> comme suit (nouveau texte </w:t>
      </w:r>
      <w:r w:rsidRPr="00F67CE3">
        <w:rPr>
          <w:rFonts w:eastAsia="SimSun"/>
          <w:i/>
          <w:szCs w:val="24"/>
          <w:lang w:eastAsia="zh-CN"/>
        </w:rPr>
        <w:t>en italique</w:t>
      </w:r>
      <w:r w:rsidRPr="00F67CE3">
        <w:rPr>
          <w:rFonts w:eastAsia="SimSun"/>
          <w:szCs w:val="24"/>
          <w:lang w:eastAsia="zh-CN"/>
        </w:rPr>
        <w:t xml:space="preserve">, texte supprimé </w:t>
      </w:r>
      <w:r w:rsidRPr="00227363">
        <w:rPr>
          <w:rFonts w:eastAsia="SimSun"/>
          <w:szCs w:val="24"/>
          <w:lang w:eastAsia="zh-CN"/>
        </w:rPr>
        <w:t xml:space="preserve">en caractères </w:t>
      </w:r>
      <w:r w:rsidRPr="00227363">
        <w:rPr>
          <w:rFonts w:eastAsia="SimSun"/>
          <w:strike/>
          <w:szCs w:val="24"/>
          <w:lang w:eastAsia="zh-CN"/>
        </w:rPr>
        <w:t>biffés</w:t>
      </w:r>
      <w:r w:rsidRPr="00F67CE3">
        <w:rPr>
          <w:rFonts w:eastAsia="SimSun"/>
          <w:szCs w:val="24"/>
          <w:lang w:eastAsia="zh-CN"/>
        </w:rPr>
        <w:t>)</w:t>
      </w:r>
      <w:r w:rsidR="00506B28">
        <w:rPr>
          <w:rFonts w:eastAsia="SimSun"/>
          <w:szCs w:val="24"/>
          <w:lang w:eastAsia="zh-CN"/>
        </w:rPr>
        <w:t> </w:t>
      </w:r>
      <w:r w:rsidRPr="00F67CE3">
        <w:rPr>
          <w:rFonts w:eastAsia="SimSun"/>
          <w:szCs w:val="24"/>
          <w:lang w:eastAsia="zh-CN"/>
        </w:rPr>
        <w:t>:</w:t>
      </w:r>
    </w:p>
    <w:p w:rsidR="00270BC2" w:rsidRDefault="00270BC2" w:rsidP="00270BC2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ind w:left="2268" w:right="1134"/>
        <w:jc w:val="both"/>
        <w:rPr>
          <w:rFonts w:eastAsia="SimSun"/>
          <w:szCs w:val="24"/>
          <w:lang w:eastAsia="zh-CN"/>
        </w:rPr>
      </w:pPr>
      <w:r w:rsidRPr="00334C4A">
        <w:rPr>
          <w:rFonts w:eastAsia="SimSun"/>
          <w:szCs w:val="24"/>
          <w:lang w:eastAsia="zh-CN"/>
        </w:rPr>
        <w:t>Si les citernes considérées comme étant hermétiquement fermées sont équipées de soupapes de sécurité, celles-ci doivent être précédées d’un disque de rupture et les conditions ci-après doivent être observées</w:t>
      </w:r>
      <w:r w:rsidR="00506B28">
        <w:rPr>
          <w:rFonts w:eastAsia="SimSun"/>
          <w:szCs w:val="24"/>
          <w:lang w:eastAsia="zh-CN"/>
        </w:rPr>
        <w:t> :</w:t>
      </w:r>
    </w:p>
    <w:p w:rsidR="00270BC2" w:rsidRDefault="00270BC2" w:rsidP="00270BC2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ind w:left="2268" w:right="1134"/>
        <w:jc w:val="both"/>
        <w:rPr>
          <w:rFonts w:eastAsia="SimSun"/>
          <w:szCs w:val="24"/>
          <w:lang w:eastAsia="zh-CN"/>
        </w:rPr>
      </w:pPr>
      <w:r w:rsidRPr="00334C4A">
        <w:rPr>
          <w:rFonts w:eastAsia="SimSun"/>
          <w:i/>
          <w:szCs w:val="24"/>
          <w:lang w:eastAsia="zh-CN"/>
        </w:rPr>
        <w:t>L</w:t>
      </w:r>
      <w:r>
        <w:rPr>
          <w:rFonts w:eastAsia="SimSun"/>
          <w:i/>
          <w:szCs w:val="24"/>
          <w:lang w:eastAsia="zh-CN"/>
        </w:rPr>
        <w:t xml:space="preserve">e </w:t>
      </w:r>
      <w:r w:rsidRPr="00334C4A">
        <w:rPr>
          <w:rFonts w:eastAsia="SimSun"/>
          <w:i/>
          <w:szCs w:val="24"/>
          <w:lang w:eastAsia="zh-CN"/>
        </w:rPr>
        <w:t xml:space="preserve">disque de rupture doit </w:t>
      </w:r>
      <w:r>
        <w:rPr>
          <w:rFonts w:eastAsia="SimSun"/>
          <w:i/>
          <w:szCs w:val="24"/>
          <w:lang w:eastAsia="zh-CN"/>
        </w:rPr>
        <w:t xml:space="preserve">céder </w:t>
      </w:r>
      <w:r w:rsidRPr="00334C4A">
        <w:rPr>
          <w:rFonts w:eastAsia="SimSun"/>
          <w:i/>
          <w:szCs w:val="24"/>
          <w:lang w:eastAsia="zh-CN"/>
        </w:rPr>
        <w:t>à une pression nominale supérieure de 10</w:t>
      </w:r>
      <w:r w:rsidR="00506B28">
        <w:rPr>
          <w:rFonts w:eastAsia="SimSun"/>
          <w:i/>
          <w:szCs w:val="24"/>
          <w:lang w:eastAsia="zh-CN"/>
        </w:rPr>
        <w:t> </w:t>
      </w:r>
      <w:r w:rsidRPr="00334C4A">
        <w:rPr>
          <w:rFonts w:eastAsia="SimSun"/>
          <w:i/>
          <w:szCs w:val="24"/>
          <w:lang w:eastAsia="zh-CN"/>
        </w:rPr>
        <w:t xml:space="preserve">% à la pression </w:t>
      </w:r>
      <w:r w:rsidRPr="004C2F44">
        <w:rPr>
          <w:rFonts w:eastAsia="SimSun"/>
          <w:i/>
          <w:szCs w:val="24"/>
          <w:lang w:eastAsia="zh-CN"/>
        </w:rPr>
        <w:t>de début d’ouverture</w:t>
      </w:r>
      <w:r>
        <w:rPr>
          <w:rFonts w:eastAsia="SimSun"/>
          <w:i/>
          <w:szCs w:val="24"/>
          <w:lang w:eastAsia="zh-CN"/>
        </w:rPr>
        <w:t xml:space="preserve"> de la soupape de sécurité.</w:t>
      </w:r>
      <w:r w:rsidR="001D59EE">
        <w:rPr>
          <w:rFonts w:eastAsia="SimSun"/>
          <w:i/>
          <w:szCs w:val="24"/>
          <w:lang w:eastAsia="zh-CN"/>
        </w:rPr>
        <w:t xml:space="preserve"> </w:t>
      </w:r>
      <w:r w:rsidRPr="004C2F44">
        <w:rPr>
          <w:rFonts w:eastAsia="SimSun"/>
          <w:strike/>
          <w:szCs w:val="24"/>
          <w:lang w:eastAsia="zh-CN"/>
        </w:rPr>
        <w:t>La disposition du disque de rupture et de la soupape de sécurité doit satisfaire l’autorité compétente</w:t>
      </w:r>
      <w:r w:rsidRPr="00334C4A">
        <w:rPr>
          <w:rFonts w:eastAsia="SimSun"/>
          <w:szCs w:val="24"/>
          <w:lang w:eastAsia="zh-CN"/>
        </w:rPr>
        <w:t xml:space="preserve">. Il </w:t>
      </w:r>
      <w:r>
        <w:rPr>
          <w:rFonts w:eastAsia="SimSun"/>
          <w:szCs w:val="24"/>
          <w:lang w:eastAsia="zh-CN"/>
        </w:rPr>
        <w:t xml:space="preserve">faut </w:t>
      </w:r>
      <w:r w:rsidRPr="00334C4A">
        <w:rPr>
          <w:rFonts w:eastAsia="SimSun"/>
          <w:szCs w:val="24"/>
          <w:lang w:eastAsia="zh-CN"/>
        </w:rPr>
        <w:t>install</w:t>
      </w:r>
      <w:r>
        <w:rPr>
          <w:rFonts w:eastAsia="SimSun"/>
          <w:szCs w:val="24"/>
          <w:lang w:eastAsia="zh-CN"/>
        </w:rPr>
        <w:t>er</w:t>
      </w:r>
      <w:r w:rsidRPr="00334C4A">
        <w:rPr>
          <w:rFonts w:eastAsia="SimSun"/>
          <w:szCs w:val="24"/>
          <w:lang w:eastAsia="zh-CN"/>
        </w:rPr>
        <w:t xml:space="preserve"> un manomètre ou un autre indicateur approprié dans l’espace entre le disque de rupture et la soupape de sécurité pour permettre de détecter </w:t>
      </w:r>
      <w:r>
        <w:rPr>
          <w:rFonts w:eastAsia="SimSun"/>
          <w:szCs w:val="24"/>
          <w:lang w:eastAsia="zh-CN"/>
        </w:rPr>
        <w:t xml:space="preserve">toute </w:t>
      </w:r>
      <w:r w:rsidRPr="00334C4A">
        <w:rPr>
          <w:rFonts w:eastAsia="SimSun"/>
          <w:szCs w:val="24"/>
          <w:lang w:eastAsia="zh-CN"/>
        </w:rPr>
        <w:t>rupture, perforation ou fuite du disque</w:t>
      </w:r>
      <w:r w:rsidRPr="0093732B">
        <w:rPr>
          <w:rFonts w:eastAsia="SimSun"/>
          <w:strike/>
          <w:szCs w:val="24"/>
          <w:lang w:eastAsia="zh-CN"/>
        </w:rPr>
        <w:t xml:space="preserve">, </w:t>
      </w:r>
      <w:r w:rsidRPr="004C2F44">
        <w:rPr>
          <w:rFonts w:eastAsia="SimSun"/>
          <w:strike/>
          <w:szCs w:val="24"/>
          <w:lang w:eastAsia="zh-CN"/>
        </w:rPr>
        <w:t>susceptible de nuire à l’efficacité de la soupape de sécurité</w:t>
      </w:r>
      <w:r>
        <w:rPr>
          <w:rFonts w:eastAsia="SimSun"/>
          <w:szCs w:val="24"/>
          <w:lang w:eastAsia="zh-CN"/>
        </w:rPr>
        <w:t>.</w:t>
      </w:r>
    </w:p>
    <w:p w:rsidR="00111BE1" w:rsidRDefault="00111BE1" w:rsidP="00DC5A12">
      <w:pPr>
        <w:pStyle w:val="SingleTxtG"/>
        <w:keepNext/>
        <w:numPr>
          <w:ilvl w:val="0"/>
          <w:numId w:val="15"/>
        </w:numPr>
        <w:ind w:left="1134" w:firstLine="0"/>
        <w:rPr>
          <w:rFonts w:eastAsia="SimSun"/>
          <w:szCs w:val="24"/>
          <w:lang w:eastAsia="zh-CN"/>
        </w:rPr>
      </w:pPr>
      <w:r w:rsidRPr="00227363">
        <w:rPr>
          <w:rFonts w:eastAsia="SimSun"/>
          <w:b/>
          <w:szCs w:val="24"/>
          <w:lang w:eastAsia="zh-CN"/>
        </w:rPr>
        <w:lastRenderedPageBreak/>
        <w:t>Proposition 3</w:t>
      </w:r>
    </w:p>
    <w:p w:rsidR="00270BC2" w:rsidRPr="008834B6" w:rsidRDefault="00270BC2" w:rsidP="00506B28">
      <w:pPr>
        <w:pStyle w:val="SingleTxtG"/>
        <w:rPr>
          <w:rFonts w:eastAsia="SimSun"/>
          <w:szCs w:val="24"/>
          <w:lang w:eastAsia="zh-CN"/>
        </w:rPr>
      </w:pPr>
      <w:r w:rsidRPr="00227363">
        <w:rPr>
          <w:rFonts w:eastAsia="SimSun"/>
          <w:szCs w:val="24"/>
          <w:lang w:eastAsia="zh-CN"/>
        </w:rPr>
        <w:t>Introduire</w:t>
      </w:r>
      <w:r w:rsidR="001D59EE">
        <w:rPr>
          <w:rFonts w:eastAsia="SimSun"/>
          <w:szCs w:val="24"/>
          <w:lang w:eastAsia="zh-CN"/>
        </w:rPr>
        <w:t xml:space="preserve"> </w:t>
      </w:r>
      <w:r w:rsidRPr="00227363">
        <w:rPr>
          <w:rFonts w:eastAsia="SimSun"/>
          <w:szCs w:val="24"/>
          <w:lang w:eastAsia="zh-CN"/>
        </w:rPr>
        <w:t xml:space="preserve">une nouvelle mesure transitoire </w:t>
      </w:r>
      <w:r>
        <w:rPr>
          <w:rFonts w:eastAsia="SimSun"/>
          <w:szCs w:val="24"/>
          <w:lang w:eastAsia="zh-CN"/>
        </w:rPr>
        <w:t xml:space="preserve">en cas d’utilisation de </w:t>
      </w:r>
      <w:r w:rsidRPr="008834B6">
        <w:rPr>
          <w:rFonts w:eastAsia="SimSun"/>
          <w:szCs w:val="24"/>
          <w:lang w:eastAsia="zh-CN"/>
        </w:rPr>
        <w:t>disque</w:t>
      </w:r>
      <w:r>
        <w:rPr>
          <w:rFonts w:eastAsia="SimSun"/>
          <w:szCs w:val="24"/>
          <w:lang w:eastAsia="zh-CN"/>
        </w:rPr>
        <w:t>s</w:t>
      </w:r>
      <w:r w:rsidRPr="008834B6">
        <w:rPr>
          <w:rFonts w:eastAsia="SimSun"/>
          <w:szCs w:val="24"/>
          <w:lang w:eastAsia="zh-CN"/>
        </w:rPr>
        <w:t xml:space="preserve"> de rupture </w:t>
      </w:r>
      <w:r>
        <w:rPr>
          <w:rFonts w:eastAsia="SimSun"/>
          <w:szCs w:val="24"/>
          <w:lang w:eastAsia="zh-CN"/>
        </w:rPr>
        <w:t xml:space="preserve">avec des valeurs différentes </w:t>
      </w:r>
      <w:r w:rsidRPr="008834B6">
        <w:rPr>
          <w:rFonts w:eastAsia="SimSun"/>
          <w:szCs w:val="24"/>
          <w:lang w:eastAsia="zh-CN"/>
        </w:rPr>
        <w:t>(</w:t>
      </w:r>
      <w:r w:rsidRPr="00F67CE3">
        <w:rPr>
          <w:rFonts w:eastAsia="SimSun"/>
          <w:szCs w:val="24"/>
          <w:lang w:eastAsia="zh-CN"/>
        </w:rPr>
        <w:t xml:space="preserve">nouveau texte </w:t>
      </w:r>
      <w:r w:rsidRPr="00F67CE3">
        <w:rPr>
          <w:rFonts w:eastAsia="SimSun"/>
          <w:i/>
          <w:szCs w:val="24"/>
          <w:lang w:eastAsia="zh-CN"/>
        </w:rPr>
        <w:t>en italique</w:t>
      </w:r>
      <w:r w:rsidRPr="008834B6">
        <w:rPr>
          <w:rFonts w:eastAsia="SimSun"/>
          <w:szCs w:val="24"/>
          <w:lang w:eastAsia="zh-CN"/>
        </w:rPr>
        <w:t>)</w:t>
      </w:r>
      <w:r w:rsidR="00506B28">
        <w:rPr>
          <w:rFonts w:eastAsia="SimSun"/>
          <w:szCs w:val="24"/>
          <w:lang w:eastAsia="zh-CN"/>
        </w:rPr>
        <w:t> </w:t>
      </w:r>
      <w:r w:rsidRPr="008834B6">
        <w:rPr>
          <w:rFonts w:eastAsia="SimSun"/>
          <w:szCs w:val="24"/>
          <w:lang w:eastAsia="zh-CN"/>
        </w:rPr>
        <w:t>:</w:t>
      </w:r>
    </w:p>
    <w:p w:rsidR="00270BC2" w:rsidRPr="00A80BD5" w:rsidRDefault="00506B28" w:rsidP="00270BC2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ind w:left="2268" w:right="1134" w:hanging="1134"/>
        <w:jc w:val="both"/>
        <w:rPr>
          <w:rFonts w:eastAsia="SimSun"/>
          <w:b/>
          <w:i/>
          <w:szCs w:val="24"/>
          <w:lang w:eastAsia="zh-CN"/>
        </w:rPr>
      </w:pPr>
      <w:r>
        <w:rPr>
          <w:rFonts w:eastAsia="SimSun"/>
          <w:szCs w:val="24"/>
          <w:lang w:eastAsia="zh-CN"/>
        </w:rPr>
        <w:t>« </w:t>
      </w:r>
      <w:r w:rsidR="00270BC2" w:rsidRPr="008834B6">
        <w:rPr>
          <w:rFonts w:eastAsia="SimSun"/>
          <w:szCs w:val="24"/>
          <w:lang w:eastAsia="zh-CN"/>
        </w:rPr>
        <w:t xml:space="preserve">1.6.3.yy/1.6.4.xx </w:t>
      </w:r>
      <w:r w:rsidR="00270BC2" w:rsidRPr="008834B6">
        <w:rPr>
          <w:rFonts w:eastAsia="SimSun"/>
          <w:i/>
          <w:szCs w:val="24"/>
          <w:lang w:eastAsia="zh-CN"/>
        </w:rPr>
        <w:t>Les citernes fixes (véhicules-citernes)</w:t>
      </w:r>
      <w:r w:rsidR="00270BC2">
        <w:rPr>
          <w:rFonts w:eastAsia="SimSun"/>
          <w:i/>
          <w:szCs w:val="24"/>
          <w:lang w:eastAsia="zh-CN"/>
        </w:rPr>
        <w:t xml:space="preserve"> </w:t>
      </w:r>
      <w:r w:rsidR="00270BC2" w:rsidRPr="008834B6">
        <w:rPr>
          <w:rFonts w:eastAsia="SimSun"/>
          <w:i/>
          <w:szCs w:val="24"/>
          <w:lang w:eastAsia="zh-CN"/>
        </w:rPr>
        <w:t>et les citernes</w:t>
      </w:r>
      <w:r w:rsidR="00270BC2">
        <w:rPr>
          <w:rFonts w:eastAsia="SimSun"/>
          <w:i/>
          <w:szCs w:val="24"/>
          <w:lang w:eastAsia="zh-CN"/>
        </w:rPr>
        <w:t xml:space="preserve">, </w:t>
      </w:r>
      <w:r w:rsidR="00270BC2" w:rsidRPr="008834B6">
        <w:rPr>
          <w:rFonts w:eastAsia="SimSun"/>
          <w:i/>
          <w:szCs w:val="24"/>
          <w:lang w:eastAsia="zh-CN"/>
        </w:rPr>
        <w:t>wagons-citernes</w:t>
      </w:r>
      <w:r w:rsidR="00270BC2">
        <w:rPr>
          <w:rFonts w:eastAsia="SimSun"/>
          <w:i/>
          <w:szCs w:val="24"/>
          <w:lang w:eastAsia="zh-CN"/>
        </w:rPr>
        <w:t xml:space="preserve"> et </w:t>
      </w:r>
      <w:r w:rsidR="00270BC2" w:rsidRPr="008834B6">
        <w:rPr>
          <w:rFonts w:eastAsia="SimSun"/>
          <w:i/>
          <w:szCs w:val="24"/>
          <w:lang w:eastAsia="zh-CN"/>
        </w:rPr>
        <w:t>conteneurs-citernes</w:t>
      </w:r>
      <w:r w:rsidR="00270BC2">
        <w:rPr>
          <w:rFonts w:eastAsia="SimSun"/>
          <w:i/>
          <w:szCs w:val="24"/>
          <w:lang w:eastAsia="zh-CN"/>
        </w:rPr>
        <w:t xml:space="preserve"> démontable</w:t>
      </w:r>
      <w:r w:rsidR="005704E5">
        <w:rPr>
          <w:rFonts w:eastAsia="SimSun"/>
          <w:i/>
          <w:szCs w:val="24"/>
          <w:lang w:eastAsia="zh-CN"/>
        </w:rPr>
        <w:t>s</w:t>
      </w:r>
      <w:r w:rsidR="00270BC2">
        <w:rPr>
          <w:rFonts w:eastAsia="SimSun"/>
          <w:i/>
          <w:szCs w:val="24"/>
          <w:lang w:eastAsia="zh-CN"/>
        </w:rPr>
        <w:t xml:space="preserve"> </w:t>
      </w:r>
      <w:r w:rsidR="00270BC2" w:rsidRPr="008834B6">
        <w:rPr>
          <w:rFonts w:eastAsia="SimSun"/>
          <w:i/>
          <w:szCs w:val="24"/>
          <w:lang w:eastAsia="zh-CN"/>
        </w:rPr>
        <w:t xml:space="preserve">construits avant le </w:t>
      </w:r>
      <w:r w:rsidR="00270BC2" w:rsidRPr="00CC50F6">
        <w:rPr>
          <w:rFonts w:eastAsia="SimSun"/>
          <w:i/>
          <w:szCs w:val="24"/>
          <w:lang w:eastAsia="zh-CN"/>
        </w:rPr>
        <w:t>1</w:t>
      </w:r>
      <w:r w:rsidR="00270BC2" w:rsidRPr="00CC50F6">
        <w:rPr>
          <w:rFonts w:eastAsia="SimSun"/>
          <w:i/>
          <w:szCs w:val="24"/>
          <w:vertAlign w:val="superscript"/>
          <w:lang w:eastAsia="zh-CN"/>
        </w:rPr>
        <w:t>er</w:t>
      </w:r>
      <w:r>
        <w:rPr>
          <w:rFonts w:eastAsia="SimSun"/>
          <w:i/>
          <w:szCs w:val="24"/>
          <w:lang w:eastAsia="zh-CN"/>
        </w:rPr>
        <w:t> </w:t>
      </w:r>
      <w:r w:rsidR="00270BC2" w:rsidRPr="00CC50F6">
        <w:rPr>
          <w:rFonts w:eastAsia="SimSun"/>
          <w:i/>
          <w:szCs w:val="24"/>
          <w:lang w:eastAsia="zh-CN"/>
        </w:rPr>
        <w:t>janvier 2019</w:t>
      </w:r>
      <w:r w:rsidR="00270BC2">
        <w:rPr>
          <w:rFonts w:eastAsia="SimSun"/>
          <w:i/>
          <w:szCs w:val="24"/>
          <w:lang w:eastAsia="zh-CN"/>
        </w:rPr>
        <w:t xml:space="preserve"> </w:t>
      </w:r>
      <w:r w:rsidR="00270BC2" w:rsidRPr="00CC50F6">
        <w:rPr>
          <w:rFonts w:eastAsia="SimSun"/>
          <w:i/>
          <w:szCs w:val="24"/>
          <w:lang w:eastAsia="zh-CN"/>
        </w:rPr>
        <w:t>conformément aux prescriptions en vigueur jusqu’au 31</w:t>
      </w:r>
      <w:r>
        <w:rPr>
          <w:rFonts w:eastAsia="SimSun"/>
          <w:i/>
          <w:szCs w:val="24"/>
          <w:lang w:eastAsia="zh-CN"/>
        </w:rPr>
        <w:t> </w:t>
      </w:r>
      <w:r w:rsidR="00270BC2" w:rsidRPr="00CC50F6">
        <w:rPr>
          <w:rFonts w:eastAsia="SimSun"/>
          <w:i/>
          <w:szCs w:val="24"/>
          <w:lang w:eastAsia="zh-CN"/>
        </w:rPr>
        <w:t xml:space="preserve">décembre </w:t>
      </w:r>
      <w:r w:rsidR="00270BC2">
        <w:rPr>
          <w:rFonts w:eastAsia="SimSun"/>
          <w:i/>
          <w:szCs w:val="24"/>
          <w:lang w:eastAsia="zh-CN"/>
        </w:rPr>
        <w:t xml:space="preserve">2018 mais qui ne sont pas conformes aux prescriptions du paragraphe </w:t>
      </w:r>
      <w:r w:rsidR="00270BC2" w:rsidRPr="00CC50F6">
        <w:rPr>
          <w:rFonts w:eastAsia="SimSun"/>
          <w:i/>
          <w:szCs w:val="24"/>
          <w:lang w:eastAsia="zh-CN"/>
        </w:rPr>
        <w:t>6.8.2.2.10 en ce qui concerne la pression</w:t>
      </w:r>
      <w:r w:rsidR="00270BC2">
        <w:rPr>
          <w:rFonts w:eastAsia="SimSun"/>
          <w:i/>
          <w:szCs w:val="24"/>
          <w:lang w:eastAsia="zh-CN"/>
        </w:rPr>
        <w:t xml:space="preserve"> </w:t>
      </w:r>
      <w:r w:rsidR="00270BC2" w:rsidRPr="00CC50F6">
        <w:rPr>
          <w:rFonts w:eastAsia="SimSun"/>
          <w:i/>
          <w:szCs w:val="24"/>
          <w:lang w:eastAsia="zh-CN"/>
        </w:rPr>
        <w:t>d’éclatement</w:t>
      </w:r>
      <w:r w:rsidR="00270BC2">
        <w:rPr>
          <w:rFonts w:eastAsia="SimSun"/>
          <w:i/>
          <w:szCs w:val="24"/>
          <w:lang w:eastAsia="zh-CN"/>
        </w:rPr>
        <w:t xml:space="preserve"> du disque de rupture peuvent continuer à être utilisées jusqu’à la prochaine </w:t>
      </w:r>
      <w:r w:rsidR="00270BC2" w:rsidRPr="00A23FF9">
        <w:rPr>
          <w:rFonts w:eastAsia="SimSun"/>
          <w:i/>
          <w:szCs w:val="24"/>
          <w:lang w:eastAsia="zh-CN"/>
        </w:rPr>
        <w:t>épreuve d’étanchéité</w:t>
      </w:r>
      <w:r w:rsidR="00270BC2">
        <w:rPr>
          <w:rFonts w:eastAsia="SimSun"/>
          <w:i/>
          <w:szCs w:val="24"/>
          <w:lang w:eastAsia="zh-CN"/>
        </w:rPr>
        <w:t xml:space="preserve"> effectuée dans le cadre </w:t>
      </w:r>
      <w:r w:rsidR="00270BC2" w:rsidRPr="00A23FF9">
        <w:rPr>
          <w:rFonts w:eastAsia="SimSun"/>
          <w:i/>
          <w:szCs w:val="24"/>
          <w:lang w:eastAsia="zh-CN"/>
        </w:rPr>
        <w:t>d</w:t>
      </w:r>
      <w:r w:rsidR="00270BC2">
        <w:rPr>
          <w:rFonts w:eastAsia="SimSun"/>
          <w:i/>
          <w:szCs w:val="24"/>
          <w:lang w:eastAsia="zh-CN"/>
        </w:rPr>
        <w:t>’un</w:t>
      </w:r>
      <w:r w:rsidR="00270BC2" w:rsidRPr="00A23FF9">
        <w:rPr>
          <w:rFonts w:eastAsia="SimSun"/>
          <w:i/>
          <w:szCs w:val="24"/>
          <w:lang w:eastAsia="zh-CN"/>
        </w:rPr>
        <w:t xml:space="preserve"> contrôle périodique intermédiaire</w:t>
      </w:r>
      <w:r w:rsidR="00270BC2" w:rsidRPr="00A80BD5">
        <w:rPr>
          <w:rFonts w:eastAsia="SimSun"/>
          <w:i/>
          <w:szCs w:val="24"/>
          <w:lang w:eastAsia="zh-CN"/>
        </w:rPr>
        <w:t>.</w:t>
      </w:r>
      <w:r w:rsidRPr="00506B28">
        <w:rPr>
          <w:rFonts w:eastAsia="SimSun"/>
          <w:szCs w:val="24"/>
          <w:lang w:eastAsia="zh-CN"/>
        </w:rPr>
        <w:t> ».</w:t>
      </w:r>
    </w:p>
    <w:p w:rsidR="00270BC2" w:rsidRPr="00431116" w:rsidRDefault="00270BC2" w:rsidP="00270BC2">
      <w:pPr>
        <w:keepNext/>
        <w:keepLines/>
        <w:kinsoku/>
        <w:overflowPunct/>
        <w:autoSpaceDE/>
        <w:autoSpaceDN/>
        <w:adjustRightInd/>
        <w:snapToGrid/>
        <w:spacing w:before="360" w:after="240" w:line="300" w:lineRule="exact"/>
        <w:ind w:left="1134" w:right="1134"/>
        <w:rPr>
          <w:b/>
          <w:sz w:val="28"/>
          <w:lang/>
        </w:rPr>
      </w:pPr>
      <w:r w:rsidRPr="00431116">
        <w:rPr>
          <w:b/>
          <w:sz w:val="28"/>
          <w:lang/>
        </w:rPr>
        <w:t>Justification</w:t>
      </w:r>
    </w:p>
    <w:p w:rsidR="00270BC2" w:rsidRPr="00A80BD5" w:rsidRDefault="00270BC2" w:rsidP="00877418">
      <w:pPr>
        <w:pStyle w:val="SingleTxtG"/>
        <w:numPr>
          <w:ilvl w:val="0"/>
          <w:numId w:val="15"/>
        </w:numPr>
        <w:ind w:left="1134" w:firstLine="0"/>
        <w:rPr>
          <w:szCs w:val="24"/>
        </w:rPr>
      </w:pPr>
      <w:r w:rsidRPr="00CC50F6">
        <w:rPr>
          <w:szCs w:val="24"/>
        </w:rPr>
        <w:t>Les prescriptions générales de la proposition 1</w:t>
      </w:r>
      <w:r>
        <w:rPr>
          <w:szCs w:val="24"/>
        </w:rPr>
        <w:t xml:space="preserve"> sont inspirées de celles qui visent les d</w:t>
      </w:r>
      <w:r w:rsidRPr="00A80BD5">
        <w:rPr>
          <w:szCs w:val="24"/>
        </w:rPr>
        <w:t>ispositifs de décompression</w:t>
      </w:r>
      <w:r>
        <w:rPr>
          <w:szCs w:val="24"/>
        </w:rPr>
        <w:t xml:space="preserve"> au paragraphe </w:t>
      </w:r>
      <w:r w:rsidRPr="00A80BD5">
        <w:rPr>
          <w:szCs w:val="24"/>
        </w:rPr>
        <w:t xml:space="preserve">6.7.2.8. </w:t>
      </w:r>
      <w:r>
        <w:rPr>
          <w:szCs w:val="24"/>
        </w:rPr>
        <w:t>Toutes les soupapes de sécurité devraient en principe être conformes et aucune mesure transitoire n’est nécessaire.</w:t>
      </w:r>
    </w:p>
    <w:p w:rsidR="00270BC2" w:rsidRDefault="00270BC2" w:rsidP="00877418">
      <w:pPr>
        <w:pStyle w:val="SingleTxtG"/>
        <w:numPr>
          <w:ilvl w:val="0"/>
          <w:numId w:val="15"/>
        </w:numPr>
        <w:ind w:left="1134" w:firstLine="0"/>
        <w:rPr>
          <w:szCs w:val="24"/>
        </w:rPr>
      </w:pPr>
      <w:r w:rsidRPr="00A80BD5">
        <w:rPr>
          <w:szCs w:val="24"/>
        </w:rPr>
        <w:t xml:space="preserve">Dans la proposition 2 </w:t>
      </w:r>
      <w:r>
        <w:rPr>
          <w:szCs w:val="24"/>
        </w:rPr>
        <w:t xml:space="preserve">la pression </w:t>
      </w:r>
      <w:r w:rsidRPr="00A80BD5">
        <w:rPr>
          <w:szCs w:val="24"/>
        </w:rPr>
        <w:t>à laquelle le disque de rupture</w:t>
      </w:r>
      <w:r>
        <w:rPr>
          <w:szCs w:val="24"/>
        </w:rPr>
        <w:t xml:space="preserve"> doit éclater est nominale, correspondant à ce qui est indiqué sur l’étiquette du disque, et ne doit pas faire l’objet d’épreuve. La valeur de 10</w:t>
      </w:r>
      <w:r w:rsidR="00506B28">
        <w:rPr>
          <w:szCs w:val="24"/>
        </w:rPr>
        <w:t> </w:t>
      </w:r>
      <w:r>
        <w:rPr>
          <w:szCs w:val="24"/>
        </w:rPr>
        <w:t xml:space="preserve">% de plus que la pression </w:t>
      </w:r>
      <w:r w:rsidRPr="007A4DFF">
        <w:rPr>
          <w:szCs w:val="24"/>
        </w:rPr>
        <w:t>de début d’ouverture (point de consigne)</w:t>
      </w:r>
      <w:r>
        <w:rPr>
          <w:szCs w:val="24"/>
        </w:rPr>
        <w:t xml:space="preserve"> </w:t>
      </w:r>
      <w:r w:rsidRPr="007A4DFF">
        <w:rPr>
          <w:szCs w:val="24"/>
        </w:rPr>
        <w:t xml:space="preserve">de la </w:t>
      </w:r>
      <w:r>
        <w:rPr>
          <w:szCs w:val="24"/>
        </w:rPr>
        <w:t xml:space="preserve">soupape de sécurité est déjà appliquée en pratique pour les citernes de la section 6.7.2 et permettra de prévenir la rupture durant le remplissage et la vidange à la </w:t>
      </w:r>
      <w:r w:rsidRPr="00FB4029">
        <w:rPr>
          <w:szCs w:val="24"/>
        </w:rPr>
        <w:t>pression maximale de service</w:t>
      </w:r>
      <w:r w:rsidR="00867967">
        <w:rPr>
          <w:szCs w:val="24"/>
        </w:rPr>
        <w:t>.</w:t>
      </w:r>
    </w:p>
    <w:p w:rsidR="00270BC2" w:rsidRDefault="00270BC2" w:rsidP="00877418">
      <w:pPr>
        <w:pStyle w:val="SingleTxtG"/>
        <w:numPr>
          <w:ilvl w:val="0"/>
          <w:numId w:val="15"/>
        </w:numPr>
        <w:ind w:left="1134" w:firstLine="0"/>
      </w:pPr>
      <w:r w:rsidRPr="00FB4029">
        <w:rPr>
          <w:szCs w:val="24"/>
        </w:rPr>
        <w:t>La fin de la phrase est supprimée pour éviter</w:t>
      </w:r>
      <w:r>
        <w:rPr>
          <w:szCs w:val="24"/>
        </w:rPr>
        <w:t xml:space="preserve"> toute discussion sur la question de savoir si une fuite particulière pourrait ou pas «</w:t>
      </w:r>
      <w:r w:rsidR="00506B28">
        <w:rPr>
          <w:szCs w:val="24"/>
        </w:rPr>
        <w:t> </w:t>
      </w:r>
      <w:r>
        <w:rPr>
          <w:szCs w:val="24"/>
        </w:rPr>
        <w:t>perturber</w:t>
      </w:r>
      <w:r w:rsidR="00506B28">
        <w:rPr>
          <w:szCs w:val="24"/>
        </w:rPr>
        <w:t> </w:t>
      </w:r>
      <w:r>
        <w:rPr>
          <w:szCs w:val="24"/>
        </w:rPr>
        <w:t>» le fonctionnement de la soupape de sécurité.</w:t>
      </w:r>
    </w:p>
    <w:p w:rsidR="00270BC2" w:rsidRPr="00171507" w:rsidRDefault="00171507" w:rsidP="0017150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0BC2" w:rsidRPr="00171507" w:rsidSect="00270B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40" w:rsidRDefault="00E76B40" w:rsidP="00F95C08">
      <w:pPr>
        <w:spacing w:line="240" w:lineRule="auto"/>
      </w:pPr>
    </w:p>
  </w:endnote>
  <w:endnote w:type="continuationSeparator" w:id="0">
    <w:p w:rsidR="00E76B40" w:rsidRPr="00AC3823" w:rsidRDefault="00E76B40" w:rsidP="00AC3823">
      <w:pPr>
        <w:pStyle w:val="Pieddepage"/>
      </w:pPr>
    </w:p>
  </w:endnote>
  <w:endnote w:type="continuationNotice" w:id="1">
    <w:p w:rsidR="00E76B40" w:rsidRDefault="00E76B40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C2" w:rsidRPr="00270BC2" w:rsidRDefault="00C378B2" w:rsidP="00270BC2">
    <w:pPr>
      <w:pStyle w:val="Pieddepage"/>
      <w:tabs>
        <w:tab w:val="right" w:pos="9638"/>
      </w:tabs>
    </w:pPr>
    <w:r w:rsidRPr="00270BC2">
      <w:rPr>
        <w:b/>
        <w:sz w:val="18"/>
      </w:rPr>
      <w:fldChar w:fldCharType="begin"/>
    </w:r>
    <w:r w:rsidR="00270BC2" w:rsidRPr="00270BC2">
      <w:rPr>
        <w:b/>
        <w:sz w:val="18"/>
      </w:rPr>
      <w:instrText xml:space="preserve"> PAGE  \* MERGEFORMAT </w:instrText>
    </w:r>
    <w:r w:rsidRPr="00270BC2">
      <w:rPr>
        <w:b/>
        <w:sz w:val="18"/>
      </w:rPr>
      <w:fldChar w:fldCharType="separate"/>
    </w:r>
    <w:r w:rsidR="00D042BE">
      <w:rPr>
        <w:b/>
        <w:noProof/>
        <w:sz w:val="18"/>
      </w:rPr>
      <w:t>2</w:t>
    </w:r>
    <w:r w:rsidRPr="00270BC2">
      <w:rPr>
        <w:b/>
        <w:sz w:val="18"/>
      </w:rPr>
      <w:fldChar w:fldCharType="end"/>
    </w:r>
    <w:r w:rsidR="00270BC2">
      <w:rPr>
        <w:b/>
        <w:sz w:val="18"/>
      </w:rPr>
      <w:tab/>
    </w:r>
    <w:r w:rsidR="00270BC2">
      <w:t>GE.16-11076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C2" w:rsidRPr="00270BC2" w:rsidRDefault="00270BC2" w:rsidP="00270BC2">
    <w:pPr>
      <w:pStyle w:val="Pieddepage"/>
      <w:tabs>
        <w:tab w:val="right" w:pos="9638"/>
      </w:tabs>
      <w:rPr>
        <w:b/>
        <w:sz w:val="18"/>
      </w:rPr>
    </w:pPr>
    <w:r>
      <w:t>GE.16-11076</w:t>
    </w:r>
    <w:r>
      <w:tab/>
    </w:r>
    <w:r w:rsidR="00C378B2" w:rsidRPr="00270BC2">
      <w:rPr>
        <w:b/>
        <w:sz w:val="18"/>
      </w:rPr>
      <w:fldChar w:fldCharType="begin"/>
    </w:r>
    <w:r w:rsidRPr="00270BC2">
      <w:rPr>
        <w:b/>
        <w:sz w:val="18"/>
      </w:rPr>
      <w:instrText xml:space="preserve"> PAGE  \* MERGEFORMAT </w:instrText>
    </w:r>
    <w:r w:rsidR="00C378B2" w:rsidRPr="00270BC2">
      <w:rPr>
        <w:b/>
        <w:sz w:val="18"/>
      </w:rPr>
      <w:fldChar w:fldCharType="separate"/>
    </w:r>
    <w:r w:rsidR="00D042BE">
      <w:rPr>
        <w:b/>
        <w:noProof/>
        <w:sz w:val="18"/>
      </w:rPr>
      <w:t>3</w:t>
    </w:r>
    <w:r w:rsidR="00C378B2" w:rsidRPr="00270BC2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270BC2" w:rsidRDefault="00270BC2" w:rsidP="00270BC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16-11076  (F)    260716    280716</w:t>
    </w:r>
    <w:r>
      <w:rPr>
        <w:sz w:val="20"/>
      </w:rPr>
      <w:br/>
    </w:r>
    <w:r w:rsidRPr="00270BC2">
      <w:rPr>
        <w:rFonts w:ascii="C39T30Lfz" w:hAnsi="C39T30Lfz"/>
        <w:sz w:val="56"/>
      </w:rPr>
      <w:t></w:t>
    </w:r>
    <w:r w:rsidRPr="00270BC2">
      <w:rPr>
        <w:rFonts w:ascii="C39T30Lfz" w:hAnsi="C39T30Lfz"/>
        <w:sz w:val="56"/>
      </w:rPr>
      <w:t></w:t>
    </w:r>
    <w:r w:rsidRPr="00270BC2">
      <w:rPr>
        <w:rFonts w:ascii="C39T30Lfz" w:hAnsi="C39T30Lfz"/>
        <w:sz w:val="56"/>
      </w:rPr>
      <w:t></w:t>
    </w:r>
    <w:r w:rsidRPr="00270BC2">
      <w:rPr>
        <w:rFonts w:ascii="C39T30Lfz" w:hAnsi="C39T30Lfz"/>
        <w:sz w:val="56"/>
      </w:rPr>
      <w:t></w:t>
    </w:r>
    <w:r w:rsidRPr="00270BC2">
      <w:rPr>
        <w:rFonts w:ascii="C39T30Lfz" w:hAnsi="C39T30Lfz"/>
        <w:sz w:val="56"/>
      </w:rPr>
      <w:t></w:t>
    </w:r>
    <w:r w:rsidRPr="00270BC2">
      <w:rPr>
        <w:rFonts w:ascii="C39T30Lfz" w:hAnsi="C39T30Lfz"/>
        <w:sz w:val="56"/>
      </w:rPr>
      <w:t></w:t>
    </w:r>
    <w:r w:rsidRPr="00270BC2">
      <w:rPr>
        <w:rFonts w:ascii="C39T30Lfz" w:hAnsi="C39T30Lfz"/>
        <w:sz w:val="56"/>
      </w:rPr>
      <w:t></w:t>
    </w:r>
    <w:r w:rsidRPr="00270BC2">
      <w:rPr>
        <w:rFonts w:ascii="C39T30Lfz" w:hAnsi="C39T30Lfz"/>
        <w:sz w:val="56"/>
      </w:rPr>
      <w:t></w:t>
    </w:r>
    <w:r w:rsidRPr="00270BC2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1/2016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6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40" w:rsidRPr="00AC3823" w:rsidRDefault="00E76B4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6B40" w:rsidRPr="00AC3823" w:rsidRDefault="00E76B4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76B40" w:rsidRPr="00AC3823" w:rsidRDefault="00E76B40">
      <w:pPr>
        <w:spacing w:line="240" w:lineRule="auto"/>
        <w:rPr>
          <w:sz w:val="2"/>
          <w:szCs w:val="2"/>
        </w:rPr>
      </w:pPr>
    </w:p>
  </w:footnote>
  <w:footnote w:id="2">
    <w:p w:rsidR="00F300CA" w:rsidRDefault="00F300CA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7B6504">
        <w:t>Conformément au programme de travail du Comité des transports intérieurs pour 2016-201</w:t>
      </w:r>
      <w:r w:rsidR="001D59EE">
        <w:t>7 (ECE/TRANS/2016/28/Add.1 (9.2</w:t>
      </w:r>
      <w:r w:rsidRPr="007B6504">
        <w:t>))</w:t>
      </w:r>
      <w:r w:rsidR="001D59EE">
        <w:t>.</w:t>
      </w:r>
    </w:p>
  </w:footnote>
  <w:footnote w:id="3">
    <w:p w:rsidR="00F300CA" w:rsidRDefault="00F300CA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9F2C2F">
        <w:t>Diffusé par l’Organisation intergouvernementale pour les transports internationaux ferroviaires (OTIF) sous la cote OTIF/RID/RC/2016/25.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C2" w:rsidRPr="00270BC2" w:rsidRDefault="00270BC2">
    <w:pPr>
      <w:pStyle w:val="En-tte"/>
    </w:pPr>
    <w:r>
      <w:t>ECE/TRANS/WP.15/AC.1/2016/25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C2" w:rsidRPr="00270BC2" w:rsidRDefault="00270BC2" w:rsidP="00270BC2">
    <w:pPr>
      <w:pStyle w:val="En-tte"/>
      <w:jc w:val="right"/>
    </w:pPr>
    <w:r>
      <w:t>ECE/TRANS/WP.15/AC.1/2016/25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4C017799"/>
    <w:multiLevelType w:val="hybridMultilevel"/>
    <w:tmpl w:val="D548D530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78470C86"/>
    <w:multiLevelType w:val="hybridMultilevel"/>
    <w:tmpl w:val="CD06E4C4"/>
    <w:lvl w:ilvl="0" w:tplc="EBF60404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8A5AA9"/>
    <w:rsid w:val="00017F94"/>
    <w:rsid w:val="00023842"/>
    <w:rsid w:val="000334F9"/>
    <w:rsid w:val="0007796D"/>
    <w:rsid w:val="000B7790"/>
    <w:rsid w:val="0011181C"/>
    <w:rsid w:val="00111BE1"/>
    <w:rsid w:val="00111F2F"/>
    <w:rsid w:val="0014365E"/>
    <w:rsid w:val="00143C66"/>
    <w:rsid w:val="00171507"/>
    <w:rsid w:val="00176178"/>
    <w:rsid w:val="001D59EE"/>
    <w:rsid w:val="001F525A"/>
    <w:rsid w:val="00223272"/>
    <w:rsid w:val="0024779E"/>
    <w:rsid w:val="00257168"/>
    <w:rsid w:val="00270BC2"/>
    <w:rsid w:val="002744B8"/>
    <w:rsid w:val="002832AC"/>
    <w:rsid w:val="002D7C93"/>
    <w:rsid w:val="002E4593"/>
    <w:rsid w:val="00305801"/>
    <w:rsid w:val="003859CF"/>
    <w:rsid w:val="003916DE"/>
    <w:rsid w:val="00421C15"/>
    <w:rsid w:val="00441C3B"/>
    <w:rsid w:val="00446FE5"/>
    <w:rsid w:val="00452396"/>
    <w:rsid w:val="004837D8"/>
    <w:rsid w:val="004E468C"/>
    <w:rsid w:val="00506B28"/>
    <w:rsid w:val="005505B7"/>
    <w:rsid w:val="005704E5"/>
    <w:rsid w:val="00573BE5"/>
    <w:rsid w:val="00586ED3"/>
    <w:rsid w:val="00596AA9"/>
    <w:rsid w:val="005D4F49"/>
    <w:rsid w:val="005F34AA"/>
    <w:rsid w:val="0071601D"/>
    <w:rsid w:val="00786CDB"/>
    <w:rsid w:val="007A62E6"/>
    <w:rsid w:val="007F20FA"/>
    <w:rsid w:val="007F2B7C"/>
    <w:rsid w:val="0080684C"/>
    <w:rsid w:val="008649B4"/>
    <w:rsid w:val="00867967"/>
    <w:rsid w:val="00871C75"/>
    <w:rsid w:val="00877418"/>
    <w:rsid w:val="008776DC"/>
    <w:rsid w:val="008A5AA9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10440"/>
    <w:rsid w:val="00C378B2"/>
    <w:rsid w:val="00D042BE"/>
    <w:rsid w:val="00D3439C"/>
    <w:rsid w:val="00D57A0F"/>
    <w:rsid w:val="00DA37DF"/>
    <w:rsid w:val="00DB1831"/>
    <w:rsid w:val="00DC5A12"/>
    <w:rsid w:val="00DD3BFD"/>
    <w:rsid w:val="00DF290B"/>
    <w:rsid w:val="00DF6678"/>
    <w:rsid w:val="00E67CFA"/>
    <w:rsid w:val="00E76B40"/>
    <w:rsid w:val="00E85C74"/>
    <w:rsid w:val="00EA6547"/>
    <w:rsid w:val="00EF2E22"/>
    <w:rsid w:val="00F300CA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70BC2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70BC2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ECE/TRANS/WP.15/AC.1/2016/25</vt:lpstr>
    </vt:vector>
  </TitlesOfParts>
  <Company>DCM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ECE/TRANS/WP.15/AC.1/2016/25</dc:title>
  <dc:subject>Final</dc:subject>
  <dc:creator>Fabienne Crelier</dc:creator>
  <cp:lastModifiedBy>Maison</cp:lastModifiedBy>
  <cp:revision>2</cp:revision>
  <cp:lastPrinted>2016-07-28T10:59:00Z</cp:lastPrinted>
  <dcterms:created xsi:type="dcterms:W3CDTF">2016-07-28T13:43:00Z</dcterms:created>
  <dcterms:modified xsi:type="dcterms:W3CDTF">2016-07-28T13:43:00Z</dcterms:modified>
</cp:coreProperties>
</file>