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C6C17" w:rsidTr="00D37CD1">
        <w:trPr>
          <w:cantSplit/>
          <w:trHeight w:hRule="exact" w:val="851"/>
        </w:trPr>
        <w:tc>
          <w:tcPr>
            <w:tcW w:w="1276" w:type="dxa"/>
            <w:tcBorders>
              <w:bottom w:val="single" w:sz="4" w:space="0" w:color="auto"/>
            </w:tcBorders>
            <w:shd w:val="clear" w:color="auto" w:fill="auto"/>
            <w:vAlign w:val="bottom"/>
          </w:tcPr>
          <w:p w:rsidR="00CC6C17" w:rsidRDefault="00CC6C17" w:rsidP="00D37CD1">
            <w:pPr>
              <w:spacing w:after="80"/>
            </w:pPr>
          </w:p>
        </w:tc>
        <w:tc>
          <w:tcPr>
            <w:tcW w:w="2268" w:type="dxa"/>
            <w:tcBorders>
              <w:bottom w:val="single" w:sz="4" w:space="0" w:color="auto"/>
            </w:tcBorders>
            <w:shd w:val="clear" w:color="auto" w:fill="auto"/>
            <w:vAlign w:val="bottom"/>
          </w:tcPr>
          <w:p w:rsidR="00CC6C17" w:rsidRPr="00B11BB4" w:rsidRDefault="00CC6C17" w:rsidP="00D37CD1">
            <w:pPr>
              <w:spacing w:after="80" w:line="300" w:lineRule="exact"/>
              <w:rPr>
                <w:b/>
                <w:sz w:val="24"/>
                <w:szCs w:val="24"/>
              </w:rPr>
            </w:pPr>
            <w:r w:rsidRPr="00B11BB4">
              <w:rPr>
                <w:sz w:val="28"/>
                <w:szCs w:val="28"/>
              </w:rPr>
              <w:t>United Nations</w:t>
            </w:r>
          </w:p>
        </w:tc>
        <w:tc>
          <w:tcPr>
            <w:tcW w:w="6095" w:type="dxa"/>
            <w:gridSpan w:val="2"/>
            <w:tcBorders>
              <w:bottom w:val="single" w:sz="4" w:space="0" w:color="auto"/>
            </w:tcBorders>
            <w:shd w:val="clear" w:color="auto" w:fill="auto"/>
            <w:vAlign w:val="bottom"/>
          </w:tcPr>
          <w:p w:rsidR="00CC6C17" w:rsidRPr="00D47EEA" w:rsidRDefault="00CC6C17" w:rsidP="00D37CD1">
            <w:pPr>
              <w:suppressAutoHyphens w:val="0"/>
              <w:spacing w:after="20"/>
              <w:jc w:val="right"/>
            </w:pPr>
            <w:r w:rsidRPr="00B11BB4">
              <w:rPr>
                <w:sz w:val="40"/>
              </w:rPr>
              <w:t>ECE</w:t>
            </w:r>
            <w:r>
              <w:t>/TRANS/WP.15/AC.1/</w:t>
            </w:r>
            <w:r w:rsidRPr="00836C40">
              <w:t>2016/</w:t>
            </w:r>
            <w:r w:rsidR="00D37CD1">
              <w:t>25</w:t>
            </w:r>
          </w:p>
        </w:tc>
      </w:tr>
      <w:tr w:rsidR="00CC6C17" w:rsidTr="002841B9">
        <w:trPr>
          <w:cantSplit/>
          <w:trHeight w:hRule="exact" w:val="2279"/>
        </w:trPr>
        <w:tc>
          <w:tcPr>
            <w:tcW w:w="1276" w:type="dxa"/>
            <w:tcBorders>
              <w:top w:val="single" w:sz="4" w:space="0" w:color="auto"/>
              <w:bottom w:val="single" w:sz="12" w:space="0" w:color="auto"/>
            </w:tcBorders>
            <w:shd w:val="clear" w:color="auto" w:fill="auto"/>
          </w:tcPr>
          <w:p w:rsidR="00CC6C17" w:rsidRDefault="00CC6C17" w:rsidP="00D37CD1">
            <w:pPr>
              <w:spacing w:before="120"/>
            </w:pPr>
            <w:r>
              <w:rPr>
                <w:noProof/>
                <w:lang w:eastAsia="en-GB"/>
              </w:rPr>
              <w:drawing>
                <wp:inline distT="0" distB="0" distL="0" distR="0" wp14:anchorId="5A3C595C" wp14:editId="583CF2B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CC6C17" w:rsidRPr="00B11BB4" w:rsidRDefault="00CC6C17" w:rsidP="00D37CD1">
            <w:pPr>
              <w:spacing w:before="120" w:line="420" w:lineRule="exact"/>
              <w:rPr>
                <w:sz w:val="40"/>
                <w:szCs w:val="40"/>
              </w:rPr>
            </w:pPr>
            <w:r w:rsidRPr="00B11BB4">
              <w:rPr>
                <w:b/>
                <w:sz w:val="40"/>
                <w:szCs w:val="40"/>
              </w:rPr>
              <w:t>Economic and Social Council</w:t>
            </w:r>
          </w:p>
        </w:tc>
        <w:tc>
          <w:tcPr>
            <w:tcW w:w="2835" w:type="dxa"/>
            <w:tcBorders>
              <w:top w:val="single" w:sz="4" w:space="0" w:color="auto"/>
              <w:bottom w:val="single" w:sz="12" w:space="0" w:color="auto"/>
            </w:tcBorders>
            <w:shd w:val="clear" w:color="auto" w:fill="auto"/>
          </w:tcPr>
          <w:p w:rsidR="00CC6C17" w:rsidRDefault="00CC6C17" w:rsidP="00D37CD1">
            <w:pPr>
              <w:suppressAutoHyphens w:val="0"/>
              <w:spacing w:before="240" w:line="240" w:lineRule="exact"/>
            </w:pPr>
            <w:r>
              <w:t>Distr.: General</w:t>
            </w:r>
          </w:p>
          <w:p w:rsidR="00CC6C17" w:rsidRDefault="00742B9A" w:rsidP="00D37CD1">
            <w:pPr>
              <w:suppressAutoHyphens w:val="0"/>
            </w:pPr>
            <w:r>
              <w:t>29</w:t>
            </w:r>
            <w:r w:rsidR="00CC6C17">
              <w:t xml:space="preserve"> June  2016</w:t>
            </w:r>
          </w:p>
          <w:p w:rsidR="00CC6C17" w:rsidRDefault="00CC6C17" w:rsidP="00D37CD1">
            <w:pPr>
              <w:suppressAutoHyphens w:val="0"/>
            </w:pPr>
          </w:p>
          <w:p w:rsidR="00CC6C17" w:rsidRDefault="00CC6C17" w:rsidP="00D37CD1">
            <w:pPr>
              <w:suppressAutoHyphens w:val="0"/>
            </w:pPr>
            <w:r>
              <w:t>Original:  English</w:t>
            </w:r>
          </w:p>
        </w:tc>
      </w:tr>
    </w:tbl>
    <w:p w:rsidR="00CC6C17" w:rsidRDefault="00CC6C17" w:rsidP="00CC6C17">
      <w:pPr>
        <w:spacing w:before="120"/>
        <w:rPr>
          <w:b/>
          <w:sz w:val="28"/>
          <w:szCs w:val="28"/>
        </w:rPr>
      </w:pPr>
      <w:r>
        <w:rPr>
          <w:b/>
          <w:sz w:val="28"/>
          <w:szCs w:val="28"/>
        </w:rPr>
        <w:t>Economic Commission for Europe</w:t>
      </w:r>
    </w:p>
    <w:p w:rsidR="00CC6C17" w:rsidRDefault="00CC6C17" w:rsidP="00CC6C17">
      <w:pPr>
        <w:spacing w:before="120"/>
        <w:rPr>
          <w:sz w:val="28"/>
          <w:szCs w:val="28"/>
        </w:rPr>
      </w:pPr>
      <w:r>
        <w:rPr>
          <w:sz w:val="28"/>
          <w:szCs w:val="28"/>
        </w:rPr>
        <w:t>Inland Transport Committee</w:t>
      </w:r>
    </w:p>
    <w:p w:rsidR="00CC6C17" w:rsidRDefault="00CC6C17" w:rsidP="00CC6C17">
      <w:pPr>
        <w:spacing w:before="120" w:after="120"/>
        <w:rPr>
          <w:b/>
          <w:sz w:val="24"/>
          <w:szCs w:val="24"/>
        </w:rPr>
      </w:pPr>
      <w:r>
        <w:rPr>
          <w:b/>
          <w:sz w:val="24"/>
          <w:szCs w:val="24"/>
        </w:rPr>
        <w:t>Working Party on the Transport of Dangerous Goods</w:t>
      </w:r>
    </w:p>
    <w:p w:rsidR="00CC6C17" w:rsidRDefault="00CC6C17" w:rsidP="00CC6C17">
      <w:pPr>
        <w:rPr>
          <w:b/>
        </w:rPr>
      </w:pPr>
      <w:r>
        <w:rPr>
          <w:b/>
        </w:rPr>
        <w:t>Joint Meeting of the RID Committee of Experts and the</w:t>
      </w:r>
    </w:p>
    <w:p w:rsidR="00CC6C17" w:rsidRDefault="00CC6C17" w:rsidP="00CC6C17">
      <w:pPr>
        <w:rPr>
          <w:b/>
        </w:rPr>
      </w:pPr>
      <w:r>
        <w:rPr>
          <w:b/>
        </w:rPr>
        <w:t>Working Party on the Transport of Dangerous Goods</w:t>
      </w:r>
    </w:p>
    <w:p w:rsidR="00CC6C17" w:rsidRPr="00836C40" w:rsidRDefault="009456F6" w:rsidP="00CC6C17">
      <w:r w:rsidRPr="00836C40">
        <w:t>Geneva</w:t>
      </w:r>
      <w:r w:rsidR="00CC6C17" w:rsidRPr="00836C40">
        <w:t>, 1</w:t>
      </w:r>
      <w:r w:rsidR="00552FE6" w:rsidRPr="00836C40">
        <w:t>9</w:t>
      </w:r>
      <w:r w:rsidR="00CC6C17" w:rsidRPr="00836C40">
        <w:t>–</w:t>
      </w:r>
      <w:r w:rsidR="00552FE6" w:rsidRPr="00836C40">
        <w:t>23</w:t>
      </w:r>
      <w:r w:rsidR="00CC6C17" w:rsidRPr="00836C40">
        <w:t xml:space="preserve"> </w:t>
      </w:r>
      <w:r w:rsidR="00552FE6" w:rsidRPr="00836C40">
        <w:t>September</w:t>
      </w:r>
      <w:r w:rsidR="00CC6C17" w:rsidRPr="00836C40">
        <w:t xml:space="preserve"> 2016</w:t>
      </w:r>
    </w:p>
    <w:p w:rsidR="00CC6C17" w:rsidRDefault="00CC6C17" w:rsidP="00CC6C17">
      <w:r>
        <w:t>Item 2 of the provisional agenda</w:t>
      </w:r>
    </w:p>
    <w:p w:rsidR="00CC6C17" w:rsidRDefault="00CC6C17" w:rsidP="00CC6C17">
      <w:pPr>
        <w:rPr>
          <w:b/>
        </w:rPr>
      </w:pPr>
      <w:r>
        <w:rPr>
          <w:b/>
        </w:rPr>
        <w:t>Tanks</w:t>
      </w:r>
    </w:p>
    <w:p w:rsidR="005D69B6" w:rsidRPr="003F3A96" w:rsidRDefault="005D69B6" w:rsidP="005D69B6">
      <w:pPr>
        <w:pStyle w:val="HChG"/>
        <w:rPr>
          <w:rFonts w:eastAsia="SimSun"/>
          <w:lang w:eastAsia="zh-CN"/>
        </w:rPr>
      </w:pPr>
      <w:r>
        <w:tab/>
      </w:r>
      <w:r>
        <w:tab/>
      </w:r>
      <w:bookmarkStart w:id="0" w:name="_GoBack"/>
      <w:r w:rsidRPr="005D69B6">
        <w:rPr>
          <w:lang w:val="en-US"/>
        </w:rPr>
        <w:t>G</w:t>
      </w:r>
      <w:r w:rsidRPr="003F3A96">
        <w:rPr>
          <w:rFonts w:eastAsia="SimSun"/>
          <w:lang w:eastAsia="zh-CN"/>
        </w:rPr>
        <w:t>eneral</w:t>
      </w:r>
      <w:r>
        <w:rPr>
          <w:rFonts w:eastAsia="SimSun"/>
          <w:lang w:eastAsia="zh-CN"/>
        </w:rPr>
        <w:t xml:space="preserve"> requirement for safety valves on tanks</w:t>
      </w:r>
      <w:r w:rsidRPr="003F3A96">
        <w:rPr>
          <w:rFonts w:eastAsia="SimSun"/>
          <w:lang w:eastAsia="zh-CN"/>
        </w:rPr>
        <w:t xml:space="preserve"> </w:t>
      </w:r>
      <w:r w:rsidR="00E644B9" w:rsidRPr="005D69B6">
        <w:rPr>
          <w:rFonts w:eastAsia="SimSun"/>
          <w:lang w:val="en-US" w:eastAsia="zh-CN"/>
        </w:rPr>
        <w:t xml:space="preserve">and </w:t>
      </w:r>
      <w:r w:rsidR="00E644B9" w:rsidRPr="003F3A96">
        <w:rPr>
          <w:rFonts w:eastAsia="SimSun"/>
          <w:lang w:eastAsia="zh-CN"/>
        </w:rPr>
        <w:t>pressure</w:t>
      </w:r>
      <w:r w:rsidR="00036FBD" w:rsidRPr="00036FBD">
        <w:rPr>
          <w:rFonts w:eastAsia="SimSun"/>
          <w:lang w:val="en-US" w:eastAsia="zh-CN"/>
        </w:rPr>
        <w:t xml:space="preserve"> </w:t>
      </w:r>
      <w:r w:rsidRPr="005D69B6">
        <w:rPr>
          <w:rFonts w:eastAsia="SimSun"/>
          <w:lang w:val="en-US" w:eastAsia="zh-CN"/>
        </w:rPr>
        <w:t xml:space="preserve">rating of bursting </w:t>
      </w:r>
      <w:r w:rsidRPr="003F3A96">
        <w:rPr>
          <w:rFonts w:eastAsia="SimSun"/>
          <w:lang w:eastAsia="zh-CN"/>
        </w:rPr>
        <w:t xml:space="preserve">discs </w:t>
      </w:r>
      <w:bookmarkEnd w:id="0"/>
    </w:p>
    <w:p w:rsidR="005D69B6" w:rsidRDefault="005D69B6" w:rsidP="005D69B6">
      <w:pPr>
        <w:pStyle w:val="H1G"/>
      </w:pPr>
      <w:r w:rsidRPr="008021DB">
        <w:tab/>
      </w:r>
      <w:r w:rsidRPr="008021DB">
        <w:tab/>
      </w:r>
      <w:r w:rsidRPr="00042219">
        <w:t>Transmitt</w:t>
      </w:r>
      <w:r>
        <w:t>ed by the Government of the Netherlands</w:t>
      </w:r>
      <w:r w:rsidR="00CC39A9" w:rsidRPr="00E96EC7">
        <w:rPr>
          <w:rStyle w:val="FootnoteReference"/>
          <w:b w:val="0"/>
          <w:szCs w:val="18"/>
        </w:rPr>
        <w:footnoteReference w:id="1"/>
      </w:r>
      <w:r w:rsidR="00CC39A9" w:rsidRPr="00E96EC7">
        <w:rPr>
          <w:sz w:val="18"/>
          <w:szCs w:val="18"/>
          <w:vertAlign w:val="superscript"/>
        </w:rPr>
        <w:t>,</w:t>
      </w:r>
      <w:r w:rsidR="00CC39A9" w:rsidRPr="00E96EC7">
        <w:rPr>
          <w:sz w:val="18"/>
          <w:szCs w:val="18"/>
        </w:rPr>
        <w:t xml:space="preserve"> </w:t>
      </w:r>
      <w:r w:rsidR="00CC39A9" w:rsidRPr="00E96EC7">
        <w:rPr>
          <w:rStyle w:val="FootnoteReference"/>
          <w:b w:val="0"/>
          <w:szCs w:val="18"/>
        </w:rPr>
        <w:footnoteReference w:id="2"/>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082"/>
      </w:tblGrid>
      <w:tr w:rsidR="009456F6" w:rsidRPr="00E940D0" w:rsidTr="00D43932">
        <w:trPr>
          <w:jc w:val="center"/>
        </w:trPr>
        <w:tc>
          <w:tcPr>
            <w:tcW w:w="9082" w:type="dxa"/>
            <w:shd w:val="clear" w:color="auto" w:fill="auto"/>
          </w:tcPr>
          <w:p w:rsidR="009456F6" w:rsidRPr="00E940D0" w:rsidRDefault="009456F6" w:rsidP="00D37CD1">
            <w:pPr>
              <w:spacing w:before="240" w:after="120"/>
              <w:ind w:left="255"/>
              <w:rPr>
                <w:i/>
                <w:sz w:val="24"/>
              </w:rPr>
            </w:pPr>
            <w:r w:rsidRPr="00E940D0">
              <w:rPr>
                <w:i/>
                <w:sz w:val="24"/>
              </w:rPr>
              <w:t>Summary</w:t>
            </w:r>
          </w:p>
        </w:tc>
      </w:tr>
      <w:tr w:rsidR="009456F6" w:rsidRPr="0035523F" w:rsidTr="00D43932">
        <w:trPr>
          <w:jc w:val="center"/>
        </w:trPr>
        <w:tc>
          <w:tcPr>
            <w:tcW w:w="9082" w:type="dxa"/>
            <w:shd w:val="clear" w:color="auto" w:fill="auto"/>
          </w:tcPr>
          <w:p w:rsidR="009456F6" w:rsidRPr="00CD0808" w:rsidRDefault="009456F6" w:rsidP="008B2DB5">
            <w:pPr>
              <w:pStyle w:val="SingleTxtG"/>
              <w:tabs>
                <w:tab w:val="left" w:pos="3260"/>
              </w:tabs>
              <w:ind w:left="3260" w:hanging="2126"/>
            </w:pPr>
            <w:r w:rsidRPr="00CD0808">
              <w:rPr>
                <w:b/>
              </w:rPr>
              <w:t>Executive summary:</w:t>
            </w:r>
            <w:r w:rsidR="00566247">
              <w:rPr>
                <w:b/>
              </w:rPr>
              <w:t xml:space="preserve"> </w:t>
            </w:r>
            <w:r w:rsidRPr="00CD0808">
              <w:tab/>
            </w:r>
            <w:r w:rsidR="00566247">
              <w:t xml:space="preserve">This proposal prevents unnecessary intervention of competent authorities and </w:t>
            </w:r>
            <w:r w:rsidR="008B2DB5">
              <w:t xml:space="preserve">includes basic requirements for safety valves in line with Chapter 6.7. </w:t>
            </w:r>
          </w:p>
        </w:tc>
      </w:tr>
      <w:tr w:rsidR="009456F6" w:rsidRPr="00597302" w:rsidTr="00D43932">
        <w:trPr>
          <w:jc w:val="center"/>
        </w:trPr>
        <w:tc>
          <w:tcPr>
            <w:tcW w:w="9082" w:type="dxa"/>
            <w:shd w:val="clear" w:color="auto" w:fill="auto"/>
          </w:tcPr>
          <w:p w:rsidR="009456F6" w:rsidRPr="00CD0808" w:rsidRDefault="009456F6" w:rsidP="002D0F34">
            <w:pPr>
              <w:pStyle w:val="SingleTxtG"/>
              <w:tabs>
                <w:tab w:val="left" w:pos="3260"/>
              </w:tabs>
              <w:ind w:left="3260" w:hanging="2126"/>
            </w:pPr>
            <w:r w:rsidRPr="00CD0808">
              <w:rPr>
                <w:b/>
              </w:rPr>
              <w:t>Action to be taken:</w:t>
            </w:r>
            <w:r w:rsidR="00566247">
              <w:rPr>
                <w:b/>
              </w:rPr>
              <w:t xml:space="preserve">     </w:t>
            </w:r>
            <w:r w:rsidR="002D0F34">
              <w:rPr>
                <w:b/>
              </w:rPr>
              <w:tab/>
            </w:r>
            <w:r w:rsidR="008B2DB5">
              <w:t>Amend subsection 6.8.2.2.10</w:t>
            </w:r>
            <w:r w:rsidR="002D0F34">
              <w:t>.</w:t>
            </w:r>
          </w:p>
        </w:tc>
      </w:tr>
      <w:tr w:rsidR="009456F6" w:rsidRPr="00AE331E" w:rsidTr="00D43932">
        <w:trPr>
          <w:jc w:val="center"/>
        </w:trPr>
        <w:tc>
          <w:tcPr>
            <w:tcW w:w="9082" w:type="dxa"/>
            <w:shd w:val="clear" w:color="auto" w:fill="auto"/>
          </w:tcPr>
          <w:p w:rsidR="009456F6" w:rsidRPr="00D43932" w:rsidRDefault="009456F6" w:rsidP="002D0F34">
            <w:pPr>
              <w:pStyle w:val="SingleTxtG"/>
              <w:tabs>
                <w:tab w:val="left" w:pos="3260"/>
              </w:tabs>
              <w:spacing w:after="0"/>
              <w:ind w:left="3260" w:hanging="2126"/>
              <w:jc w:val="left"/>
              <w:rPr>
                <w:b/>
                <w:lang w:val="en-US"/>
              </w:rPr>
            </w:pPr>
            <w:r w:rsidRPr="00CD0808">
              <w:rPr>
                <w:b/>
              </w:rPr>
              <w:t>Related documents:</w:t>
            </w:r>
            <w:r w:rsidR="009425F9">
              <w:rPr>
                <w:b/>
              </w:rPr>
              <w:t xml:space="preserve"> </w:t>
            </w:r>
            <w:r w:rsidR="00566247">
              <w:rPr>
                <w:b/>
              </w:rPr>
              <w:t xml:space="preserve">       </w:t>
            </w:r>
            <w:r w:rsidR="009425F9" w:rsidRPr="002D0F34">
              <w:t xml:space="preserve">Informal document </w:t>
            </w:r>
            <w:r w:rsidR="002D0F34">
              <w:t>INF</w:t>
            </w:r>
            <w:r w:rsidR="00CC39A9">
              <w:t>.</w:t>
            </w:r>
            <w:r w:rsidR="002D0F34">
              <w:t xml:space="preserve">13 </w:t>
            </w:r>
            <w:r w:rsidR="009425F9" w:rsidRPr="002D0F34">
              <w:t>of the spring 2016 session</w:t>
            </w:r>
            <w:r w:rsidR="002D0F34">
              <w:t>.</w:t>
            </w:r>
          </w:p>
        </w:tc>
      </w:tr>
      <w:tr w:rsidR="009456F6" w:rsidRPr="00AE331E" w:rsidTr="00D43932">
        <w:trPr>
          <w:jc w:val="center"/>
        </w:trPr>
        <w:tc>
          <w:tcPr>
            <w:tcW w:w="9082" w:type="dxa"/>
            <w:shd w:val="clear" w:color="auto" w:fill="auto"/>
          </w:tcPr>
          <w:p w:rsidR="009456F6" w:rsidRPr="00D43932" w:rsidRDefault="009456F6" w:rsidP="00D37CD1">
            <w:pPr>
              <w:rPr>
                <w:lang w:val="en-US"/>
              </w:rPr>
            </w:pPr>
          </w:p>
        </w:tc>
      </w:tr>
    </w:tbl>
    <w:p w:rsidR="005D69B6" w:rsidRPr="00042219" w:rsidRDefault="005D69B6" w:rsidP="005D69B6">
      <w:pPr>
        <w:pStyle w:val="HChG"/>
      </w:pPr>
      <w:r>
        <w:tab/>
      </w:r>
      <w:r>
        <w:tab/>
      </w:r>
      <w:r w:rsidRPr="00042219">
        <w:t>Introduction</w:t>
      </w:r>
    </w:p>
    <w:p w:rsidR="005D69B6" w:rsidRPr="000158DC" w:rsidRDefault="005D69B6" w:rsidP="000158DC">
      <w:pPr>
        <w:pStyle w:val="SingleTxtG"/>
      </w:pPr>
      <w:r w:rsidRPr="000158DC">
        <w:t>1.</w:t>
      </w:r>
      <w:r w:rsidR="0095326B" w:rsidRPr="000158DC">
        <w:tab/>
      </w:r>
      <w:r w:rsidRPr="000158DC">
        <w:t xml:space="preserve">In the case a safety valve is used on </w:t>
      </w:r>
      <w:r w:rsidR="006F3AE1" w:rsidRPr="000158DC">
        <w:t>a</w:t>
      </w:r>
      <w:r w:rsidRPr="000158DC">
        <w:t xml:space="preserve"> hermitically closed tank the competent authority</w:t>
      </w:r>
      <w:r w:rsidR="00FE7C04" w:rsidRPr="000158DC">
        <w:t xml:space="preserve"> decides on the requirements for the safety valve and bursting disc</w:t>
      </w:r>
      <w:r w:rsidRPr="000158DC">
        <w:t xml:space="preserve">. In </w:t>
      </w:r>
      <w:r w:rsidR="006F3AE1" w:rsidRPr="000158DC">
        <w:t>practice,</w:t>
      </w:r>
      <w:r w:rsidRPr="000158DC">
        <w:t xml:space="preserve"> the competent authority will prescribe the pressure relation between bursting dis</w:t>
      </w:r>
      <w:r w:rsidR="00836C40" w:rsidRPr="000158DC">
        <w:t>c</w:t>
      </w:r>
      <w:r w:rsidR="00E453FF" w:rsidRPr="000158DC">
        <w:t xml:space="preserve"> (frangible dis</w:t>
      </w:r>
      <w:r w:rsidR="00836C40" w:rsidRPr="000158DC">
        <w:t>c</w:t>
      </w:r>
      <w:r w:rsidR="00E453FF" w:rsidRPr="000158DC">
        <w:t>)</w:t>
      </w:r>
      <w:r w:rsidRPr="000158DC">
        <w:t xml:space="preserve"> and safety valve used in Chapter 6.7. This is practical because these arrangements are proven and the information for this equipment is widely available. To prevent </w:t>
      </w:r>
      <w:r w:rsidR="008F7606" w:rsidRPr="000158DC">
        <w:t xml:space="preserve">unnecessary </w:t>
      </w:r>
      <w:r w:rsidRPr="000158DC">
        <w:t>intervention of competent authorities and foster harmonisation it is proposed to introduce the pressure relation of Chapter 6.7 in subsection 6.8.2.2.10.</w:t>
      </w:r>
    </w:p>
    <w:p w:rsidR="005D69B6" w:rsidRPr="009C46D6" w:rsidRDefault="0095326B" w:rsidP="005D69B6">
      <w:pPr>
        <w:pStyle w:val="SingleTxtG"/>
      </w:pPr>
      <w:r>
        <w:lastRenderedPageBreak/>
        <w:t>2.</w:t>
      </w:r>
      <w:r>
        <w:tab/>
      </w:r>
      <w:r w:rsidR="005D69B6" w:rsidRPr="009C46D6">
        <w:t>Compared to Chapter 6.7 general requirements on safety valves in Chapter 6.8</w:t>
      </w:r>
      <w:r w:rsidR="005D69B6">
        <w:t>.2</w:t>
      </w:r>
      <w:r w:rsidR="005D69B6" w:rsidRPr="009C46D6">
        <w:t xml:space="preserve"> </w:t>
      </w:r>
      <w:r w:rsidR="00E644B9" w:rsidRPr="009C46D6">
        <w:t>are limited</w:t>
      </w:r>
      <w:r w:rsidR="005D69B6" w:rsidRPr="009C46D6">
        <w:t xml:space="preserve">. To complete the requirements for safety valves additional wording is proposed based on the wording used in Chapter 6.7. </w:t>
      </w:r>
    </w:p>
    <w:p w:rsidR="005D69B6" w:rsidRPr="0095326B" w:rsidRDefault="005D69B6" w:rsidP="005D69B6">
      <w:pPr>
        <w:pStyle w:val="HChG"/>
        <w:rPr>
          <w:lang w:val="en-US"/>
        </w:rPr>
      </w:pPr>
      <w:r>
        <w:tab/>
      </w:r>
      <w:r>
        <w:tab/>
      </w:r>
      <w:r w:rsidRPr="00F87DD0">
        <w:t>Proposal</w:t>
      </w:r>
      <w:r>
        <w:t>s</w:t>
      </w:r>
    </w:p>
    <w:p w:rsidR="00E3776A" w:rsidRDefault="005D69B6" w:rsidP="005D69B6">
      <w:pPr>
        <w:pStyle w:val="SingleTxtG"/>
        <w:jc w:val="left"/>
        <w:rPr>
          <w:rFonts w:eastAsia="SimSun"/>
          <w:b/>
          <w:sz w:val="22"/>
          <w:szCs w:val="22"/>
          <w:lang w:eastAsia="zh-CN"/>
        </w:rPr>
      </w:pPr>
      <w:r>
        <w:rPr>
          <w:rFonts w:eastAsia="SimSun"/>
          <w:sz w:val="22"/>
          <w:szCs w:val="22"/>
          <w:lang w:eastAsia="zh-CN"/>
        </w:rPr>
        <w:t>3.</w:t>
      </w:r>
      <w:r>
        <w:rPr>
          <w:rFonts w:eastAsia="SimSun"/>
          <w:sz w:val="22"/>
          <w:szCs w:val="22"/>
          <w:lang w:eastAsia="zh-CN"/>
        </w:rPr>
        <w:tab/>
      </w:r>
      <w:r w:rsidRPr="00B76AC9">
        <w:rPr>
          <w:rFonts w:eastAsia="SimSun"/>
          <w:b/>
          <w:sz w:val="22"/>
          <w:szCs w:val="22"/>
          <w:lang w:eastAsia="zh-CN"/>
        </w:rPr>
        <w:t xml:space="preserve">Proposal 1 </w:t>
      </w:r>
    </w:p>
    <w:p w:rsidR="000158DC" w:rsidRDefault="005D69B6" w:rsidP="000158DC">
      <w:pPr>
        <w:pStyle w:val="SingleTxtG"/>
        <w:jc w:val="left"/>
        <w:rPr>
          <w:rFonts w:eastAsia="SimSun"/>
          <w:sz w:val="22"/>
          <w:szCs w:val="22"/>
          <w:lang w:eastAsia="zh-CN"/>
        </w:rPr>
      </w:pPr>
      <w:r w:rsidRPr="00F87DD0">
        <w:rPr>
          <w:rFonts w:eastAsia="SimSun"/>
          <w:sz w:val="22"/>
          <w:szCs w:val="22"/>
          <w:lang w:eastAsia="zh-CN"/>
        </w:rPr>
        <w:t>Introduce a new first paragraph to 6.8.2.2.10 to read</w:t>
      </w:r>
      <w:r w:rsidR="007F6953">
        <w:rPr>
          <w:rFonts w:eastAsia="SimSun"/>
          <w:sz w:val="22"/>
          <w:szCs w:val="22"/>
          <w:lang w:eastAsia="zh-CN"/>
        </w:rPr>
        <w:t xml:space="preserve"> (new wording in </w:t>
      </w:r>
      <w:r w:rsidR="007F6953">
        <w:rPr>
          <w:rFonts w:eastAsia="SimSun"/>
          <w:i/>
          <w:sz w:val="22"/>
          <w:szCs w:val="22"/>
          <w:lang w:eastAsia="zh-CN"/>
        </w:rPr>
        <w:t>italic script)</w:t>
      </w:r>
      <w:r w:rsidRPr="00F87DD0">
        <w:rPr>
          <w:rFonts w:eastAsia="SimSun"/>
          <w:sz w:val="22"/>
          <w:szCs w:val="22"/>
          <w:lang w:eastAsia="zh-CN"/>
        </w:rPr>
        <w:t>:</w:t>
      </w:r>
      <w:r>
        <w:rPr>
          <w:rFonts w:eastAsia="SimSun"/>
          <w:sz w:val="22"/>
          <w:szCs w:val="22"/>
          <w:lang w:eastAsia="zh-CN"/>
        </w:rPr>
        <w:t xml:space="preserve"> </w:t>
      </w:r>
    </w:p>
    <w:p w:rsidR="005D69B6" w:rsidRPr="00D43932" w:rsidRDefault="00347709" w:rsidP="00347709">
      <w:pPr>
        <w:pStyle w:val="SingleTxtG"/>
        <w:ind w:left="2268" w:hanging="1134"/>
        <w:jc w:val="left"/>
        <w:rPr>
          <w:rFonts w:eastAsia="SimSun"/>
          <w:i/>
          <w:lang w:eastAsia="zh-CN"/>
        </w:rPr>
      </w:pPr>
      <w:r>
        <w:rPr>
          <w:rFonts w:eastAsia="SimSun"/>
          <w:lang w:eastAsia="zh-CN"/>
        </w:rPr>
        <w:t>“</w:t>
      </w:r>
      <w:r w:rsidR="005D69B6" w:rsidRPr="00E453FF">
        <w:rPr>
          <w:rFonts w:eastAsia="SimSun"/>
          <w:lang w:eastAsia="zh-CN"/>
        </w:rPr>
        <w:t>6.8.2.2.10</w:t>
      </w:r>
      <w:r w:rsidR="005D69B6" w:rsidRPr="00E453FF">
        <w:rPr>
          <w:rFonts w:eastAsia="SimSun"/>
          <w:i/>
          <w:lang w:eastAsia="zh-CN"/>
        </w:rPr>
        <w:tab/>
      </w:r>
      <w:r w:rsidR="005D69B6" w:rsidRPr="00D43932">
        <w:rPr>
          <w:rFonts w:eastAsia="SimSun"/>
          <w:i/>
          <w:lang w:eastAsia="zh-CN"/>
        </w:rPr>
        <w:t xml:space="preserve">Safety valves shall be </w:t>
      </w:r>
      <w:r w:rsidR="006F3AE1" w:rsidRPr="00D43932">
        <w:rPr>
          <w:rFonts w:eastAsia="SimSun"/>
          <w:i/>
          <w:lang w:eastAsia="zh-CN"/>
        </w:rPr>
        <w:t>spring-loaded</w:t>
      </w:r>
      <w:r w:rsidR="005D69B6" w:rsidRPr="00D43932">
        <w:rPr>
          <w:rFonts w:eastAsia="SimSun"/>
          <w:i/>
          <w:lang w:eastAsia="zh-CN"/>
        </w:rPr>
        <w:t xml:space="preserve"> and be designed to prevent the entry of foreign matter, the development of any dangerous excess pressure and the leakage of liquid and gas. </w:t>
      </w:r>
    </w:p>
    <w:p w:rsidR="005D69B6" w:rsidRPr="00D43932" w:rsidRDefault="005D69B6" w:rsidP="00C003E8">
      <w:pPr>
        <w:tabs>
          <w:tab w:val="left" w:pos="2268"/>
        </w:tabs>
        <w:suppressAutoHyphens w:val="0"/>
        <w:spacing w:after="200" w:line="276" w:lineRule="auto"/>
        <w:ind w:left="2268" w:right="1134" w:hanging="1134"/>
        <w:jc w:val="both"/>
        <w:rPr>
          <w:rFonts w:eastAsia="SimSun"/>
          <w:i/>
          <w:lang w:eastAsia="zh-CN"/>
        </w:rPr>
      </w:pPr>
      <w:r w:rsidRPr="00E453FF">
        <w:rPr>
          <w:rFonts w:eastAsia="SimSun"/>
          <w:lang w:eastAsia="zh-CN"/>
        </w:rPr>
        <w:tab/>
      </w:r>
      <w:r w:rsidRPr="00D43932">
        <w:rPr>
          <w:rFonts w:eastAsia="SimSun"/>
          <w:i/>
          <w:lang w:eastAsia="zh-CN"/>
        </w:rPr>
        <w:t>The safety valves shall open automatically at a pressure not less than the maximum working pressure and shall be fully open at a pressure equal to 110% of the maximum working pressure. These valves shall after discharge, close at a pressure not lower than 10% below the pressure at which discharge starts and shall remain closed at all lower pressures. The safety valve shall be of a type that will resist dynamic forces including liquid surge.</w:t>
      </w:r>
      <w:r w:rsidR="00347709">
        <w:rPr>
          <w:rFonts w:eastAsia="SimSun"/>
          <w:i/>
          <w:lang w:eastAsia="zh-CN"/>
        </w:rPr>
        <w:t>”.</w:t>
      </w:r>
    </w:p>
    <w:p w:rsidR="005D69B6" w:rsidRDefault="000158DC" w:rsidP="005D69B6">
      <w:pPr>
        <w:pStyle w:val="SingleTxtG"/>
        <w:jc w:val="left"/>
        <w:rPr>
          <w:rFonts w:eastAsia="SimSun"/>
          <w:sz w:val="22"/>
          <w:szCs w:val="22"/>
          <w:lang w:eastAsia="zh-CN"/>
        </w:rPr>
      </w:pPr>
      <w:r>
        <w:rPr>
          <w:rFonts w:eastAsia="SimSun"/>
          <w:sz w:val="22"/>
          <w:szCs w:val="22"/>
          <w:lang w:eastAsia="zh-CN"/>
        </w:rPr>
        <w:t>4.</w:t>
      </w:r>
      <w:r w:rsidR="005D69B6">
        <w:rPr>
          <w:rFonts w:eastAsia="SimSun"/>
          <w:sz w:val="22"/>
          <w:szCs w:val="22"/>
          <w:lang w:eastAsia="zh-CN"/>
        </w:rPr>
        <w:tab/>
      </w:r>
      <w:r w:rsidR="005D69B6" w:rsidRPr="00B76AC9">
        <w:rPr>
          <w:rFonts w:eastAsia="SimSun"/>
          <w:b/>
          <w:sz w:val="22"/>
          <w:szCs w:val="22"/>
          <w:lang w:eastAsia="zh-CN"/>
        </w:rPr>
        <w:t>Proposal 2</w:t>
      </w:r>
    </w:p>
    <w:p w:rsidR="005D69B6" w:rsidRPr="00C003E8" w:rsidRDefault="005D69B6" w:rsidP="005D69B6">
      <w:pPr>
        <w:pStyle w:val="SingleTxtG"/>
        <w:rPr>
          <w:rFonts w:eastAsia="SimSun"/>
          <w:lang w:eastAsia="zh-CN"/>
        </w:rPr>
      </w:pPr>
      <w:r w:rsidRPr="00C003E8">
        <w:rPr>
          <w:rFonts w:eastAsia="SimSun"/>
          <w:lang w:eastAsia="zh-CN"/>
        </w:rPr>
        <w:t xml:space="preserve">Modify the second paragraph of 6.8.2.2.10 to read (new wording in </w:t>
      </w:r>
      <w:r w:rsidRPr="00C003E8">
        <w:rPr>
          <w:rFonts w:eastAsia="SimSun"/>
          <w:i/>
          <w:lang w:eastAsia="zh-CN"/>
        </w:rPr>
        <w:t>italic</w:t>
      </w:r>
      <w:r w:rsidRPr="00C003E8">
        <w:rPr>
          <w:rFonts w:eastAsia="SimSun"/>
          <w:lang w:eastAsia="zh-CN"/>
        </w:rPr>
        <w:t xml:space="preserve"> script, deleted wording </w:t>
      </w:r>
      <w:r w:rsidRPr="00C003E8">
        <w:rPr>
          <w:rFonts w:eastAsia="SimSun"/>
          <w:strike/>
          <w:lang w:eastAsia="zh-CN"/>
        </w:rPr>
        <w:t>stricken</w:t>
      </w:r>
      <w:r w:rsidRPr="00C003E8">
        <w:rPr>
          <w:rFonts w:eastAsia="SimSun"/>
          <w:lang w:eastAsia="zh-CN"/>
        </w:rPr>
        <w:t xml:space="preserve"> through)</w:t>
      </w:r>
      <w:r w:rsidR="007F6953" w:rsidRPr="00C003E8">
        <w:rPr>
          <w:rFonts w:eastAsia="SimSun"/>
          <w:lang w:eastAsia="zh-CN"/>
        </w:rPr>
        <w:t>:</w:t>
      </w:r>
    </w:p>
    <w:p w:rsidR="005D69B6" w:rsidRPr="00C003E8" w:rsidRDefault="005D69B6" w:rsidP="00C003E8">
      <w:pPr>
        <w:suppressAutoHyphens w:val="0"/>
        <w:spacing w:after="200" w:line="276" w:lineRule="auto"/>
        <w:ind w:left="2268" w:right="1134"/>
        <w:jc w:val="both"/>
        <w:rPr>
          <w:rFonts w:eastAsia="SimSun"/>
          <w:lang w:eastAsia="zh-CN"/>
        </w:rPr>
      </w:pPr>
      <w:r w:rsidRPr="00C003E8">
        <w:rPr>
          <w:rFonts w:eastAsia="SimSun"/>
          <w:lang w:eastAsia="zh-CN"/>
        </w:rPr>
        <w:t>If tanks required to be hermetically closed are equipped with safety valves, these shall be preceded by a bursting disc and the following conditions shall be observed:</w:t>
      </w:r>
    </w:p>
    <w:p w:rsidR="005D69B6" w:rsidRPr="00C003E8" w:rsidRDefault="005D69B6" w:rsidP="00C003E8">
      <w:pPr>
        <w:suppressAutoHyphens w:val="0"/>
        <w:spacing w:after="200" w:line="276" w:lineRule="auto"/>
        <w:ind w:left="2268" w:right="1134"/>
        <w:jc w:val="both"/>
        <w:rPr>
          <w:rFonts w:eastAsia="SimSun"/>
          <w:lang w:eastAsia="zh-CN"/>
        </w:rPr>
      </w:pPr>
      <w:r w:rsidRPr="00C003E8">
        <w:rPr>
          <w:rFonts w:eastAsia="SimSun"/>
          <w:i/>
          <w:lang w:eastAsia="zh-CN"/>
        </w:rPr>
        <w:t>The bursting disc shall rupture at a nominal pressure</w:t>
      </w:r>
      <w:r w:rsidR="008F7606">
        <w:rPr>
          <w:rFonts w:eastAsia="SimSun"/>
          <w:i/>
          <w:lang w:eastAsia="zh-CN"/>
        </w:rPr>
        <w:t xml:space="preserve"> </w:t>
      </w:r>
      <w:r w:rsidRPr="00C003E8">
        <w:rPr>
          <w:rFonts w:eastAsia="SimSun"/>
          <w:i/>
          <w:lang w:eastAsia="zh-CN"/>
        </w:rPr>
        <w:t>10% above the start to discharge pressure</w:t>
      </w:r>
      <w:r w:rsidR="008F7606">
        <w:rPr>
          <w:rFonts w:eastAsia="SimSun"/>
          <w:i/>
          <w:lang w:eastAsia="zh-CN"/>
        </w:rPr>
        <w:t xml:space="preserve"> </w:t>
      </w:r>
      <w:r w:rsidRPr="00C003E8">
        <w:rPr>
          <w:rFonts w:eastAsia="SimSun"/>
          <w:i/>
          <w:lang w:eastAsia="zh-CN"/>
        </w:rPr>
        <w:t xml:space="preserve"> of the safety valve. </w:t>
      </w:r>
      <w:r w:rsidRPr="00C003E8">
        <w:rPr>
          <w:rFonts w:eastAsia="SimSun"/>
          <w:strike/>
          <w:lang w:eastAsia="zh-CN"/>
        </w:rPr>
        <w:t>The arrangement of the bursting disc and safety valve shall be such as to satisfy the competent authority</w:t>
      </w:r>
      <w:r w:rsidRPr="00C003E8">
        <w:rPr>
          <w:rFonts w:eastAsia="SimSun"/>
          <w:lang w:eastAsia="zh-CN"/>
        </w:rPr>
        <w:t xml:space="preserve">. A pressure gauge or other suitable indicator shall be provided in the space between the bursting disc and the safety valve, to enable detection of any rupture, perforation or leakage of the disc </w:t>
      </w:r>
      <w:r w:rsidRPr="00C003E8">
        <w:rPr>
          <w:rFonts w:eastAsia="SimSun"/>
          <w:strike/>
          <w:lang w:eastAsia="zh-CN"/>
        </w:rPr>
        <w:t>which may disrupt the action of the safety valve</w:t>
      </w:r>
      <w:r w:rsidRPr="00C003E8">
        <w:rPr>
          <w:rFonts w:eastAsia="SimSun"/>
          <w:lang w:eastAsia="zh-CN"/>
        </w:rPr>
        <w:t xml:space="preserve">. </w:t>
      </w:r>
    </w:p>
    <w:p w:rsidR="005D69B6" w:rsidRDefault="005D69B6" w:rsidP="005D69B6">
      <w:pPr>
        <w:suppressAutoHyphens w:val="0"/>
        <w:spacing w:after="200" w:line="276" w:lineRule="auto"/>
        <w:ind w:left="1134" w:right="1134"/>
        <w:jc w:val="both"/>
        <w:rPr>
          <w:rFonts w:eastAsia="SimSun"/>
          <w:b/>
          <w:sz w:val="22"/>
          <w:szCs w:val="22"/>
          <w:lang w:eastAsia="zh-CN"/>
        </w:rPr>
      </w:pPr>
      <w:r>
        <w:rPr>
          <w:rFonts w:eastAsia="SimSun"/>
          <w:sz w:val="22"/>
          <w:szCs w:val="22"/>
          <w:lang w:eastAsia="zh-CN"/>
        </w:rPr>
        <w:t>5.</w:t>
      </w:r>
      <w:r>
        <w:rPr>
          <w:rFonts w:eastAsia="SimSun"/>
          <w:sz w:val="22"/>
          <w:szCs w:val="22"/>
          <w:lang w:eastAsia="zh-CN"/>
        </w:rPr>
        <w:tab/>
      </w:r>
      <w:r w:rsidRPr="008F077D">
        <w:rPr>
          <w:rFonts w:eastAsia="SimSun"/>
          <w:b/>
          <w:sz w:val="22"/>
          <w:szCs w:val="22"/>
          <w:lang w:eastAsia="zh-CN"/>
        </w:rPr>
        <w:t>Proposal 3</w:t>
      </w:r>
    </w:p>
    <w:p w:rsidR="00C003E8" w:rsidRDefault="005D69B6" w:rsidP="00AA01E4">
      <w:pPr>
        <w:suppressAutoHyphens w:val="0"/>
        <w:spacing w:after="200" w:line="276" w:lineRule="auto"/>
        <w:ind w:left="1134" w:right="1134"/>
        <w:jc w:val="both"/>
        <w:rPr>
          <w:rFonts w:eastAsia="SimSun"/>
          <w:lang w:eastAsia="zh-CN"/>
        </w:rPr>
      </w:pPr>
      <w:r w:rsidRPr="00C003E8">
        <w:rPr>
          <w:rFonts w:eastAsia="SimSun"/>
          <w:lang w:eastAsia="zh-CN"/>
        </w:rPr>
        <w:t xml:space="preserve">Introduce a new transitional measure in case </w:t>
      </w:r>
      <w:r w:rsidR="00E3776A">
        <w:rPr>
          <w:rFonts w:eastAsia="SimSun"/>
          <w:lang w:eastAsia="zh-CN"/>
        </w:rPr>
        <w:t>bursting dis</w:t>
      </w:r>
      <w:r w:rsidR="00A27229">
        <w:rPr>
          <w:rFonts w:eastAsia="SimSun"/>
          <w:lang w:eastAsia="zh-CN"/>
        </w:rPr>
        <w:t>c</w:t>
      </w:r>
      <w:r w:rsidR="00E3776A">
        <w:rPr>
          <w:rFonts w:eastAsia="SimSun"/>
          <w:lang w:eastAsia="zh-CN"/>
        </w:rPr>
        <w:t xml:space="preserve">s </w:t>
      </w:r>
      <w:r w:rsidRPr="00C003E8">
        <w:rPr>
          <w:rFonts w:eastAsia="SimSun"/>
          <w:lang w:eastAsia="zh-CN"/>
        </w:rPr>
        <w:t xml:space="preserve">with alternative values are </w:t>
      </w:r>
      <w:r w:rsidR="00E3776A">
        <w:rPr>
          <w:rFonts w:eastAsia="SimSun"/>
          <w:lang w:eastAsia="zh-CN"/>
        </w:rPr>
        <w:t>applied</w:t>
      </w:r>
      <w:r w:rsidR="007F6953">
        <w:rPr>
          <w:rFonts w:eastAsia="SimSun"/>
          <w:lang w:eastAsia="zh-CN"/>
        </w:rPr>
        <w:t xml:space="preserve"> (new wording in </w:t>
      </w:r>
      <w:r w:rsidR="007F6953">
        <w:rPr>
          <w:rFonts w:eastAsia="SimSun"/>
          <w:i/>
          <w:lang w:eastAsia="zh-CN"/>
        </w:rPr>
        <w:t xml:space="preserve">italic </w:t>
      </w:r>
      <w:r w:rsidR="007F6953">
        <w:rPr>
          <w:rFonts w:eastAsia="SimSun"/>
          <w:lang w:eastAsia="zh-CN"/>
        </w:rPr>
        <w:t>script)</w:t>
      </w:r>
      <w:r w:rsidR="00A27229">
        <w:rPr>
          <w:rFonts w:eastAsia="SimSun"/>
          <w:lang w:eastAsia="zh-CN"/>
        </w:rPr>
        <w:t>:</w:t>
      </w:r>
    </w:p>
    <w:p w:rsidR="005D69B6" w:rsidRPr="000974D0" w:rsidRDefault="00347709" w:rsidP="00AA01E4">
      <w:pPr>
        <w:suppressAutoHyphens w:val="0"/>
        <w:spacing w:after="200" w:line="276" w:lineRule="auto"/>
        <w:ind w:left="2268" w:right="1134" w:hanging="1134"/>
        <w:jc w:val="both"/>
        <w:rPr>
          <w:rFonts w:eastAsia="SimSun"/>
          <w:b/>
          <w:i/>
          <w:lang w:eastAsia="zh-CN"/>
        </w:rPr>
      </w:pPr>
      <w:r>
        <w:rPr>
          <w:rFonts w:eastAsia="SimSun"/>
          <w:lang w:eastAsia="zh-CN"/>
        </w:rPr>
        <w:t>“</w:t>
      </w:r>
      <w:r w:rsidR="005D69B6" w:rsidRPr="00C003E8">
        <w:rPr>
          <w:rFonts w:eastAsia="SimSun"/>
          <w:lang w:eastAsia="zh-CN"/>
        </w:rPr>
        <w:t xml:space="preserve">1.6.3.yy /1.6.4.xx </w:t>
      </w:r>
      <w:r w:rsidR="005D69B6" w:rsidRPr="000974D0">
        <w:rPr>
          <w:rFonts w:eastAsia="SimSun"/>
          <w:i/>
          <w:lang w:eastAsia="zh-CN"/>
        </w:rPr>
        <w:t>Fixed tanks (tank-vehicles) and demountable tanks/tank wagons (check)</w:t>
      </w:r>
      <w:r w:rsidR="00AA01E4" w:rsidRPr="000974D0">
        <w:rPr>
          <w:rFonts w:eastAsia="SimSun"/>
          <w:i/>
          <w:lang w:eastAsia="zh-CN"/>
        </w:rPr>
        <w:t>/tank-containers</w:t>
      </w:r>
      <w:r w:rsidR="005D69B6" w:rsidRPr="000974D0">
        <w:rPr>
          <w:rFonts w:eastAsia="SimSun"/>
          <w:i/>
          <w:lang w:eastAsia="zh-CN"/>
        </w:rPr>
        <w:t xml:space="preserve"> constructed before 1 January 2019 in compliance to the regulation in force up to 31 December 2018 but which do not conform to the requirements of 6.8.2.</w:t>
      </w:r>
      <w:r w:rsidR="007F6953">
        <w:rPr>
          <w:rFonts w:eastAsia="SimSun"/>
          <w:i/>
          <w:lang w:eastAsia="zh-CN"/>
        </w:rPr>
        <w:t>2.</w:t>
      </w:r>
      <w:r w:rsidR="005D69B6" w:rsidRPr="000974D0">
        <w:rPr>
          <w:rFonts w:eastAsia="SimSun"/>
          <w:i/>
          <w:lang w:eastAsia="zh-CN"/>
        </w:rPr>
        <w:t>10 concerning the burst pressure of the bursting disc may continued to be used until the next leakproofness test as part of the periodic or intermediate inspection is performed</w:t>
      </w:r>
      <w:r w:rsidR="005D69B6" w:rsidRPr="00347709">
        <w:rPr>
          <w:rFonts w:eastAsia="SimSun"/>
          <w:i/>
          <w:lang w:eastAsia="zh-CN"/>
        </w:rPr>
        <w:t>.</w:t>
      </w:r>
      <w:r w:rsidRPr="00347709">
        <w:rPr>
          <w:rFonts w:eastAsia="SimSun"/>
          <w:i/>
          <w:lang w:eastAsia="zh-CN"/>
        </w:rPr>
        <w:t>”.</w:t>
      </w:r>
    </w:p>
    <w:p w:rsidR="005D69B6" w:rsidRDefault="005D69B6" w:rsidP="005D69B6">
      <w:pPr>
        <w:pStyle w:val="HChG"/>
        <w:tabs>
          <w:tab w:val="clear" w:pos="851"/>
        </w:tabs>
        <w:ind w:firstLine="0"/>
      </w:pPr>
      <w:r>
        <w:lastRenderedPageBreak/>
        <w:t>Justification</w:t>
      </w:r>
    </w:p>
    <w:p w:rsidR="005D69B6" w:rsidRDefault="005D69B6" w:rsidP="005D69B6">
      <w:pPr>
        <w:pStyle w:val="SingleTxtG"/>
      </w:pPr>
      <w:r>
        <w:t>6.</w:t>
      </w:r>
      <w:r>
        <w:tab/>
      </w:r>
      <w:r w:rsidRPr="00C15B79">
        <w:t xml:space="preserve">The general requirements </w:t>
      </w:r>
      <w:r>
        <w:t>of proposal 1 are</w:t>
      </w:r>
      <w:r w:rsidRPr="00C15B79">
        <w:t xml:space="preserve"> based on the existing wording for pressure-relief devices in 6.7.2.8.</w:t>
      </w:r>
      <w:r w:rsidRPr="004A2D7B">
        <w:t xml:space="preserve"> </w:t>
      </w:r>
      <w:r w:rsidRPr="00C15B79">
        <w:t xml:space="preserve">It is expected that all safety valves comply and that </w:t>
      </w:r>
      <w:r w:rsidR="00AA01E4">
        <w:t xml:space="preserve">there is no need for a </w:t>
      </w:r>
      <w:r w:rsidRPr="00C15B79">
        <w:t>transitional measure</w:t>
      </w:r>
      <w:r>
        <w:t>.</w:t>
      </w:r>
    </w:p>
    <w:p w:rsidR="005D69B6" w:rsidRDefault="005D69B6" w:rsidP="005D69B6">
      <w:pPr>
        <w:pStyle w:val="SingleTxtG"/>
      </w:pPr>
      <w:r>
        <w:t xml:space="preserve">7. </w:t>
      </w:r>
      <w:r>
        <w:tab/>
        <w:t>In proposal 2 t</w:t>
      </w:r>
      <w:r w:rsidRPr="00C15B79">
        <w:t>he pressure at which the bursting disc shall rupture is nominal, in other words</w:t>
      </w:r>
      <w:r w:rsidR="00A27229">
        <w:t>,</w:t>
      </w:r>
      <w:r w:rsidRPr="00C15B79">
        <w:t xml:space="preserve"> the rating given on the label of the disc, it shall not be tested. 10% above the start to discharge pressure </w:t>
      </w:r>
      <w:r w:rsidR="00A202B9">
        <w:t>(</w:t>
      </w:r>
      <w:r w:rsidR="006F3AE1">
        <w:t>set point</w:t>
      </w:r>
      <w:r w:rsidR="00A202B9">
        <w:t xml:space="preserve">) </w:t>
      </w:r>
      <w:r w:rsidRPr="00C15B79">
        <w:t xml:space="preserve">of the safety valve is already applied in practice for tanks </w:t>
      </w:r>
      <w:r w:rsidR="00AA01E4">
        <w:t xml:space="preserve">of 6.7.2 and will </w:t>
      </w:r>
      <w:r w:rsidR="00E3776A">
        <w:t>help to p</w:t>
      </w:r>
      <w:r w:rsidR="00AA01E4">
        <w:t xml:space="preserve">revent </w:t>
      </w:r>
      <w:r w:rsidR="00E3776A">
        <w:t>rupture during filling of unloading at the maximum working pressure.</w:t>
      </w:r>
    </w:p>
    <w:p w:rsidR="000158DC" w:rsidRDefault="005D69B6" w:rsidP="00347709">
      <w:pPr>
        <w:pStyle w:val="SingleTxtG"/>
        <w:ind w:right="282"/>
        <w:jc w:val="left"/>
      </w:pPr>
      <w:r>
        <w:t>8.</w:t>
      </w:r>
      <w:r>
        <w:tab/>
      </w:r>
      <w:r w:rsidRPr="00C15B79">
        <w:t xml:space="preserve">The final wording is deleted </w:t>
      </w:r>
      <w:r>
        <w:t xml:space="preserve">to prevent </w:t>
      </w:r>
      <w:r w:rsidRPr="00C15B79">
        <w:t xml:space="preserve">discussion </w:t>
      </w:r>
      <w:r w:rsidR="002841B9">
        <w:t xml:space="preserve">if </w:t>
      </w:r>
      <w:r>
        <w:t>a pa</w:t>
      </w:r>
      <w:r w:rsidR="00347709">
        <w:t>rticular leakage may “disrupt</w:t>
      </w:r>
      <w:r w:rsidR="00E3776A">
        <w:t>”</w:t>
      </w:r>
      <w:r w:rsidR="00347709">
        <w:br/>
      </w:r>
      <w:r>
        <w:t>the action of the safety valve or not.</w:t>
      </w:r>
    </w:p>
    <w:p w:rsidR="000158DC" w:rsidRPr="000158DC" w:rsidRDefault="000158DC" w:rsidP="000158DC">
      <w:pPr>
        <w:pStyle w:val="SingleTxtG"/>
        <w:spacing w:before="240" w:after="0"/>
        <w:jc w:val="center"/>
        <w:rPr>
          <w:u w:val="single"/>
        </w:rPr>
      </w:pPr>
      <w:r>
        <w:rPr>
          <w:u w:val="single"/>
        </w:rPr>
        <w:tab/>
      </w:r>
      <w:r>
        <w:rPr>
          <w:u w:val="single"/>
        </w:rPr>
        <w:tab/>
      </w:r>
      <w:r>
        <w:rPr>
          <w:u w:val="single"/>
        </w:rPr>
        <w:tab/>
      </w:r>
    </w:p>
    <w:sectPr w:rsidR="000158DC" w:rsidRPr="000158DC" w:rsidSect="005E485F">
      <w:headerReference w:type="even" r:id="rId9"/>
      <w:headerReference w:type="default" r:id="rId10"/>
      <w:footerReference w:type="even" r:id="rId11"/>
      <w:footerReference w:type="default" r:id="rId12"/>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CD1" w:rsidRDefault="00D37CD1" w:rsidP="00CC6C17">
      <w:pPr>
        <w:spacing w:line="240" w:lineRule="auto"/>
      </w:pPr>
      <w:r>
        <w:separator/>
      </w:r>
    </w:p>
  </w:endnote>
  <w:endnote w:type="continuationSeparator" w:id="0">
    <w:p w:rsidR="00D37CD1" w:rsidRDefault="00D37CD1" w:rsidP="00CC6C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561528292"/>
      <w:docPartObj>
        <w:docPartGallery w:val="Page Numbers (Bottom of Page)"/>
        <w:docPartUnique/>
      </w:docPartObj>
    </w:sdtPr>
    <w:sdtEndPr>
      <w:rPr>
        <w:noProof/>
      </w:rPr>
    </w:sdtEndPr>
    <w:sdtContent>
      <w:p w:rsidR="00F36FCC" w:rsidRPr="00F36FCC" w:rsidRDefault="00F36FCC">
        <w:pPr>
          <w:pStyle w:val="Footer"/>
          <w:rPr>
            <w:b/>
            <w:sz w:val="18"/>
            <w:szCs w:val="18"/>
          </w:rPr>
        </w:pPr>
        <w:r w:rsidRPr="00F36FCC">
          <w:rPr>
            <w:b/>
            <w:sz w:val="18"/>
            <w:szCs w:val="18"/>
          </w:rPr>
          <w:fldChar w:fldCharType="begin"/>
        </w:r>
        <w:r w:rsidRPr="00F36FCC">
          <w:rPr>
            <w:b/>
            <w:sz w:val="18"/>
            <w:szCs w:val="18"/>
          </w:rPr>
          <w:instrText xml:space="preserve"> PAGE   \* MERGEFORMAT </w:instrText>
        </w:r>
        <w:r w:rsidRPr="00F36FCC">
          <w:rPr>
            <w:b/>
            <w:sz w:val="18"/>
            <w:szCs w:val="18"/>
          </w:rPr>
          <w:fldChar w:fldCharType="separate"/>
        </w:r>
        <w:r w:rsidR="009238D8">
          <w:rPr>
            <w:b/>
            <w:noProof/>
            <w:sz w:val="18"/>
            <w:szCs w:val="18"/>
          </w:rPr>
          <w:t>2</w:t>
        </w:r>
        <w:r w:rsidRPr="00F36FCC">
          <w:rPr>
            <w:b/>
            <w:noProof/>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FCC" w:rsidRPr="00F36FCC" w:rsidRDefault="00F36FCC" w:rsidP="000A6906">
    <w:pPr>
      <w:pStyle w:val="Footer"/>
      <w:jc w:val="right"/>
      <w:rPr>
        <w:b/>
        <w:sz w:val="18"/>
        <w:szCs w:val="18"/>
        <w:lang w:val="fr-CH"/>
      </w:rPr>
    </w:pPr>
    <w:r>
      <w:rPr>
        <w:b/>
        <w:sz w:val="18"/>
        <w:szCs w:val="18"/>
        <w:lang w:val="fr-CH"/>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CD1" w:rsidRDefault="00D37CD1" w:rsidP="00CC6C17">
      <w:pPr>
        <w:spacing w:line="240" w:lineRule="auto"/>
      </w:pPr>
      <w:r>
        <w:separator/>
      </w:r>
    </w:p>
  </w:footnote>
  <w:footnote w:type="continuationSeparator" w:id="0">
    <w:p w:rsidR="00D37CD1" w:rsidRDefault="00D37CD1" w:rsidP="00CC6C17">
      <w:pPr>
        <w:spacing w:line="240" w:lineRule="auto"/>
      </w:pPr>
      <w:r>
        <w:continuationSeparator/>
      </w:r>
    </w:p>
  </w:footnote>
  <w:footnote w:id="1">
    <w:p w:rsidR="00CC39A9" w:rsidRPr="006E5117" w:rsidRDefault="00CC39A9" w:rsidP="00CC39A9">
      <w:pPr>
        <w:pStyle w:val="FootnoteText"/>
        <w:ind w:left="1418" w:hanging="284"/>
        <w:jc w:val="both"/>
      </w:pPr>
      <w:r>
        <w:rPr>
          <w:rStyle w:val="FootnoteReference"/>
        </w:rPr>
        <w:footnoteRef/>
      </w:r>
      <w:r>
        <w:tab/>
        <w:t>In accordance with the programme of work of the Inland Transport Committee for 2016-2017, (ECE/TRANS/2016/28/Add.1 (9.2)).</w:t>
      </w:r>
    </w:p>
  </w:footnote>
  <w:footnote w:id="2">
    <w:p w:rsidR="00CC39A9" w:rsidRPr="006E5117" w:rsidRDefault="00CC39A9" w:rsidP="00742B9A">
      <w:pPr>
        <w:pStyle w:val="FootnoteText"/>
        <w:ind w:left="1418" w:hanging="284"/>
        <w:jc w:val="both"/>
        <w:rPr>
          <w:lang w:val="en-US"/>
        </w:rPr>
      </w:pPr>
      <w:r>
        <w:rPr>
          <w:rStyle w:val="FootnoteReference"/>
        </w:rPr>
        <w:footnoteRef/>
      </w:r>
      <w:r>
        <w:tab/>
      </w:r>
      <w:r w:rsidRPr="00F30C99">
        <w:t xml:space="preserve">Circulated by the Intergovernmental Organisation for International Carriage by Rail (OTIF) under the symbol </w:t>
      </w:r>
      <w:r w:rsidRPr="00561474">
        <w:t>OTIF/RID/RC/201</w:t>
      </w:r>
      <w:r>
        <w:t>6</w:t>
      </w:r>
      <w:r w:rsidRPr="00561474">
        <w:t>/</w:t>
      </w:r>
      <w:r w:rsidRPr="00CC39A9">
        <w:rPr>
          <w:lang w:val="en-GB"/>
        </w:rPr>
        <w:t>25</w:t>
      </w:r>
      <w:r w:rsidRPr="00561474">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FCC" w:rsidRPr="00F36FCC" w:rsidRDefault="00F36FCC" w:rsidP="00EB345C">
    <w:pPr>
      <w:pStyle w:val="Header"/>
      <w:pBdr>
        <w:bottom w:val="single" w:sz="4" w:space="1" w:color="auto"/>
      </w:pBdr>
      <w:rPr>
        <w:b/>
        <w:lang w:val="fr-CH"/>
      </w:rPr>
    </w:pPr>
    <w:r w:rsidRPr="00F36FCC">
      <w:rPr>
        <w:b/>
        <w:lang w:val="fr-CH"/>
      </w:rPr>
      <w:t>ECE/TRANS/WP.15/AC.1/2016/25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906" w:rsidRPr="00F36FCC" w:rsidRDefault="000A6906" w:rsidP="00EB345C">
    <w:pPr>
      <w:pStyle w:val="Header"/>
      <w:pBdr>
        <w:bottom w:val="single" w:sz="4" w:space="1" w:color="auto"/>
      </w:pBdr>
      <w:jc w:val="right"/>
      <w:rPr>
        <w:b/>
        <w:lang w:val="fr-CH"/>
      </w:rPr>
    </w:pPr>
    <w:r w:rsidRPr="00F36FCC">
      <w:rPr>
        <w:b/>
        <w:lang w:val="fr-CH"/>
      </w:rPr>
      <w:t>ECE/TRANS/WP.15/AC.1/2016/25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hyphenationZone w:val="425"/>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C17"/>
    <w:rsid w:val="000158DC"/>
    <w:rsid w:val="00036FBD"/>
    <w:rsid w:val="00040E78"/>
    <w:rsid w:val="000974D0"/>
    <w:rsid w:val="000A6906"/>
    <w:rsid w:val="001762A1"/>
    <w:rsid w:val="002841B9"/>
    <w:rsid w:val="002A037D"/>
    <w:rsid w:val="002D0F34"/>
    <w:rsid w:val="002F56E1"/>
    <w:rsid w:val="0032393F"/>
    <w:rsid w:val="00347709"/>
    <w:rsid w:val="00450CD0"/>
    <w:rsid w:val="004D3898"/>
    <w:rsid w:val="00552FE6"/>
    <w:rsid w:val="00566247"/>
    <w:rsid w:val="005D69B6"/>
    <w:rsid w:val="005E485F"/>
    <w:rsid w:val="0068141D"/>
    <w:rsid w:val="006F3AE1"/>
    <w:rsid w:val="00742B9A"/>
    <w:rsid w:val="007F6953"/>
    <w:rsid w:val="00836C40"/>
    <w:rsid w:val="008B2DB5"/>
    <w:rsid w:val="008F7606"/>
    <w:rsid w:val="009238D8"/>
    <w:rsid w:val="00942375"/>
    <w:rsid w:val="009425F9"/>
    <w:rsid w:val="009456F6"/>
    <w:rsid w:val="0095326B"/>
    <w:rsid w:val="009F43C4"/>
    <w:rsid w:val="00A202B9"/>
    <w:rsid w:val="00A27229"/>
    <w:rsid w:val="00A3133D"/>
    <w:rsid w:val="00A54BE5"/>
    <w:rsid w:val="00A81AC5"/>
    <w:rsid w:val="00AA01E4"/>
    <w:rsid w:val="00C003E8"/>
    <w:rsid w:val="00CC39A9"/>
    <w:rsid w:val="00CC6C17"/>
    <w:rsid w:val="00D37CD1"/>
    <w:rsid w:val="00D43932"/>
    <w:rsid w:val="00E3776A"/>
    <w:rsid w:val="00E453FF"/>
    <w:rsid w:val="00E644B9"/>
    <w:rsid w:val="00EB345C"/>
    <w:rsid w:val="00F36FCC"/>
    <w:rsid w:val="00FE7C04"/>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C17"/>
    <w:pPr>
      <w:suppressAutoHyphens/>
      <w:spacing w:after="0" w:line="240" w:lineRule="atLeast"/>
    </w:pPr>
    <w:rPr>
      <w:rFonts w:ascii="Times New Roman" w:eastAsia="Times New Roman" w:hAnsi="Times New Roman" w:cs="Times New Roman"/>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rsid w:val="00CC6C17"/>
    <w:pPr>
      <w:keepNext/>
      <w:keepLines/>
      <w:tabs>
        <w:tab w:val="right" w:pos="851"/>
      </w:tabs>
      <w:spacing w:before="360" w:after="240" w:line="300" w:lineRule="exact"/>
      <w:ind w:left="1134" w:right="1134" w:hanging="1134"/>
    </w:pPr>
    <w:rPr>
      <w:b/>
      <w:sz w:val="28"/>
      <w:lang w:val="x-none"/>
    </w:rPr>
  </w:style>
  <w:style w:type="character" w:styleId="FootnoteReference">
    <w:name w:val="footnote reference"/>
    <w:aliases w:val="4_G,Footnote Reference/,4_GR"/>
    <w:qFormat/>
    <w:rsid w:val="00CC6C17"/>
    <w:rPr>
      <w:rFonts w:ascii="Times New Roman" w:hAnsi="Times New Roman"/>
      <w:sz w:val="18"/>
      <w:vertAlign w:val="superscript"/>
    </w:rPr>
  </w:style>
  <w:style w:type="paragraph" w:styleId="FootnoteText">
    <w:name w:val="footnote text"/>
    <w:aliases w:val="5_G"/>
    <w:basedOn w:val="Normal"/>
    <w:link w:val="FootnoteTextChar"/>
    <w:qFormat/>
    <w:rsid w:val="00CC6C17"/>
    <w:pPr>
      <w:tabs>
        <w:tab w:val="right" w:pos="1021"/>
      </w:tabs>
      <w:spacing w:line="220" w:lineRule="exact"/>
      <w:ind w:left="1134" w:right="1134" w:hanging="1134"/>
    </w:pPr>
    <w:rPr>
      <w:sz w:val="18"/>
      <w:lang w:val="x-none"/>
    </w:rPr>
  </w:style>
  <w:style w:type="character" w:customStyle="1" w:styleId="FootnoteTextChar">
    <w:name w:val="Footnote Text Char"/>
    <w:aliases w:val="5_G Char"/>
    <w:basedOn w:val="DefaultParagraphFont"/>
    <w:link w:val="FootnoteText"/>
    <w:rsid w:val="00CC6C17"/>
    <w:rPr>
      <w:rFonts w:ascii="Times New Roman" w:eastAsia="Times New Roman" w:hAnsi="Times New Roman" w:cs="Times New Roman"/>
      <w:sz w:val="18"/>
      <w:szCs w:val="20"/>
      <w:lang w:val="x-none" w:eastAsia="en-US"/>
    </w:rPr>
  </w:style>
  <w:style w:type="paragraph" w:customStyle="1" w:styleId="H1G">
    <w:name w:val="_ H_1_G"/>
    <w:basedOn w:val="Normal"/>
    <w:next w:val="Normal"/>
    <w:link w:val="H1GChar"/>
    <w:rsid w:val="00CC6C17"/>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rsid w:val="00CC6C17"/>
    <w:rPr>
      <w:rFonts w:ascii="Times New Roman" w:eastAsia="Times New Roman" w:hAnsi="Times New Roman" w:cs="Times New Roman"/>
      <w:b/>
      <w:sz w:val="24"/>
      <w:szCs w:val="20"/>
      <w:lang w:val="en-GB" w:eastAsia="en-US"/>
    </w:rPr>
  </w:style>
  <w:style w:type="character" w:customStyle="1" w:styleId="HChGChar">
    <w:name w:val="_ H _Ch_G Char"/>
    <w:link w:val="HChG"/>
    <w:rsid w:val="00CC6C17"/>
    <w:rPr>
      <w:rFonts w:ascii="Times New Roman" w:eastAsia="Times New Roman" w:hAnsi="Times New Roman" w:cs="Times New Roman"/>
      <w:b/>
      <w:sz w:val="28"/>
      <w:szCs w:val="20"/>
      <w:lang w:val="x-none" w:eastAsia="en-US"/>
    </w:rPr>
  </w:style>
  <w:style w:type="paragraph" w:styleId="BalloonText">
    <w:name w:val="Balloon Text"/>
    <w:basedOn w:val="Normal"/>
    <w:link w:val="BalloonTextChar"/>
    <w:uiPriority w:val="99"/>
    <w:semiHidden/>
    <w:unhideWhenUsed/>
    <w:rsid w:val="00CC6C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C17"/>
    <w:rPr>
      <w:rFonts w:ascii="Tahoma" w:eastAsia="Times New Roman" w:hAnsi="Tahoma" w:cs="Tahoma"/>
      <w:sz w:val="16"/>
      <w:szCs w:val="16"/>
      <w:lang w:val="en-GB" w:eastAsia="en-US"/>
    </w:rPr>
  </w:style>
  <w:style w:type="paragraph" w:customStyle="1" w:styleId="SingleTxtG">
    <w:name w:val="_ Single Txt_G"/>
    <w:basedOn w:val="Normal"/>
    <w:link w:val="SingleTxtGChar"/>
    <w:qFormat/>
    <w:rsid w:val="005D69B6"/>
    <w:pPr>
      <w:spacing w:after="120"/>
      <w:ind w:left="1134" w:right="1134"/>
      <w:jc w:val="both"/>
    </w:pPr>
  </w:style>
  <w:style w:type="character" w:customStyle="1" w:styleId="SingleTxtGChar">
    <w:name w:val="_ Single Txt_G Char"/>
    <w:link w:val="SingleTxtG"/>
    <w:rsid w:val="005D69B6"/>
    <w:rPr>
      <w:rFonts w:ascii="Times New Roman" w:eastAsia="Times New Roman" w:hAnsi="Times New Roman" w:cs="Times New Roman"/>
      <w:sz w:val="20"/>
      <w:szCs w:val="20"/>
      <w:lang w:val="en-GB" w:eastAsia="en-US"/>
    </w:rPr>
  </w:style>
  <w:style w:type="character" w:styleId="CommentReference">
    <w:name w:val="annotation reference"/>
    <w:basedOn w:val="DefaultParagraphFont"/>
    <w:uiPriority w:val="99"/>
    <w:semiHidden/>
    <w:unhideWhenUsed/>
    <w:rsid w:val="002A037D"/>
    <w:rPr>
      <w:sz w:val="16"/>
      <w:szCs w:val="16"/>
    </w:rPr>
  </w:style>
  <w:style w:type="paragraph" w:styleId="CommentText">
    <w:name w:val="annotation text"/>
    <w:basedOn w:val="Normal"/>
    <w:link w:val="CommentTextChar"/>
    <w:uiPriority w:val="99"/>
    <w:semiHidden/>
    <w:unhideWhenUsed/>
    <w:rsid w:val="002A037D"/>
    <w:pPr>
      <w:spacing w:line="240" w:lineRule="auto"/>
    </w:pPr>
  </w:style>
  <w:style w:type="character" w:customStyle="1" w:styleId="CommentTextChar">
    <w:name w:val="Comment Text Char"/>
    <w:basedOn w:val="DefaultParagraphFont"/>
    <w:link w:val="CommentText"/>
    <w:uiPriority w:val="99"/>
    <w:semiHidden/>
    <w:rsid w:val="002A037D"/>
    <w:rPr>
      <w:rFonts w:ascii="Times New Roman" w:eastAsia="Times New Roman"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2A037D"/>
    <w:rPr>
      <w:b/>
      <w:bCs/>
    </w:rPr>
  </w:style>
  <w:style w:type="character" w:customStyle="1" w:styleId="CommentSubjectChar">
    <w:name w:val="Comment Subject Char"/>
    <w:basedOn w:val="CommentTextChar"/>
    <w:link w:val="CommentSubject"/>
    <w:uiPriority w:val="99"/>
    <w:semiHidden/>
    <w:rsid w:val="002A037D"/>
    <w:rPr>
      <w:rFonts w:ascii="Times New Roman" w:eastAsia="Times New Roman" w:hAnsi="Times New Roman" w:cs="Times New Roman"/>
      <w:b/>
      <w:bCs/>
      <w:sz w:val="20"/>
      <w:szCs w:val="20"/>
      <w:lang w:val="en-GB" w:eastAsia="en-US"/>
    </w:rPr>
  </w:style>
  <w:style w:type="paragraph" w:styleId="Revision">
    <w:name w:val="Revision"/>
    <w:hidden/>
    <w:uiPriority w:val="99"/>
    <w:semiHidden/>
    <w:rsid w:val="002D0F34"/>
    <w:pPr>
      <w:spacing w:after="0" w:line="240" w:lineRule="auto"/>
    </w:pPr>
    <w:rPr>
      <w:rFonts w:ascii="Times New Roman" w:eastAsia="Times New Roman" w:hAnsi="Times New Roman" w:cs="Times New Roman"/>
      <w:sz w:val="20"/>
      <w:szCs w:val="20"/>
      <w:lang w:val="en-GB" w:eastAsia="en-US"/>
    </w:rPr>
  </w:style>
  <w:style w:type="paragraph" w:styleId="Header">
    <w:name w:val="header"/>
    <w:basedOn w:val="Normal"/>
    <w:link w:val="HeaderChar"/>
    <w:uiPriority w:val="99"/>
    <w:unhideWhenUsed/>
    <w:rsid w:val="00F36FCC"/>
    <w:pPr>
      <w:tabs>
        <w:tab w:val="center" w:pos="4513"/>
        <w:tab w:val="right" w:pos="9026"/>
      </w:tabs>
      <w:spacing w:line="240" w:lineRule="auto"/>
    </w:pPr>
  </w:style>
  <w:style w:type="character" w:customStyle="1" w:styleId="HeaderChar">
    <w:name w:val="Header Char"/>
    <w:basedOn w:val="DefaultParagraphFont"/>
    <w:link w:val="Header"/>
    <w:uiPriority w:val="99"/>
    <w:rsid w:val="00F36FCC"/>
    <w:rPr>
      <w:rFonts w:ascii="Times New Roman" w:eastAsia="Times New Roman" w:hAnsi="Times New Roman" w:cs="Times New Roman"/>
      <w:sz w:val="20"/>
      <w:szCs w:val="20"/>
      <w:lang w:val="en-GB" w:eastAsia="en-US"/>
    </w:rPr>
  </w:style>
  <w:style w:type="paragraph" w:styleId="Footer">
    <w:name w:val="footer"/>
    <w:basedOn w:val="Normal"/>
    <w:link w:val="FooterChar"/>
    <w:uiPriority w:val="99"/>
    <w:unhideWhenUsed/>
    <w:rsid w:val="00F36FCC"/>
    <w:pPr>
      <w:tabs>
        <w:tab w:val="center" w:pos="4513"/>
        <w:tab w:val="right" w:pos="9026"/>
      </w:tabs>
      <w:spacing w:line="240" w:lineRule="auto"/>
    </w:pPr>
  </w:style>
  <w:style w:type="character" w:customStyle="1" w:styleId="FooterChar">
    <w:name w:val="Footer Char"/>
    <w:basedOn w:val="DefaultParagraphFont"/>
    <w:link w:val="Footer"/>
    <w:uiPriority w:val="99"/>
    <w:rsid w:val="00F36FCC"/>
    <w:rPr>
      <w:rFonts w:ascii="Times New Roman" w:eastAsia="Times New Roman" w:hAnsi="Times New Roman" w:cs="Times New Roman"/>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C17"/>
    <w:pPr>
      <w:suppressAutoHyphens/>
      <w:spacing w:after="0" w:line="240" w:lineRule="atLeast"/>
    </w:pPr>
    <w:rPr>
      <w:rFonts w:ascii="Times New Roman" w:eastAsia="Times New Roman" w:hAnsi="Times New Roman" w:cs="Times New Roman"/>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rsid w:val="00CC6C17"/>
    <w:pPr>
      <w:keepNext/>
      <w:keepLines/>
      <w:tabs>
        <w:tab w:val="right" w:pos="851"/>
      </w:tabs>
      <w:spacing w:before="360" w:after="240" w:line="300" w:lineRule="exact"/>
      <w:ind w:left="1134" w:right="1134" w:hanging="1134"/>
    </w:pPr>
    <w:rPr>
      <w:b/>
      <w:sz w:val="28"/>
      <w:lang w:val="x-none"/>
    </w:rPr>
  </w:style>
  <w:style w:type="character" w:styleId="FootnoteReference">
    <w:name w:val="footnote reference"/>
    <w:aliases w:val="4_G,Footnote Reference/,4_GR"/>
    <w:qFormat/>
    <w:rsid w:val="00CC6C17"/>
    <w:rPr>
      <w:rFonts w:ascii="Times New Roman" w:hAnsi="Times New Roman"/>
      <w:sz w:val="18"/>
      <w:vertAlign w:val="superscript"/>
    </w:rPr>
  </w:style>
  <w:style w:type="paragraph" w:styleId="FootnoteText">
    <w:name w:val="footnote text"/>
    <w:aliases w:val="5_G"/>
    <w:basedOn w:val="Normal"/>
    <w:link w:val="FootnoteTextChar"/>
    <w:qFormat/>
    <w:rsid w:val="00CC6C17"/>
    <w:pPr>
      <w:tabs>
        <w:tab w:val="right" w:pos="1021"/>
      </w:tabs>
      <w:spacing w:line="220" w:lineRule="exact"/>
      <w:ind w:left="1134" w:right="1134" w:hanging="1134"/>
    </w:pPr>
    <w:rPr>
      <w:sz w:val="18"/>
      <w:lang w:val="x-none"/>
    </w:rPr>
  </w:style>
  <w:style w:type="character" w:customStyle="1" w:styleId="FootnoteTextChar">
    <w:name w:val="Footnote Text Char"/>
    <w:aliases w:val="5_G Char"/>
    <w:basedOn w:val="DefaultParagraphFont"/>
    <w:link w:val="FootnoteText"/>
    <w:rsid w:val="00CC6C17"/>
    <w:rPr>
      <w:rFonts w:ascii="Times New Roman" w:eastAsia="Times New Roman" w:hAnsi="Times New Roman" w:cs="Times New Roman"/>
      <w:sz w:val="18"/>
      <w:szCs w:val="20"/>
      <w:lang w:val="x-none" w:eastAsia="en-US"/>
    </w:rPr>
  </w:style>
  <w:style w:type="paragraph" w:customStyle="1" w:styleId="H1G">
    <w:name w:val="_ H_1_G"/>
    <w:basedOn w:val="Normal"/>
    <w:next w:val="Normal"/>
    <w:link w:val="H1GChar"/>
    <w:rsid w:val="00CC6C17"/>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rsid w:val="00CC6C17"/>
    <w:rPr>
      <w:rFonts w:ascii="Times New Roman" w:eastAsia="Times New Roman" w:hAnsi="Times New Roman" w:cs="Times New Roman"/>
      <w:b/>
      <w:sz w:val="24"/>
      <w:szCs w:val="20"/>
      <w:lang w:val="en-GB" w:eastAsia="en-US"/>
    </w:rPr>
  </w:style>
  <w:style w:type="character" w:customStyle="1" w:styleId="HChGChar">
    <w:name w:val="_ H _Ch_G Char"/>
    <w:link w:val="HChG"/>
    <w:rsid w:val="00CC6C17"/>
    <w:rPr>
      <w:rFonts w:ascii="Times New Roman" w:eastAsia="Times New Roman" w:hAnsi="Times New Roman" w:cs="Times New Roman"/>
      <w:b/>
      <w:sz w:val="28"/>
      <w:szCs w:val="20"/>
      <w:lang w:val="x-none" w:eastAsia="en-US"/>
    </w:rPr>
  </w:style>
  <w:style w:type="paragraph" w:styleId="BalloonText">
    <w:name w:val="Balloon Text"/>
    <w:basedOn w:val="Normal"/>
    <w:link w:val="BalloonTextChar"/>
    <w:uiPriority w:val="99"/>
    <w:semiHidden/>
    <w:unhideWhenUsed/>
    <w:rsid w:val="00CC6C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C17"/>
    <w:rPr>
      <w:rFonts w:ascii="Tahoma" w:eastAsia="Times New Roman" w:hAnsi="Tahoma" w:cs="Tahoma"/>
      <w:sz w:val="16"/>
      <w:szCs w:val="16"/>
      <w:lang w:val="en-GB" w:eastAsia="en-US"/>
    </w:rPr>
  </w:style>
  <w:style w:type="paragraph" w:customStyle="1" w:styleId="SingleTxtG">
    <w:name w:val="_ Single Txt_G"/>
    <w:basedOn w:val="Normal"/>
    <w:link w:val="SingleTxtGChar"/>
    <w:qFormat/>
    <w:rsid w:val="005D69B6"/>
    <w:pPr>
      <w:spacing w:after="120"/>
      <w:ind w:left="1134" w:right="1134"/>
      <w:jc w:val="both"/>
    </w:pPr>
  </w:style>
  <w:style w:type="character" w:customStyle="1" w:styleId="SingleTxtGChar">
    <w:name w:val="_ Single Txt_G Char"/>
    <w:link w:val="SingleTxtG"/>
    <w:rsid w:val="005D69B6"/>
    <w:rPr>
      <w:rFonts w:ascii="Times New Roman" w:eastAsia="Times New Roman" w:hAnsi="Times New Roman" w:cs="Times New Roman"/>
      <w:sz w:val="20"/>
      <w:szCs w:val="20"/>
      <w:lang w:val="en-GB" w:eastAsia="en-US"/>
    </w:rPr>
  </w:style>
  <w:style w:type="character" w:styleId="CommentReference">
    <w:name w:val="annotation reference"/>
    <w:basedOn w:val="DefaultParagraphFont"/>
    <w:uiPriority w:val="99"/>
    <w:semiHidden/>
    <w:unhideWhenUsed/>
    <w:rsid w:val="002A037D"/>
    <w:rPr>
      <w:sz w:val="16"/>
      <w:szCs w:val="16"/>
    </w:rPr>
  </w:style>
  <w:style w:type="paragraph" w:styleId="CommentText">
    <w:name w:val="annotation text"/>
    <w:basedOn w:val="Normal"/>
    <w:link w:val="CommentTextChar"/>
    <w:uiPriority w:val="99"/>
    <w:semiHidden/>
    <w:unhideWhenUsed/>
    <w:rsid w:val="002A037D"/>
    <w:pPr>
      <w:spacing w:line="240" w:lineRule="auto"/>
    </w:pPr>
  </w:style>
  <w:style w:type="character" w:customStyle="1" w:styleId="CommentTextChar">
    <w:name w:val="Comment Text Char"/>
    <w:basedOn w:val="DefaultParagraphFont"/>
    <w:link w:val="CommentText"/>
    <w:uiPriority w:val="99"/>
    <w:semiHidden/>
    <w:rsid w:val="002A037D"/>
    <w:rPr>
      <w:rFonts w:ascii="Times New Roman" w:eastAsia="Times New Roman"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2A037D"/>
    <w:rPr>
      <w:b/>
      <w:bCs/>
    </w:rPr>
  </w:style>
  <w:style w:type="character" w:customStyle="1" w:styleId="CommentSubjectChar">
    <w:name w:val="Comment Subject Char"/>
    <w:basedOn w:val="CommentTextChar"/>
    <w:link w:val="CommentSubject"/>
    <w:uiPriority w:val="99"/>
    <w:semiHidden/>
    <w:rsid w:val="002A037D"/>
    <w:rPr>
      <w:rFonts w:ascii="Times New Roman" w:eastAsia="Times New Roman" w:hAnsi="Times New Roman" w:cs="Times New Roman"/>
      <w:b/>
      <w:bCs/>
      <w:sz w:val="20"/>
      <w:szCs w:val="20"/>
      <w:lang w:val="en-GB" w:eastAsia="en-US"/>
    </w:rPr>
  </w:style>
  <w:style w:type="paragraph" w:styleId="Revision">
    <w:name w:val="Revision"/>
    <w:hidden/>
    <w:uiPriority w:val="99"/>
    <w:semiHidden/>
    <w:rsid w:val="002D0F34"/>
    <w:pPr>
      <w:spacing w:after="0" w:line="240" w:lineRule="auto"/>
    </w:pPr>
    <w:rPr>
      <w:rFonts w:ascii="Times New Roman" w:eastAsia="Times New Roman" w:hAnsi="Times New Roman" w:cs="Times New Roman"/>
      <w:sz w:val="20"/>
      <w:szCs w:val="20"/>
      <w:lang w:val="en-GB" w:eastAsia="en-US"/>
    </w:rPr>
  </w:style>
  <w:style w:type="paragraph" w:styleId="Header">
    <w:name w:val="header"/>
    <w:basedOn w:val="Normal"/>
    <w:link w:val="HeaderChar"/>
    <w:uiPriority w:val="99"/>
    <w:unhideWhenUsed/>
    <w:rsid w:val="00F36FCC"/>
    <w:pPr>
      <w:tabs>
        <w:tab w:val="center" w:pos="4513"/>
        <w:tab w:val="right" w:pos="9026"/>
      </w:tabs>
      <w:spacing w:line="240" w:lineRule="auto"/>
    </w:pPr>
  </w:style>
  <w:style w:type="character" w:customStyle="1" w:styleId="HeaderChar">
    <w:name w:val="Header Char"/>
    <w:basedOn w:val="DefaultParagraphFont"/>
    <w:link w:val="Header"/>
    <w:uiPriority w:val="99"/>
    <w:rsid w:val="00F36FCC"/>
    <w:rPr>
      <w:rFonts w:ascii="Times New Roman" w:eastAsia="Times New Roman" w:hAnsi="Times New Roman" w:cs="Times New Roman"/>
      <w:sz w:val="20"/>
      <w:szCs w:val="20"/>
      <w:lang w:val="en-GB" w:eastAsia="en-US"/>
    </w:rPr>
  </w:style>
  <w:style w:type="paragraph" w:styleId="Footer">
    <w:name w:val="footer"/>
    <w:basedOn w:val="Normal"/>
    <w:link w:val="FooterChar"/>
    <w:uiPriority w:val="99"/>
    <w:unhideWhenUsed/>
    <w:rsid w:val="00F36FCC"/>
    <w:pPr>
      <w:tabs>
        <w:tab w:val="center" w:pos="4513"/>
        <w:tab w:val="right" w:pos="9026"/>
      </w:tabs>
      <w:spacing w:line="240" w:lineRule="auto"/>
    </w:pPr>
  </w:style>
  <w:style w:type="character" w:customStyle="1" w:styleId="FooterChar">
    <w:name w:val="Footer Char"/>
    <w:basedOn w:val="DefaultParagraphFont"/>
    <w:link w:val="Footer"/>
    <w:uiPriority w:val="99"/>
    <w:rsid w:val="00F36FCC"/>
    <w:rPr>
      <w:rFonts w:ascii="Times New Roman" w:eastAsia="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EE7ED-8D3D-48C1-B3DD-91B19465F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679</Words>
  <Characters>3875</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RDW Voertuiginformatie en -toelating</Company>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Putter, Kees de</dc:creator>
  <cp:lastModifiedBy>barrio-champeau</cp:lastModifiedBy>
  <cp:revision>13</cp:revision>
  <cp:lastPrinted>2016-06-29T08:10:00Z</cp:lastPrinted>
  <dcterms:created xsi:type="dcterms:W3CDTF">2016-06-22T13:10:00Z</dcterms:created>
  <dcterms:modified xsi:type="dcterms:W3CDTF">2016-06-29T08:10:00Z</dcterms:modified>
</cp:coreProperties>
</file>