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6095"/>
      </w:tblGrid>
      <w:tr w:rsidR="00B56E9C" w:rsidTr="00B11BB4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Default="00B56E9C" w:rsidP="00B11BB4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B11BB4" w:rsidRDefault="00B56E9C" w:rsidP="00B11BB4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507993" w:rsidRDefault="00CD57D2" w:rsidP="00F12D54">
            <w:pPr>
              <w:suppressAutoHyphens w:val="0"/>
              <w:spacing w:after="20"/>
              <w:jc w:val="right"/>
              <w:rPr>
                <w:b/>
                <w:sz w:val="24"/>
                <w:szCs w:val="24"/>
              </w:rPr>
            </w:pPr>
            <w:r w:rsidRPr="00507993">
              <w:rPr>
                <w:b/>
                <w:sz w:val="24"/>
                <w:szCs w:val="24"/>
              </w:rPr>
              <w:t>INF.</w:t>
            </w:r>
            <w:r w:rsidR="00E13B15">
              <w:rPr>
                <w:b/>
                <w:sz w:val="24"/>
                <w:szCs w:val="24"/>
              </w:rPr>
              <w:t>1</w:t>
            </w:r>
            <w:r w:rsidR="00F12D54">
              <w:rPr>
                <w:b/>
                <w:sz w:val="24"/>
                <w:szCs w:val="24"/>
              </w:rPr>
              <w:t>6</w:t>
            </w:r>
            <w:r w:rsidR="00A05642">
              <w:rPr>
                <w:b/>
                <w:sz w:val="24"/>
                <w:szCs w:val="24"/>
              </w:rPr>
              <w:t>/E</w:t>
            </w:r>
          </w:p>
        </w:tc>
      </w:tr>
    </w:tbl>
    <w:p w:rsidR="00EC106A" w:rsidRDefault="00EC106A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:rsidR="00EC106A" w:rsidRDefault="00EC106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:rsidR="00EC106A" w:rsidRDefault="00EC106A" w:rsidP="00EC106A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Working Party on the Transport of Dangerous Goods</w:t>
      </w:r>
    </w:p>
    <w:p w:rsidR="009D2A5B" w:rsidRDefault="009D2A5B" w:rsidP="009D2A5B">
      <w:pPr>
        <w:rPr>
          <w:b/>
        </w:rPr>
      </w:pPr>
      <w:r>
        <w:rPr>
          <w:b/>
        </w:rPr>
        <w:t>Joint Meeting of the RID Committee of Experts and the</w:t>
      </w:r>
    </w:p>
    <w:p w:rsidR="009D2A5B" w:rsidRDefault="009D2A5B" w:rsidP="009D2A5B">
      <w:pPr>
        <w:rPr>
          <w:b/>
        </w:rPr>
      </w:pPr>
      <w:r>
        <w:rPr>
          <w:b/>
        </w:rPr>
        <w:t>Working Party on the Transport of Dangerous Goods</w:t>
      </w:r>
      <w:r w:rsidR="000A3752">
        <w:rPr>
          <w:b/>
        </w:rPr>
        <w:tab/>
      </w:r>
      <w:r w:rsidR="000A3752">
        <w:rPr>
          <w:b/>
        </w:rPr>
        <w:tab/>
      </w:r>
      <w:r w:rsidR="000A3752">
        <w:rPr>
          <w:b/>
        </w:rPr>
        <w:tab/>
      </w:r>
      <w:r w:rsidR="000A3752">
        <w:rPr>
          <w:b/>
        </w:rPr>
        <w:tab/>
      </w:r>
      <w:r w:rsidR="000A3752">
        <w:rPr>
          <w:b/>
        </w:rPr>
        <w:tab/>
      </w:r>
      <w:r w:rsidR="00507993">
        <w:rPr>
          <w:b/>
        </w:rPr>
        <w:tab/>
      </w:r>
      <w:r w:rsidR="00AB2EDE">
        <w:rPr>
          <w:b/>
        </w:rPr>
        <w:t>1</w:t>
      </w:r>
      <w:r w:rsidR="00F12D54">
        <w:rPr>
          <w:b/>
        </w:rPr>
        <w:t>5</w:t>
      </w:r>
      <w:r w:rsidR="00BE48E6">
        <w:rPr>
          <w:b/>
        </w:rPr>
        <w:t xml:space="preserve"> February</w:t>
      </w:r>
      <w:r w:rsidR="004975C1">
        <w:rPr>
          <w:b/>
        </w:rPr>
        <w:t xml:space="preserve"> 2016</w:t>
      </w:r>
    </w:p>
    <w:p w:rsidR="009D2A5B" w:rsidRDefault="00BB7CD1" w:rsidP="00BB7CD1">
      <w:r>
        <w:t xml:space="preserve">Bern, </w:t>
      </w:r>
      <w:r w:rsidR="00D65303">
        <w:t>14</w:t>
      </w:r>
      <w:r>
        <w:t>–</w:t>
      </w:r>
      <w:r w:rsidR="00D65303">
        <w:t>18</w:t>
      </w:r>
      <w:r w:rsidR="00F66565">
        <w:t xml:space="preserve"> </w:t>
      </w:r>
      <w:r>
        <w:t>March 201</w:t>
      </w:r>
      <w:r w:rsidR="00D65303">
        <w:t>6</w:t>
      </w:r>
    </w:p>
    <w:p w:rsidR="00DB6CA5" w:rsidRPr="00A55B4D" w:rsidRDefault="00DB6CA5" w:rsidP="00563634">
      <w:r w:rsidRPr="00A55B4D">
        <w:t xml:space="preserve">Item </w:t>
      </w:r>
      <w:r w:rsidR="00E87FC8">
        <w:t>2</w:t>
      </w:r>
      <w:r w:rsidRPr="00A55B4D">
        <w:t xml:space="preserve"> of the provisional agenda</w:t>
      </w:r>
    </w:p>
    <w:p w:rsidR="004975C1" w:rsidRPr="00BB7CD1" w:rsidRDefault="00E87FC8" w:rsidP="00AB2EDE">
      <w:pPr>
        <w:rPr>
          <w:b/>
        </w:rPr>
      </w:pPr>
      <w:r>
        <w:rPr>
          <w:b/>
          <w:bCs/>
        </w:rPr>
        <w:t>Tanks</w:t>
      </w:r>
      <w:bookmarkStart w:id="0" w:name="_GoBack"/>
      <w:bookmarkEnd w:id="0"/>
    </w:p>
    <w:p w:rsidR="00AB2EDE" w:rsidRPr="008C0CF3" w:rsidRDefault="00AB2EDE" w:rsidP="00AB2EDE">
      <w:pPr>
        <w:pStyle w:val="HChG"/>
      </w:pPr>
      <w:r w:rsidRPr="00303B03">
        <w:tab/>
      </w:r>
      <w:r w:rsidRPr="00303B03">
        <w:tab/>
      </w:r>
      <w:r w:rsidR="00C45CA2" w:rsidRPr="00647D57">
        <w:rPr>
          <w:bCs/>
          <w:color w:val="000000"/>
          <w:lang w:val="en-US" w:eastAsia="ru-RU"/>
        </w:rPr>
        <w:t xml:space="preserve">Proposal for the </w:t>
      </w:r>
      <w:r w:rsidR="00C45CA2">
        <w:rPr>
          <w:bCs/>
          <w:color w:val="000000"/>
          <w:lang w:val="en-US" w:eastAsia="ru-RU"/>
        </w:rPr>
        <w:t>amendment</w:t>
      </w:r>
      <w:r w:rsidR="00C45CA2" w:rsidRPr="00647D57">
        <w:rPr>
          <w:bCs/>
          <w:color w:val="000000"/>
          <w:lang w:val="en-US" w:eastAsia="ru-RU"/>
        </w:rPr>
        <w:t xml:space="preserve"> of special provisions TU21 and TU16 of Chapter 4.3 of RID</w:t>
      </w:r>
      <w:r w:rsidR="00C45CA2">
        <w:rPr>
          <w:bCs/>
          <w:color w:val="000000"/>
          <w:lang w:val="en-US" w:eastAsia="ru-RU"/>
        </w:rPr>
        <w:t>/</w:t>
      </w:r>
      <w:r w:rsidR="00C45CA2" w:rsidRPr="00647D57">
        <w:rPr>
          <w:bCs/>
          <w:color w:val="000000"/>
          <w:lang w:val="en-US" w:eastAsia="ru-RU"/>
        </w:rPr>
        <w:t>ADR</w:t>
      </w:r>
      <w:r w:rsidR="00C45CA2">
        <w:rPr>
          <w:bCs/>
          <w:color w:val="000000"/>
          <w:lang w:val="en-US" w:eastAsia="ru-RU"/>
        </w:rPr>
        <w:t>/</w:t>
      </w:r>
      <w:r w:rsidR="00C45CA2" w:rsidRPr="00647D57">
        <w:rPr>
          <w:bCs/>
          <w:color w:val="000000"/>
          <w:lang w:val="en-US" w:eastAsia="ru-RU"/>
        </w:rPr>
        <w:t>ADN</w:t>
      </w:r>
      <w:r w:rsidR="00C45CA2">
        <w:rPr>
          <w:bCs/>
          <w:color w:val="000000"/>
          <w:lang w:val="en-US" w:eastAsia="ru-RU"/>
        </w:rPr>
        <w:t>/</w:t>
      </w:r>
      <w:r w:rsidR="00C45CA2" w:rsidRPr="00647D57">
        <w:rPr>
          <w:bCs/>
          <w:color w:val="000000"/>
          <w:lang w:val="en-US" w:eastAsia="ru-RU"/>
        </w:rPr>
        <w:t>A</w:t>
      </w:r>
      <w:r w:rsidR="00C45CA2">
        <w:rPr>
          <w:bCs/>
          <w:color w:val="000000"/>
          <w:lang w:val="en-US" w:eastAsia="ru-RU"/>
        </w:rPr>
        <w:t>nnex</w:t>
      </w:r>
      <w:r w:rsidR="00C45CA2" w:rsidRPr="00647D57">
        <w:rPr>
          <w:bCs/>
          <w:color w:val="000000"/>
          <w:lang w:val="en-US" w:eastAsia="ru-RU"/>
        </w:rPr>
        <w:t> 2 to SMGS</w:t>
      </w:r>
    </w:p>
    <w:p w:rsidR="00AB2EDE" w:rsidRPr="003249D7" w:rsidRDefault="00AB2EDE" w:rsidP="00AB2EDE">
      <w:pPr>
        <w:pStyle w:val="H1G"/>
      </w:pPr>
      <w:r w:rsidRPr="008A253A">
        <w:tab/>
      </w:r>
      <w:r w:rsidRPr="008A253A">
        <w:tab/>
      </w:r>
      <w:r w:rsidR="00C45CA2" w:rsidRPr="00647D57">
        <w:rPr>
          <w:bCs/>
          <w:color w:val="000000"/>
          <w:sz w:val="27"/>
          <w:lang w:val="en-US" w:eastAsia="ru-RU"/>
        </w:rPr>
        <w:t>Transmitted by the Government of the Russian Federation</w:t>
      </w:r>
    </w:p>
    <w:p w:rsidR="00C45CA2" w:rsidRPr="00647D57" w:rsidRDefault="00C45CA2" w:rsidP="00C45CA2">
      <w:pPr>
        <w:pStyle w:val="HChG"/>
        <w:rPr>
          <w:szCs w:val="28"/>
          <w:lang w:val="en-US" w:eastAsia="ru-RU"/>
        </w:rPr>
      </w:pPr>
      <w:r>
        <w:rPr>
          <w:lang w:val="en-US" w:eastAsia="ru-RU"/>
        </w:rPr>
        <w:tab/>
      </w:r>
      <w:r>
        <w:rPr>
          <w:lang w:val="en-US" w:eastAsia="ru-RU"/>
        </w:rPr>
        <w:tab/>
        <w:t>I</w:t>
      </w:r>
      <w:r w:rsidRPr="00647D57">
        <w:rPr>
          <w:lang w:val="en-US" w:eastAsia="ru-RU"/>
        </w:rPr>
        <w:t>ntroduction</w:t>
      </w:r>
    </w:p>
    <w:p w:rsidR="00C45CA2" w:rsidRDefault="00C45CA2" w:rsidP="00C45CA2">
      <w:pPr>
        <w:pStyle w:val="SingleTxtG"/>
        <w:rPr>
          <w:lang w:val="en-US" w:eastAsia="ru-RU"/>
        </w:rPr>
      </w:pPr>
      <w:r>
        <w:rPr>
          <w:lang w:val="en-US" w:eastAsia="ru-RU"/>
        </w:rPr>
        <w:t>1</w:t>
      </w:r>
      <w:r>
        <w:rPr>
          <w:lang w:val="en-US" w:eastAsia="ru-RU"/>
        </w:rPr>
        <w:tab/>
        <w:t>S</w:t>
      </w:r>
      <w:r w:rsidRPr="00647D57">
        <w:rPr>
          <w:lang w:val="en-US" w:eastAsia="ru-RU"/>
        </w:rPr>
        <w:t xml:space="preserve">pecial provisions TU21 and TU16 </w:t>
      </w:r>
      <w:r>
        <w:rPr>
          <w:lang w:val="en-US" w:eastAsia="ru-RU"/>
        </w:rPr>
        <w:t xml:space="preserve">in </w:t>
      </w:r>
      <w:r w:rsidRPr="00647D57">
        <w:rPr>
          <w:lang w:val="en-US" w:eastAsia="ru-RU"/>
        </w:rPr>
        <w:t>Chapter 4.3 "Use of tank wagons</w:t>
      </w:r>
      <w:r>
        <w:rPr>
          <w:lang w:val="en-US" w:eastAsia="ru-RU"/>
        </w:rPr>
        <w:t>/fixed tanks (tank vehicles)</w:t>
      </w:r>
      <w:r w:rsidRPr="00647D57">
        <w:rPr>
          <w:lang w:val="en-US" w:eastAsia="ru-RU"/>
        </w:rPr>
        <w:t>, demountable tanks, tank containers and tank swap bodies, with shells made of metallic materials, and battery-wagons</w:t>
      </w:r>
      <w:r>
        <w:rPr>
          <w:lang w:val="en-US" w:eastAsia="ru-RU"/>
        </w:rPr>
        <w:t>/battery-vehicles</w:t>
      </w:r>
      <w:r w:rsidRPr="00647D57">
        <w:rPr>
          <w:lang w:val="en-US" w:eastAsia="ru-RU"/>
        </w:rPr>
        <w:t xml:space="preserve"> and multiple element gas containers (MEGCs)" RID</w:t>
      </w:r>
      <w:r>
        <w:rPr>
          <w:lang w:val="en-US" w:eastAsia="ru-RU"/>
        </w:rPr>
        <w:t>/</w:t>
      </w:r>
      <w:r w:rsidRPr="00647D57">
        <w:rPr>
          <w:lang w:val="en-US" w:eastAsia="ru-RU"/>
        </w:rPr>
        <w:t>ADR</w:t>
      </w:r>
      <w:r>
        <w:rPr>
          <w:lang w:val="en-US" w:eastAsia="ru-RU"/>
        </w:rPr>
        <w:t>/</w:t>
      </w:r>
      <w:r w:rsidRPr="00647D57">
        <w:rPr>
          <w:lang w:val="en-US" w:eastAsia="ru-RU"/>
        </w:rPr>
        <w:t>ADN</w:t>
      </w:r>
      <w:r>
        <w:rPr>
          <w:lang w:val="en-US" w:eastAsia="ru-RU"/>
        </w:rPr>
        <w:t>/</w:t>
      </w:r>
      <w:r w:rsidRPr="00647D57">
        <w:rPr>
          <w:lang w:val="en-US" w:eastAsia="ru-RU"/>
        </w:rPr>
        <w:t>A</w:t>
      </w:r>
      <w:r>
        <w:rPr>
          <w:lang w:val="en-US" w:eastAsia="ru-RU"/>
        </w:rPr>
        <w:t>nnex</w:t>
      </w:r>
      <w:r w:rsidRPr="00647D57">
        <w:rPr>
          <w:lang w:val="en-US" w:eastAsia="ru-RU"/>
        </w:rPr>
        <w:t xml:space="preserve"> 2 </w:t>
      </w:r>
      <w:r>
        <w:rPr>
          <w:lang w:val="en-US" w:eastAsia="ru-RU"/>
        </w:rPr>
        <w:t xml:space="preserve">to </w:t>
      </w:r>
      <w:r w:rsidRPr="00647D57">
        <w:rPr>
          <w:lang w:val="en-US" w:eastAsia="ru-RU"/>
        </w:rPr>
        <w:t xml:space="preserve">SMGS </w:t>
      </w:r>
      <w:r>
        <w:rPr>
          <w:lang w:val="en-US" w:eastAsia="ru-RU"/>
        </w:rPr>
        <w:t>set out</w:t>
      </w:r>
      <w:r w:rsidRPr="00647D57">
        <w:rPr>
          <w:lang w:val="en-US" w:eastAsia="ru-RU"/>
        </w:rPr>
        <w:t xml:space="preserve"> additional safety requirements </w:t>
      </w:r>
      <w:r>
        <w:rPr>
          <w:lang w:val="en-US" w:eastAsia="ru-RU"/>
        </w:rPr>
        <w:t>for</w:t>
      </w:r>
      <w:r w:rsidRPr="00647D57">
        <w:rPr>
          <w:lang w:val="en-US" w:eastAsia="ru-RU"/>
        </w:rPr>
        <w:t xml:space="preserve"> tanks </w:t>
      </w:r>
      <w:r>
        <w:rPr>
          <w:lang w:val="en-US" w:eastAsia="ru-RU"/>
        </w:rPr>
        <w:t xml:space="preserve">carrying </w:t>
      </w:r>
      <w:r w:rsidRPr="00647D57">
        <w:rPr>
          <w:lang w:val="en-US" w:eastAsia="ru-RU"/>
        </w:rPr>
        <w:t xml:space="preserve">UN 1381 PHOSPHORUS, WHITE, YELLOW PHOSPHORUS UNDER WATER or IN SOLUTION, UN 2447 PHOSPHORUS, WHITE, MOLTEN and </w:t>
      </w:r>
      <w:r>
        <w:rPr>
          <w:lang w:val="en-US" w:eastAsia="ru-RU"/>
        </w:rPr>
        <w:t>for</w:t>
      </w:r>
      <w:r w:rsidRPr="00647D57">
        <w:rPr>
          <w:lang w:val="en-US" w:eastAsia="ru-RU"/>
        </w:rPr>
        <w:t xml:space="preserve"> the carriage of </w:t>
      </w:r>
      <w:r>
        <w:rPr>
          <w:lang w:val="en-US" w:eastAsia="ru-RU"/>
        </w:rPr>
        <w:t xml:space="preserve">empty, </w:t>
      </w:r>
      <w:proofErr w:type="spellStart"/>
      <w:r w:rsidRPr="00647D57">
        <w:rPr>
          <w:lang w:val="en-US" w:eastAsia="ru-RU"/>
        </w:rPr>
        <w:t>uncleaned</w:t>
      </w:r>
      <w:proofErr w:type="spellEnd"/>
      <w:r w:rsidRPr="00647D57">
        <w:rPr>
          <w:lang w:val="en-US" w:eastAsia="ru-RU"/>
        </w:rPr>
        <w:t xml:space="preserve"> tanks </w:t>
      </w:r>
      <w:r>
        <w:rPr>
          <w:lang w:val="en-US" w:eastAsia="ru-RU"/>
        </w:rPr>
        <w:t>which have contained these substances. There are a</w:t>
      </w:r>
      <w:r w:rsidRPr="00647D57">
        <w:rPr>
          <w:lang w:val="en-US" w:eastAsia="ru-RU"/>
        </w:rPr>
        <w:t>dditional requirements for carriage imposed by the legislator on the basis of the type of protective agent.</w:t>
      </w:r>
    </w:p>
    <w:p w:rsidR="00C45CA2" w:rsidRPr="00647D57" w:rsidRDefault="00C45CA2" w:rsidP="00C45CA2">
      <w:pPr>
        <w:pStyle w:val="SingleTxtG"/>
        <w:rPr>
          <w:lang w:val="en-US" w:eastAsia="ru-RU"/>
        </w:rPr>
      </w:pPr>
      <w:r>
        <w:rPr>
          <w:lang w:val="en-US" w:eastAsia="ru-RU"/>
        </w:rPr>
        <w:t>2.</w:t>
      </w:r>
      <w:r>
        <w:rPr>
          <w:lang w:val="en-US" w:eastAsia="ru-RU"/>
        </w:rPr>
        <w:tab/>
      </w:r>
      <w:r w:rsidRPr="00647D57">
        <w:rPr>
          <w:lang w:val="en-US" w:eastAsia="ru-RU"/>
        </w:rPr>
        <w:t>The Ministry of Transport of the Russian Federation and institutions engaged in the training of personnel</w:t>
      </w:r>
      <w:r>
        <w:rPr>
          <w:lang w:val="en-US" w:eastAsia="ru-RU"/>
        </w:rPr>
        <w:t xml:space="preserve"> has become aware </w:t>
      </w:r>
      <w:r w:rsidRPr="00647D57">
        <w:rPr>
          <w:lang w:val="en-US" w:eastAsia="ru-RU"/>
        </w:rPr>
        <w:t xml:space="preserve">that the presence of </w:t>
      </w:r>
      <w:r>
        <w:rPr>
          <w:lang w:val="en-US" w:eastAsia="ru-RU"/>
        </w:rPr>
        <w:t>too much</w:t>
      </w:r>
      <w:r w:rsidRPr="00647D57">
        <w:rPr>
          <w:lang w:val="en-US" w:eastAsia="ru-RU"/>
        </w:rPr>
        <w:t xml:space="preserve"> </w:t>
      </w:r>
      <w:r>
        <w:rPr>
          <w:lang w:val="en-US" w:eastAsia="ru-RU"/>
        </w:rPr>
        <w:t xml:space="preserve">repeated </w:t>
      </w:r>
      <w:r w:rsidRPr="00647D57">
        <w:rPr>
          <w:lang w:val="en-US" w:eastAsia="ru-RU"/>
        </w:rPr>
        <w:t>text and numeric data, as well as the presence of too much information in special provisions TU21 and TU16</w:t>
      </w:r>
      <w:r>
        <w:rPr>
          <w:lang w:val="en-US" w:eastAsia="ru-RU"/>
        </w:rPr>
        <w:t>,</w:t>
      </w:r>
      <w:r w:rsidRPr="00647D57">
        <w:rPr>
          <w:lang w:val="en-US" w:eastAsia="ru-RU"/>
        </w:rPr>
        <w:t xml:space="preserve"> creates certain problems for other participants</w:t>
      </w:r>
      <w:r>
        <w:rPr>
          <w:lang w:val="en-US" w:eastAsia="ru-RU"/>
        </w:rPr>
        <w:t xml:space="preserve"> in the transport chain</w:t>
      </w:r>
      <w:r w:rsidRPr="00647D57" w:rsidDel="00CF7E67">
        <w:rPr>
          <w:lang w:val="en-US" w:eastAsia="ru-RU"/>
        </w:rPr>
        <w:t xml:space="preserve"> </w:t>
      </w:r>
      <w:r>
        <w:rPr>
          <w:lang w:val="en-US" w:eastAsia="ru-RU"/>
        </w:rPr>
        <w:t xml:space="preserve">in terms of the correct interpretation. </w:t>
      </w:r>
      <w:r w:rsidRPr="00647D57">
        <w:rPr>
          <w:lang w:val="en-US" w:eastAsia="ru-RU"/>
        </w:rPr>
        <w:t xml:space="preserve">Special provisions TU21 and TU16 </w:t>
      </w:r>
      <w:r>
        <w:rPr>
          <w:lang w:val="en-US" w:eastAsia="ru-RU"/>
        </w:rPr>
        <w:t xml:space="preserve">are not </w:t>
      </w:r>
      <w:r w:rsidRPr="00647D57">
        <w:rPr>
          <w:lang w:val="en-US" w:eastAsia="ru-RU"/>
        </w:rPr>
        <w:t>sufficiently coordinated.</w:t>
      </w:r>
      <w:r w:rsidRPr="004C136E">
        <w:rPr>
          <w:lang w:val="en-US"/>
        </w:rPr>
        <w:t xml:space="preserve"> </w:t>
      </w:r>
      <w:r w:rsidRPr="004C136E">
        <w:rPr>
          <w:lang w:val="en-US" w:eastAsia="ru-RU"/>
        </w:rPr>
        <w:t>In</w:t>
      </w:r>
      <w:r>
        <w:rPr>
          <w:lang w:val="en-US" w:eastAsia="ru-RU"/>
        </w:rPr>
        <w:t xml:space="preserve"> addition, special provision TU</w:t>
      </w:r>
      <w:r w:rsidRPr="004C136E">
        <w:rPr>
          <w:lang w:val="en-US" w:eastAsia="ru-RU"/>
        </w:rPr>
        <w:t xml:space="preserve">16 includes </w:t>
      </w:r>
      <w:r>
        <w:rPr>
          <w:lang w:val="en-US" w:eastAsia="ru-RU"/>
        </w:rPr>
        <w:t>a means of protection which is not ecologically sound.</w:t>
      </w:r>
    </w:p>
    <w:p w:rsidR="00C45CA2" w:rsidRPr="00647D57" w:rsidRDefault="00C45CA2" w:rsidP="00C45CA2">
      <w:pPr>
        <w:pStyle w:val="HChG"/>
        <w:rPr>
          <w:szCs w:val="28"/>
          <w:lang w:val="en-US" w:eastAsia="ru-RU"/>
        </w:rPr>
      </w:pPr>
      <w:r>
        <w:rPr>
          <w:lang w:val="en-US" w:eastAsia="ru-RU"/>
        </w:rPr>
        <w:tab/>
      </w:r>
      <w:r>
        <w:rPr>
          <w:lang w:val="en-US" w:eastAsia="ru-RU"/>
        </w:rPr>
        <w:tab/>
        <w:t>Proposal</w:t>
      </w:r>
    </w:p>
    <w:p w:rsidR="00C45CA2" w:rsidRPr="00647D57" w:rsidRDefault="00C45CA2" w:rsidP="00C45CA2">
      <w:pPr>
        <w:pStyle w:val="SingleTxtG"/>
        <w:rPr>
          <w:lang w:val="en-US" w:eastAsia="ru-RU"/>
        </w:rPr>
      </w:pPr>
      <w:r>
        <w:rPr>
          <w:lang w:val="en-US" w:eastAsia="ru-RU"/>
        </w:rPr>
        <w:t>3.</w:t>
      </w:r>
      <w:r>
        <w:rPr>
          <w:lang w:val="en-US" w:eastAsia="ru-RU"/>
        </w:rPr>
        <w:tab/>
      </w:r>
      <w:r w:rsidRPr="00647D57">
        <w:rPr>
          <w:lang w:val="en-US" w:eastAsia="ru-RU"/>
        </w:rPr>
        <w:t xml:space="preserve">In this regard, the Ministry of Transport of the Russian Federation proposes that </w:t>
      </w:r>
      <w:r>
        <w:rPr>
          <w:lang w:val="en-US" w:eastAsia="ru-RU"/>
        </w:rPr>
        <w:t xml:space="preserve">special provisions </w:t>
      </w:r>
      <w:r w:rsidRPr="00647D57">
        <w:rPr>
          <w:lang w:val="en-US" w:eastAsia="ru-RU"/>
        </w:rPr>
        <w:t>TU21 and TU16 of Chapter 4.3 of RID</w:t>
      </w:r>
      <w:r>
        <w:rPr>
          <w:lang w:val="en-US" w:eastAsia="ru-RU"/>
        </w:rPr>
        <w:t>/</w:t>
      </w:r>
      <w:r w:rsidRPr="00647D57">
        <w:rPr>
          <w:lang w:val="en-US" w:eastAsia="ru-RU"/>
        </w:rPr>
        <w:t>ADR</w:t>
      </w:r>
      <w:r>
        <w:rPr>
          <w:lang w:val="en-US" w:eastAsia="ru-RU"/>
        </w:rPr>
        <w:t>/</w:t>
      </w:r>
      <w:r w:rsidRPr="00647D57">
        <w:rPr>
          <w:lang w:val="en-US" w:eastAsia="ru-RU"/>
        </w:rPr>
        <w:t>ADN</w:t>
      </w:r>
      <w:r>
        <w:rPr>
          <w:lang w:val="en-US" w:eastAsia="ru-RU"/>
        </w:rPr>
        <w:t>/</w:t>
      </w:r>
      <w:r w:rsidRPr="00647D57">
        <w:rPr>
          <w:lang w:val="en-US" w:eastAsia="ru-RU"/>
        </w:rPr>
        <w:t>A</w:t>
      </w:r>
      <w:r>
        <w:rPr>
          <w:lang w:val="en-US" w:eastAsia="ru-RU"/>
        </w:rPr>
        <w:t>nnex</w:t>
      </w:r>
      <w:r w:rsidRPr="00647D57">
        <w:rPr>
          <w:lang w:val="en-US" w:eastAsia="ru-RU"/>
        </w:rPr>
        <w:t xml:space="preserve"> 2 to SMGS </w:t>
      </w:r>
      <w:r>
        <w:rPr>
          <w:lang w:val="en-US" w:eastAsia="ru-RU"/>
        </w:rPr>
        <w:t xml:space="preserve">separate </w:t>
      </w:r>
      <w:r w:rsidRPr="00647D57">
        <w:rPr>
          <w:lang w:val="en-US" w:eastAsia="ru-RU"/>
        </w:rPr>
        <w:t>repetitive text and numeric data in columns</w:t>
      </w:r>
      <w:r>
        <w:rPr>
          <w:lang w:val="en-US" w:eastAsia="ru-RU"/>
        </w:rPr>
        <w:t xml:space="preserve"> in a tabular form</w:t>
      </w:r>
      <w:r w:rsidRPr="00647D57">
        <w:rPr>
          <w:lang w:val="en-US" w:eastAsia="ru-RU"/>
        </w:rPr>
        <w:t xml:space="preserve">, while removing unnecessary, </w:t>
      </w:r>
      <w:r w:rsidRPr="004C136E">
        <w:rPr>
          <w:lang w:val="en-US" w:eastAsia="ru-RU"/>
        </w:rPr>
        <w:t xml:space="preserve">as well as </w:t>
      </w:r>
      <w:r>
        <w:rPr>
          <w:lang w:val="en-US" w:eastAsia="ru-RU"/>
        </w:rPr>
        <w:t>ecologically unsound</w:t>
      </w:r>
      <w:r w:rsidRPr="004C136E">
        <w:rPr>
          <w:lang w:val="en-US" w:eastAsia="ru-RU"/>
        </w:rPr>
        <w:t xml:space="preserve"> information</w:t>
      </w:r>
      <w:r>
        <w:rPr>
          <w:lang w:val="en-US" w:eastAsia="ru-RU"/>
        </w:rPr>
        <w:t>.</w:t>
      </w:r>
    </w:p>
    <w:p w:rsidR="00C45CA2" w:rsidRPr="00647D57" w:rsidRDefault="00C45CA2" w:rsidP="00D46172">
      <w:pPr>
        <w:pStyle w:val="SingleTxtG"/>
        <w:keepNext/>
        <w:rPr>
          <w:lang w:val="en-US" w:eastAsia="ru-RU"/>
        </w:rPr>
      </w:pPr>
      <w:r>
        <w:rPr>
          <w:lang w:val="en-US" w:eastAsia="ru-RU"/>
        </w:rPr>
        <w:lastRenderedPageBreak/>
        <w:t>3.1.</w:t>
      </w:r>
      <w:r>
        <w:rPr>
          <w:lang w:val="en-US" w:eastAsia="ru-RU"/>
        </w:rPr>
        <w:tab/>
      </w:r>
      <w:r w:rsidRPr="00647D57">
        <w:rPr>
          <w:lang w:val="en-US" w:eastAsia="ru-RU"/>
        </w:rPr>
        <w:t>Amend special provision TU21 as follows:</w:t>
      </w:r>
    </w:p>
    <w:p w:rsidR="00C45CA2" w:rsidRDefault="00C45CA2" w:rsidP="00D46172">
      <w:pPr>
        <w:keepNext/>
        <w:spacing w:before="120" w:after="120"/>
        <w:ind w:left="1123" w:right="1123"/>
        <w:jc w:val="both"/>
        <w:rPr>
          <w:color w:val="000000"/>
          <w:lang w:val="en-US" w:eastAsia="ru-RU"/>
        </w:rPr>
      </w:pPr>
      <w:r>
        <w:rPr>
          <w:b/>
          <w:bCs/>
          <w:color w:val="000000"/>
          <w:lang w:val="en-US" w:eastAsia="ru-RU"/>
        </w:rPr>
        <w:t>“</w:t>
      </w:r>
      <w:r w:rsidRPr="00647D57">
        <w:rPr>
          <w:b/>
          <w:bCs/>
          <w:color w:val="000000"/>
          <w:lang w:val="en-US" w:eastAsia="ru-RU"/>
        </w:rPr>
        <w:t>TU21</w:t>
      </w:r>
      <w:r w:rsidRPr="00647D57">
        <w:rPr>
          <w:color w:val="000000"/>
          <w:lang w:val="en-US" w:eastAsia="ru-RU"/>
        </w:rPr>
        <w:t> </w:t>
      </w:r>
      <w:proofErr w:type="gramStart"/>
      <w:r w:rsidRPr="00647D57">
        <w:rPr>
          <w:color w:val="000000"/>
          <w:lang w:val="en-US" w:eastAsia="ru-RU"/>
        </w:rPr>
        <w:t>The</w:t>
      </w:r>
      <w:proofErr w:type="gramEnd"/>
      <w:r w:rsidRPr="00647D57">
        <w:rPr>
          <w:color w:val="000000"/>
          <w:lang w:val="en-US" w:eastAsia="ru-RU"/>
        </w:rPr>
        <w:t xml:space="preserve"> substance shall be protected by a protective agent in the following ways:</w:t>
      </w:r>
    </w:p>
    <w:tbl>
      <w:tblPr>
        <w:tblW w:w="73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30"/>
        <w:gridCol w:w="1257"/>
        <w:gridCol w:w="1397"/>
        <w:gridCol w:w="2236"/>
      </w:tblGrid>
      <w:tr w:rsidR="00D46172" w:rsidRPr="00647D57" w:rsidTr="00EF318E">
        <w:trPr>
          <w:jc w:val="center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2" w:right="102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P</w:t>
            </w:r>
            <w:proofErr w:type="spellStart"/>
            <w:r w:rsidRPr="004C136E">
              <w:rPr>
                <w:lang w:eastAsia="ru-RU"/>
              </w:rPr>
              <w:t>rotective</w:t>
            </w:r>
            <w:proofErr w:type="spellEnd"/>
            <w:r w:rsidRPr="004C136E">
              <w:rPr>
                <w:lang w:eastAsia="ru-RU"/>
              </w:rPr>
              <w:t xml:space="preserve"> agent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2" w:right="102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A layer of water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2" w:right="102"/>
              <w:rPr>
                <w:lang w:eastAsia="ru-RU"/>
              </w:rPr>
            </w:pPr>
            <w:r w:rsidRPr="00104FAF">
              <w:rPr>
                <w:lang w:val="en-US" w:eastAsia="ru-RU"/>
              </w:rPr>
              <w:t>degree of filling</w:t>
            </w:r>
            <w:r>
              <w:rPr>
                <w:lang w:val="en-US" w:eastAsia="ru-RU"/>
              </w:rPr>
              <w:t xml:space="preserve"> </w:t>
            </w:r>
            <w:r w:rsidRPr="00104FAF">
              <w:rPr>
                <w:lang w:val="en-US" w:eastAsia="ru-RU"/>
              </w:rPr>
              <w:t>at a temperature</w:t>
            </w:r>
            <w:r>
              <w:rPr>
                <w:lang w:val="en-US" w:eastAsia="ru-RU"/>
              </w:rPr>
              <w:t xml:space="preserve"> of </w:t>
            </w:r>
            <w:r w:rsidRPr="00104FAF">
              <w:rPr>
                <w:lang w:eastAsia="ru-RU"/>
              </w:rPr>
              <w:t>60</w:t>
            </w:r>
            <w:r w:rsidRPr="007476E1">
              <w:rPr>
                <w:lang w:eastAsia="ru-RU"/>
              </w:rPr>
              <w:t> </w:t>
            </w:r>
            <w:r w:rsidRPr="00104FAF">
              <w:rPr>
                <w:lang w:eastAsia="ru-RU"/>
              </w:rPr>
              <w:t>° C should not exceed</w:t>
            </w:r>
          </w:p>
          <w:p w:rsidR="00D46172" w:rsidRPr="00647D57" w:rsidRDefault="00D46172" w:rsidP="00D46172">
            <w:pPr>
              <w:keepNext/>
              <w:spacing w:line="240" w:lineRule="auto"/>
              <w:ind w:left="102" w:right="102"/>
              <w:rPr>
                <w:lang w:eastAsia="ru-RU"/>
              </w:rPr>
            </w:pPr>
            <w:r w:rsidRPr="00104FAF">
              <w:rPr>
                <w:lang w:eastAsia="ru-RU"/>
              </w:rPr>
              <w:t>(%)</w:t>
            </w: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2" w:right="10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Additional requirements for transport at low ambient temperatures</w:t>
            </w:r>
          </w:p>
        </w:tc>
      </w:tr>
      <w:tr w:rsidR="00D46172" w:rsidRPr="00647D57" w:rsidTr="00EF318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72" w:rsidRPr="00647D57" w:rsidRDefault="00D46172" w:rsidP="00D46172">
            <w:pPr>
              <w:keepNext/>
              <w:spacing w:line="240" w:lineRule="auto"/>
              <w:rPr>
                <w:lang w:val="en-US"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tank</w:t>
            </w:r>
            <w:r>
              <w:rPr>
                <w:lang w:val="de-CH" w:eastAsia="ru-RU"/>
              </w:rPr>
              <w:t>-</w:t>
            </w:r>
            <w:r w:rsidRPr="00104FAF">
              <w:rPr>
                <w:lang w:val="en-US" w:eastAsia="ru-RU"/>
              </w:rPr>
              <w:t>wagon</w:t>
            </w:r>
            <w:r>
              <w:rPr>
                <w:lang w:val="en-US" w:eastAsia="ru-RU"/>
              </w:rPr>
              <w:t>/tank-vehicle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tank-container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72" w:rsidRPr="00647D57" w:rsidRDefault="00D46172" w:rsidP="00D46172">
            <w:pPr>
              <w:keepNext/>
              <w:spacing w:line="240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6172" w:rsidRPr="00647D57" w:rsidRDefault="00D46172" w:rsidP="00D46172">
            <w:pPr>
              <w:keepNext/>
              <w:spacing w:line="240" w:lineRule="auto"/>
              <w:rPr>
                <w:lang w:eastAsia="ru-RU"/>
              </w:rPr>
            </w:pPr>
          </w:p>
        </w:tc>
      </w:tr>
      <w:tr w:rsidR="00D46172" w:rsidRPr="00647D57" w:rsidTr="00EF318E">
        <w:trPr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Nitrogen*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7476E1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val="de-CH" w:eastAsia="ru-RU"/>
              </w:rPr>
            </w:pPr>
            <w:r>
              <w:rPr>
                <w:lang w:val="de-CH" w:eastAsia="ru-RU"/>
              </w:rPr>
              <w:t>–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7476E1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val="de-CH" w:eastAsia="ru-RU"/>
              </w:rPr>
            </w:pPr>
            <w:r>
              <w:rPr>
                <w:lang w:val="de-CH" w:eastAsia="ru-RU"/>
              </w:rPr>
              <w:t>–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96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-</w:t>
            </w:r>
          </w:p>
        </w:tc>
      </w:tr>
      <w:tr w:rsidR="00D46172" w:rsidRPr="00647D57" w:rsidTr="00EF318E">
        <w:trPr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val="en-US" w:eastAsia="ru-RU"/>
              </w:rPr>
            </w:pPr>
            <w:r w:rsidRPr="00104FAF">
              <w:rPr>
                <w:lang w:eastAsia="ru-RU"/>
              </w:rPr>
              <w:t>Water + nitrogen</w:t>
            </w:r>
            <w:r w:rsidRPr="00104FAF">
              <w:rPr>
                <w:lang w:val="en-US" w:eastAsia="ru-RU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7476E1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val="de-CH" w:eastAsia="ru-RU"/>
              </w:rPr>
            </w:pPr>
            <w:r w:rsidRPr="00104FAF">
              <w:rPr>
                <w:lang w:eastAsia="ru-RU"/>
              </w:rPr>
              <w:t>no</w:t>
            </w:r>
            <w:r>
              <w:rPr>
                <w:lang w:val="de-CH" w:eastAsia="ru-RU"/>
              </w:rPr>
              <w:t>t</w:t>
            </w:r>
            <w:r w:rsidRPr="00104FAF">
              <w:rPr>
                <w:lang w:eastAsia="ru-RU"/>
              </w:rPr>
              <w:t xml:space="preserve"> less</w:t>
            </w:r>
            <w:r>
              <w:rPr>
                <w:lang w:val="de-CH" w:eastAsia="ru-RU"/>
              </w:rPr>
              <w:t xml:space="preserve"> </w:t>
            </w:r>
            <w:proofErr w:type="spellStart"/>
            <w:r>
              <w:rPr>
                <w:lang w:val="de-CH" w:eastAsia="ru-RU"/>
              </w:rPr>
              <w:t>than</w:t>
            </w:r>
            <w:proofErr w:type="spellEnd"/>
          </w:p>
          <w:p w:rsidR="00D46172" w:rsidRPr="00647D57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>
              <w:rPr>
                <w:lang w:val="de-CH" w:eastAsia="ru-RU"/>
              </w:rPr>
              <w:t> </w:t>
            </w:r>
            <w:r w:rsidRPr="00104FAF">
              <w:rPr>
                <w:lang w:eastAsia="ru-RU"/>
              </w:rPr>
              <w:t>cm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7476E1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val="de-CH" w:eastAsia="ru-RU"/>
              </w:rPr>
            </w:pPr>
            <w:r w:rsidRPr="00104FAF">
              <w:rPr>
                <w:lang w:eastAsia="ru-RU"/>
              </w:rPr>
              <w:t>no</w:t>
            </w:r>
            <w:r>
              <w:rPr>
                <w:lang w:val="de-CH" w:eastAsia="ru-RU"/>
              </w:rPr>
              <w:t>t</w:t>
            </w:r>
            <w:r w:rsidRPr="00104FAF">
              <w:rPr>
                <w:lang w:eastAsia="ru-RU"/>
              </w:rPr>
              <w:t xml:space="preserve"> less</w:t>
            </w:r>
            <w:r>
              <w:rPr>
                <w:lang w:val="de-CH" w:eastAsia="ru-RU"/>
              </w:rPr>
              <w:t xml:space="preserve"> </w:t>
            </w:r>
            <w:proofErr w:type="spellStart"/>
            <w:r>
              <w:rPr>
                <w:lang w:val="de-CH" w:eastAsia="ru-RU"/>
              </w:rPr>
              <w:t>than</w:t>
            </w:r>
            <w:proofErr w:type="spellEnd"/>
          </w:p>
          <w:p w:rsidR="00D46172" w:rsidRPr="00647D57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>
              <w:rPr>
                <w:lang w:val="de-CH" w:eastAsia="ru-RU"/>
              </w:rPr>
              <w:t> </w:t>
            </w:r>
            <w:r w:rsidRPr="00104FAF">
              <w:rPr>
                <w:lang w:eastAsia="ru-RU"/>
              </w:rPr>
              <w:t>cm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96</w:t>
            </w: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D46172">
            <w:pPr>
              <w:keepNext/>
              <w:spacing w:line="240" w:lineRule="auto"/>
              <w:ind w:left="100" w:right="100"/>
              <w:rPr>
                <w:lang w:val="en-US" w:eastAsia="ru-RU"/>
              </w:rPr>
            </w:pPr>
            <w:r w:rsidRPr="00104FAF">
              <w:rPr>
                <w:lang w:val="en-US" w:eastAsia="ru-RU"/>
              </w:rPr>
              <w:t xml:space="preserve">The water shall contain sufficient anti-freeze </w:t>
            </w:r>
            <w:r>
              <w:rPr>
                <w:lang w:val="en-US" w:eastAsia="ru-RU"/>
              </w:rPr>
              <w:t xml:space="preserve">agent </w:t>
            </w:r>
            <w:r w:rsidRPr="00104FAF">
              <w:rPr>
                <w:lang w:val="en-US" w:eastAsia="ru-RU"/>
              </w:rPr>
              <w:t xml:space="preserve">to prevent it from freezing. </w:t>
            </w:r>
            <w:r w:rsidRPr="007476E1">
              <w:rPr>
                <w:lang w:eastAsia="ru-RU"/>
              </w:rPr>
              <w:t>The anti-freeze agent shall be free from corrosive action and not liable to react with the substance.</w:t>
            </w:r>
          </w:p>
        </w:tc>
      </w:tr>
      <w:tr w:rsidR="00D46172" w:rsidRPr="00647D57" w:rsidTr="00EF318E">
        <w:trPr>
          <w:trHeight w:val="63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Water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7476E1" w:rsidRDefault="00D46172" w:rsidP="00EF318E">
            <w:pPr>
              <w:spacing w:line="240" w:lineRule="auto"/>
              <w:ind w:left="100" w:right="100"/>
              <w:jc w:val="center"/>
              <w:rPr>
                <w:lang w:val="de-CH" w:eastAsia="ru-RU"/>
              </w:rPr>
            </w:pPr>
            <w:r w:rsidRPr="00104FAF">
              <w:rPr>
                <w:lang w:eastAsia="ru-RU"/>
              </w:rPr>
              <w:t>no</w:t>
            </w:r>
            <w:r>
              <w:rPr>
                <w:lang w:val="de-CH" w:eastAsia="ru-RU"/>
              </w:rPr>
              <w:t>t</w:t>
            </w:r>
            <w:r w:rsidRPr="00104FAF">
              <w:rPr>
                <w:lang w:eastAsia="ru-RU"/>
              </w:rPr>
              <w:t xml:space="preserve"> less</w:t>
            </w:r>
            <w:r>
              <w:rPr>
                <w:lang w:val="de-CH" w:eastAsia="ru-RU"/>
              </w:rPr>
              <w:t xml:space="preserve"> </w:t>
            </w:r>
            <w:proofErr w:type="spellStart"/>
            <w:r>
              <w:rPr>
                <w:lang w:val="de-CH" w:eastAsia="ru-RU"/>
              </w:rPr>
              <w:t>than</w:t>
            </w:r>
            <w:proofErr w:type="spellEnd"/>
          </w:p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>
              <w:rPr>
                <w:lang w:val="de-CH" w:eastAsia="ru-RU"/>
              </w:rPr>
              <w:t> </w:t>
            </w:r>
            <w:r w:rsidRPr="00104FAF">
              <w:rPr>
                <w:lang w:eastAsia="ru-RU"/>
              </w:rPr>
              <w:t>cm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7476E1" w:rsidRDefault="00D46172" w:rsidP="00EF318E">
            <w:pPr>
              <w:spacing w:line="240" w:lineRule="auto"/>
              <w:ind w:left="100" w:right="100"/>
              <w:jc w:val="center"/>
              <w:rPr>
                <w:lang w:val="de-CH" w:eastAsia="ru-RU"/>
              </w:rPr>
            </w:pPr>
            <w:r w:rsidRPr="00104FAF">
              <w:rPr>
                <w:lang w:eastAsia="ru-RU"/>
              </w:rPr>
              <w:t>no</w:t>
            </w:r>
            <w:r>
              <w:rPr>
                <w:lang w:val="de-CH" w:eastAsia="ru-RU"/>
              </w:rPr>
              <w:t>t</w:t>
            </w:r>
            <w:r w:rsidRPr="00104FAF">
              <w:rPr>
                <w:lang w:eastAsia="ru-RU"/>
              </w:rPr>
              <w:t xml:space="preserve"> less</w:t>
            </w:r>
            <w:r>
              <w:rPr>
                <w:lang w:val="de-CH" w:eastAsia="ru-RU"/>
              </w:rPr>
              <w:t xml:space="preserve"> </w:t>
            </w:r>
            <w:proofErr w:type="spellStart"/>
            <w:r>
              <w:rPr>
                <w:lang w:val="de-CH" w:eastAsia="ru-RU"/>
              </w:rPr>
              <w:t>than</w:t>
            </w:r>
            <w:proofErr w:type="spellEnd"/>
          </w:p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12 cm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98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72" w:rsidRPr="00647D57" w:rsidRDefault="00D46172" w:rsidP="00EF318E">
            <w:pPr>
              <w:spacing w:line="240" w:lineRule="auto"/>
              <w:rPr>
                <w:lang w:eastAsia="ru-RU"/>
              </w:rPr>
            </w:pPr>
          </w:p>
        </w:tc>
      </w:tr>
    </w:tbl>
    <w:p w:rsidR="00C45CA2" w:rsidRPr="00104FAF" w:rsidRDefault="00C45CA2" w:rsidP="00C45CA2">
      <w:pPr>
        <w:ind w:left="1120" w:right="1120"/>
        <w:jc w:val="both"/>
        <w:rPr>
          <w:i/>
          <w:iCs/>
          <w:color w:val="000000"/>
          <w:vertAlign w:val="superscript"/>
          <w:lang w:val="en-US" w:eastAsia="ru-RU"/>
        </w:rPr>
      </w:pPr>
      <w:bookmarkStart w:id="1" w:name="table02"/>
      <w:bookmarkEnd w:id="1"/>
    </w:p>
    <w:p w:rsidR="00C45CA2" w:rsidRDefault="00C45CA2" w:rsidP="00C45CA2">
      <w:pPr>
        <w:ind w:left="1120" w:right="1120"/>
        <w:jc w:val="both"/>
        <w:rPr>
          <w:i/>
          <w:iCs/>
          <w:color w:val="000000"/>
          <w:lang w:val="en-US" w:eastAsia="ru-RU"/>
        </w:rPr>
      </w:pPr>
      <w:r w:rsidRPr="00647D57">
        <w:rPr>
          <w:i/>
          <w:iCs/>
          <w:color w:val="000000"/>
          <w:sz w:val="15"/>
          <w:vertAlign w:val="superscript"/>
          <w:lang w:val="en-US" w:eastAsia="ru-RU"/>
        </w:rPr>
        <w:t xml:space="preserve">*) </w:t>
      </w:r>
      <w:r w:rsidRPr="00647D57">
        <w:rPr>
          <w:i/>
          <w:iCs/>
          <w:color w:val="000000"/>
          <w:lang w:val="en-US" w:eastAsia="ru-RU"/>
        </w:rPr>
        <w:t xml:space="preserve">The </w:t>
      </w:r>
      <w:r>
        <w:rPr>
          <w:i/>
          <w:iCs/>
          <w:color w:val="000000"/>
          <w:lang w:val="en-US" w:eastAsia="ru-RU"/>
        </w:rPr>
        <w:t xml:space="preserve">remaining </w:t>
      </w:r>
      <w:r w:rsidRPr="00647D57">
        <w:rPr>
          <w:i/>
          <w:iCs/>
          <w:color w:val="000000"/>
          <w:lang w:val="en-US" w:eastAsia="ru-RU"/>
        </w:rPr>
        <w:t>space of the tank sh</w:t>
      </w:r>
      <w:r>
        <w:rPr>
          <w:i/>
          <w:iCs/>
          <w:color w:val="000000"/>
          <w:lang w:val="en-US" w:eastAsia="ru-RU"/>
        </w:rPr>
        <w:t>all</w:t>
      </w:r>
      <w:r w:rsidRPr="00647D57">
        <w:rPr>
          <w:i/>
          <w:iCs/>
          <w:color w:val="000000"/>
          <w:lang w:val="en-US" w:eastAsia="ru-RU"/>
        </w:rPr>
        <w:t xml:space="preserve"> be filled with nitrogen </w:t>
      </w:r>
      <w:r w:rsidRPr="00CE0DB3">
        <w:rPr>
          <w:i/>
          <w:iCs/>
          <w:color w:val="000000"/>
          <w:lang w:val="en-US" w:eastAsia="ru-RU"/>
        </w:rPr>
        <w:t>in such a way that, even after cooling, the pressure at no time falls below atmospheric pressure. The tank shall be closed in such a way that no leakage of gas occurs.</w:t>
      </w:r>
      <w:r>
        <w:rPr>
          <w:i/>
          <w:iCs/>
          <w:color w:val="000000"/>
          <w:lang w:val="en-US" w:eastAsia="ru-RU"/>
        </w:rPr>
        <w:t>”</w:t>
      </w:r>
    </w:p>
    <w:p w:rsidR="00C45CA2" w:rsidRDefault="00C45CA2" w:rsidP="00C45CA2">
      <w:pPr>
        <w:pStyle w:val="SingleTxtG"/>
        <w:spacing w:before="120"/>
        <w:rPr>
          <w:lang w:val="en-US" w:eastAsia="ru-RU"/>
        </w:rPr>
      </w:pPr>
      <w:r w:rsidRPr="00647D57">
        <w:rPr>
          <w:lang w:val="en-US" w:eastAsia="ru-RU"/>
        </w:rPr>
        <w:t>3.2. Amend special provision TU16 as follows:</w:t>
      </w:r>
    </w:p>
    <w:p w:rsidR="00C45CA2" w:rsidRDefault="00C45CA2" w:rsidP="00C45CA2">
      <w:pPr>
        <w:spacing w:before="120" w:after="120"/>
        <w:ind w:left="1123" w:right="851"/>
        <w:jc w:val="both"/>
        <w:rPr>
          <w:color w:val="000000"/>
          <w:lang w:val="en-US" w:eastAsia="ru-RU"/>
        </w:rPr>
      </w:pPr>
      <w:r>
        <w:rPr>
          <w:b/>
          <w:bCs/>
          <w:color w:val="000000"/>
          <w:lang w:val="en-US" w:eastAsia="ru-RU"/>
        </w:rPr>
        <w:t>“</w:t>
      </w:r>
      <w:r w:rsidRPr="00647D57">
        <w:rPr>
          <w:b/>
          <w:bCs/>
          <w:color w:val="000000"/>
          <w:lang w:val="en-US" w:eastAsia="ru-RU"/>
        </w:rPr>
        <w:t>TU16</w:t>
      </w:r>
      <w:r>
        <w:rPr>
          <w:color w:val="000000"/>
          <w:lang w:val="en-US" w:eastAsia="ru-RU"/>
        </w:rPr>
        <w:t> W</w:t>
      </w:r>
      <w:r w:rsidRPr="00647D57">
        <w:rPr>
          <w:color w:val="000000"/>
          <w:lang w:val="en-US" w:eastAsia="ru-RU"/>
        </w:rPr>
        <w:t xml:space="preserve">hen handed over for carriage </w:t>
      </w:r>
      <w:proofErr w:type="spellStart"/>
      <w:r w:rsidRPr="00647D57">
        <w:rPr>
          <w:color w:val="000000"/>
          <w:lang w:val="en-US" w:eastAsia="ru-RU"/>
        </w:rPr>
        <w:t>uncleaned</w:t>
      </w:r>
      <w:proofErr w:type="spellEnd"/>
      <w:r w:rsidRPr="00647D57">
        <w:rPr>
          <w:color w:val="000000"/>
          <w:lang w:val="en-US" w:eastAsia="ru-RU"/>
        </w:rPr>
        <w:t xml:space="preserve"> empty tanks must be filled </w:t>
      </w:r>
      <w:r>
        <w:rPr>
          <w:color w:val="000000"/>
          <w:lang w:val="en-US" w:eastAsia="ru-RU"/>
        </w:rPr>
        <w:t xml:space="preserve">with </w:t>
      </w:r>
      <w:r w:rsidRPr="00647D57">
        <w:rPr>
          <w:color w:val="000000"/>
          <w:lang w:val="en-US" w:eastAsia="ru-RU"/>
        </w:rPr>
        <w:t>a protective agent in the following ways:</w:t>
      </w:r>
    </w:p>
    <w:tbl>
      <w:tblPr>
        <w:tblW w:w="7371" w:type="dxa"/>
        <w:tblInd w:w="1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230"/>
        <w:gridCol w:w="1311"/>
        <w:gridCol w:w="3789"/>
      </w:tblGrid>
      <w:tr w:rsidR="00D46172" w:rsidRPr="00647D57" w:rsidTr="00EF318E">
        <w:tc>
          <w:tcPr>
            <w:tcW w:w="1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bookmarkStart w:id="2" w:name="table03"/>
            <w:bookmarkEnd w:id="2"/>
            <w:r>
              <w:rPr>
                <w:lang w:val="en-US" w:eastAsia="ru-RU"/>
              </w:rPr>
              <w:t>P</w:t>
            </w:r>
            <w:proofErr w:type="spellStart"/>
            <w:r w:rsidRPr="004C136E">
              <w:rPr>
                <w:lang w:eastAsia="ru-RU"/>
              </w:rPr>
              <w:t>rotective</w:t>
            </w:r>
            <w:proofErr w:type="spellEnd"/>
            <w:r w:rsidRPr="004C136E">
              <w:rPr>
                <w:lang w:eastAsia="ru-RU"/>
              </w:rPr>
              <w:t xml:space="preserve"> agent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A layer of water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Additional requirements for transport at low ambient temperatures</w:t>
            </w:r>
          </w:p>
        </w:tc>
      </w:tr>
      <w:tr w:rsidR="00D46172" w:rsidRPr="00647D57" w:rsidTr="00EF318E">
        <w:tc>
          <w:tcPr>
            <w:tcW w:w="1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72" w:rsidRPr="00647D57" w:rsidRDefault="00D46172" w:rsidP="00EF318E">
            <w:pPr>
              <w:spacing w:line="240" w:lineRule="auto"/>
              <w:rPr>
                <w:lang w:val="en-US"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tank</w:t>
            </w:r>
            <w:r>
              <w:rPr>
                <w:lang w:val="en-US" w:eastAsia="ru-RU"/>
              </w:rPr>
              <w:t>-</w:t>
            </w:r>
            <w:r w:rsidRPr="00104FAF">
              <w:rPr>
                <w:lang w:val="en-US" w:eastAsia="ru-RU"/>
              </w:rPr>
              <w:t>wagon</w:t>
            </w:r>
            <w:r>
              <w:rPr>
                <w:lang w:val="en-US" w:eastAsia="ru-RU"/>
              </w:rPr>
              <w:t>/tank-vehicle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Default="00D46172" w:rsidP="00EF318E">
            <w:pPr>
              <w:spacing w:line="240" w:lineRule="auto"/>
              <w:ind w:left="100" w:right="100"/>
              <w:jc w:val="center"/>
              <w:rPr>
                <w:lang w:val="en-US" w:eastAsia="ru-RU"/>
              </w:rPr>
            </w:pPr>
            <w:r w:rsidRPr="00104FAF">
              <w:rPr>
                <w:lang w:eastAsia="ru-RU"/>
              </w:rPr>
              <w:t>tank-</w:t>
            </w:r>
          </w:p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container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6172" w:rsidRPr="00647D57" w:rsidRDefault="00D46172" w:rsidP="00EF318E">
            <w:pPr>
              <w:spacing w:line="240" w:lineRule="auto"/>
              <w:rPr>
                <w:lang w:eastAsia="ru-RU"/>
              </w:rPr>
            </w:pPr>
          </w:p>
        </w:tc>
      </w:tr>
      <w:tr w:rsidR="00D46172" w:rsidRPr="00647D57" w:rsidTr="00EF318E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Nitrogen*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CE0DB3" w:rsidRDefault="00D46172" w:rsidP="00EF318E">
            <w:pPr>
              <w:spacing w:line="240" w:lineRule="auto"/>
              <w:ind w:left="100" w:right="100"/>
              <w:jc w:val="center"/>
              <w:rPr>
                <w:lang w:val="de-CH" w:eastAsia="ru-RU"/>
              </w:rPr>
            </w:pPr>
            <w:r>
              <w:rPr>
                <w:lang w:val="de-CH" w:eastAsia="ru-RU"/>
              </w:rPr>
              <w:t>–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CE0DB3" w:rsidRDefault="00D46172" w:rsidP="00EF318E">
            <w:pPr>
              <w:spacing w:line="240" w:lineRule="auto"/>
              <w:ind w:left="100" w:right="100"/>
              <w:jc w:val="center"/>
              <w:rPr>
                <w:lang w:val="de-CH" w:eastAsia="ru-RU"/>
              </w:rPr>
            </w:pPr>
            <w:r>
              <w:rPr>
                <w:lang w:val="de-CH" w:eastAsia="ru-RU"/>
              </w:rPr>
              <w:t>–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-</w:t>
            </w:r>
          </w:p>
        </w:tc>
      </w:tr>
      <w:tr w:rsidR="00D46172" w:rsidRPr="00647D57" w:rsidTr="00EF318E">
        <w:trPr>
          <w:trHeight w:val="1110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* Water + nitrogen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30 cm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Pr="00647D57" w:rsidRDefault="00D46172" w:rsidP="00EF318E">
            <w:pPr>
              <w:spacing w:line="240" w:lineRule="auto"/>
              <w:ind w:left="100" w:right="100"/>
              <w:jc w:val="center"/>
              <w:rPr>
                <w:lang w:eastAsia="ru-RU"/>
              </w:rPr>
            </w:pPr>
            <w:r w:rsidRPr="00104FAF">
              <w:rPr>
                <w:lang w:eastAsia="ru-RU"/>
              </w:rPr>
              <w:t>30 cm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6172" w:rsidRDefault="00D46172" w:rsidP="00EF318E">
            <w:pPr>
              <w:spacing w:line="240" w:lineRule="auto"/>
              <w:ind w:left="100" w:right="100"/>
              <w:rPr>
                <w:lang w:val="en-US" w:eastAsia="ru-RU"/>
              </w:rPr>
            </w:pPr>
            <w:r w:rsidRPr="00104FAF">
              <w:rPr>
                <w:lang w:val="en-US" w:eastAsia="ru-RU"/>
              </w:rPr>
              <w:t xml:space="preserve">The water shall contain sufficient anti-freeze </w:t>
            </w:r>
            <w:r>
              <w:rPr>
                <w:lang w:val="en-US" w:eastAsia="ru-RU"/>
              </w:rPr>
              <w:t xml:space="preserve">agent </w:t>
            </w:r>
            <w:r w:rsidRPr="00104FAF">
              <w:rPr>
                <w:lang w:val="en-US" w:eastAsia="ru-RU"/>
              </w:rPr>
              <w:t>to prevent it from freezing.</w:t>
            </w:r>
          </w:p>
          <w:p w:rsidR="00D46172" w:rsidRPr="00647D57" w:rsidRDefault="00D46172" w:rsidP="00EF318E">
            <w:pPr>
              <w:spacing w:line="240" w:lineRule="auto"/>
              <w:ind w:left="100" w:right="100"/>
              <w:rPr>
                <w:lang w:val="en-US" w:eastAsia="ru-RU"/>
              </w:rPr>
            </w:pPr>
            <w:r w:rsidRPr="007476E1">
              <w:rPr>
                <w:lang w:eastAsia="ru-RU"/>
              </w:rPr>
              <w:t>The anti-freeze agent shall be free from corrosive action and not liable to react with the substance.</w:t>
            </w:r>
          </w:p>
        </w:tc>
      </w:tr>
    </w:tbl>
    <w:p w:rsidR="00C45CA2" w:rsidRDefault="00C45CA2" w:rsidP="00D46172">
      <w:pPr>
        <w:spacing w:before="120" w:after="120"/>
        <w:ind w:left="1418" w:right="1123" w:hanging="295"/>
        <w:jc w:val="both"/>
        <w:rPr>
          <w:i/>
          <w:iCs/>
          <w:color w:val="000000"/>
          <w:lang w:val="en-US" w:eastAsia="ru-RU"/>
        </w:rPr>
      </w:pPr>
      <w:r>
        <w:rPr>
          <w:i/>
          <w:iCs/>
          <w:color w:val="000000"/>
          <w:sz w:val="15"/>
          <w:vertAlign w:val="superscript"/>
          <w:lang w:val="en-US" w:eastAsia="ru-RU"/>
        </w:rPr>
        <w:t>*</w:t>
      </w:r>
      <w:r>
        <w:rPr>
          <w:i/>
          <w:iCs/>
          <w:color w:val="000000"/>
          <w:sz w:val="15"/>
          <w:vertAlign w:val="superscript"/>
          <w:lang w:val="en-US" w:eastAsia="ru-RU"/>
        </w:rPr>
        <w:tab/>
      </w:r>
      <w:r w:rsidRPr="00647D57">
        <w:rPr>
          <w:i/>
          <w:iCs/>
          <w:color w:val="000000"/>
          <w:sz w:val="15"/>
          <w:vertAlign w:val="superscript"/>
          <w:lang w:val="en-US" w:eastAsia="ru-RU"/>
        </w:rPr>
        <w:t xml:space="preserve"> </w:t>
      </w:r>
      <w:r w:rsidRPr="00647D57">
        <w:rPr>
          <w:i/>
          <w:iCs/>
          <w:color w:val="000000"/>
          <w:lang w:val="en-US" w:eastAsia="ru-RU"/>
        </w:rPr>
        <w:t xml:space="preserve">The </w:t>
      </w:r>
      <w:r>
        <w:rPr>
          <w:i/>
          <w:iCs/>
          <w:color w:val="000000"/>
          <w:lang w:val="en-US" w:eastAsia="ru-RU"/>
        </w:rPr>
        <w:t xml:space="preserve">remaining </w:t>
      </w:r>
      <w:r w:rsidRPr="00647D57">
        <w:rPr>
          <w:i/>
          <w:iCs/>
          <w:color w:val="000000"/>
          <w:lang w:val="en-US" w:eastAsia="ru-RU"/>
        </w:rPr>
        <w:t>space of the tank sh</w:t>
      </w:r>
      <w:r>
        <w:rPr>
          <w:i/>
          <w:iCs/>
          <w:color w:val="000000"/>
          <w:lang w:val="en-US" w:eastAsia="ru-RU"/>
        </w:rPr>
        <w:t>all</w:t>
      </w:r>
      <w:r w:rsidRPr="00647D57">
        <w:rPr>
          <w:i/>
          <w:iCs/>
          <w:color w:val="000000"/>
          <w:lang w:val="en-US" w:eastAsia="ru-RU"/>
        </w:rPr>
        <w:t xml:space="preserve"> be filled with nitrogen </w:t>
      </w:r>
      <w:r w:rsidRPr="00CE0DB3">
        <w:rPr>
          <w:i/>
          <w:iCs/>
          <w:color w:val="000000"/>
          <w:lang w:val="en-US" w:eastAsia="ru-RU"/>
        </w:rPr>
        <w:t>in such a way that, even after cooling, the pressure at no time falls below atmospheric pressure. The tank shall be closed in such a way that no leakage of gas occurs.</w:t>
      </w:r>
    </w:p>
    <w:p w:rsidR="00C45CA2" w:rsidRDefault="00C45CA2" w:rsidP="00C45CA2">
      <w:pPr>
        <w:spacing w:before="120" w:after="120"/>
        <w:ind w:left="1418" w:right="1123" w:hanging="295"/>
        <w:jc w:val="both"/>
        <w:rPr>
          <w:color w:val="000000"/>
          <w:lang w:val="en-US" w:eastAsia="ru-RU"/>
        </w:rPr>
      </w:pPr>
      <w:r>
        <w:rPr>
          <w:color w:val="000000"/>
          <w:lang w:val="en-US" w:eastAsia="ru-RU"/>
        </w:rPr>
        <w:t xml:space="preserve">(RID </w:t>
      </w:r>
      <w:proofErr w:type="gramStart"/>
      <w:r>
        <w:rPr>
          <w:color w:val="000000"/>
          <w:lang w:val="en-US" w:eastAsia="ru-RU"/>
        </w:rPr>
        <w:t>only:</w:t>
      </w:r>
      <w:proofErr w:type="gramEnd"/>
      <w:r>
        <w:rPr>
          <w:color w:val="000000"/>
          <w:lang w:val="en-US" w:eastAsia="ru-RU"/>
        </w:rPr>
        <w:t>)</w:t>
      </w:r>
    </w:p>
    <w:p w:rsidR="00C45CA2" w:rsidRPr="00CE0DB3" w:rsidRDefault="00C45CA2" w:rsidP="00C45CA2">
      <w:pPr>
        <w:pStyle w:val="SingleTxtG"/>
        <w:rPr>
          <w:lang w:val="en-US" w:eastAsia="ru-RU" w:bidi="en-GB"/>
        </w:rPr>
      </w:pPr>
      <w:r w:rsidRPr="00CE0DB3">
        <w:rPr>
          <w:lang w:val="en-US" w:eastAsia="ru-RU" w:bidi="en-GB"/>
        </w:rPr>
        <w:t>An additional entry shall be included in the transport document:</w:t>
      </w:r>
    </w:p>
    <w:p w:rsidR="00C45CA2" w:rsidRPr="00CE0DB3" w:rsidRDefault="00C45CA2" w:rsidP="00C45CA2">
      <w:pPr>
        <w:pStyle w:val="SingleTxtG"/>
        <w:rPr>
          <w:lang w:val="en-US" w:eastAsia="ru-RU" w:bidi="en-GB"/>
        </w:rPr>
      </w:pPr>
      <w:r w:rsidRPr="00CE0DB3">
        <w:rPr>
          <w:lang w:val="en-US" w:eastAsia="ru-RU" w:bidi="en-GB"/>
        </w:rPr>
        <w:t>"Tank filled with _______* in accordance with special provision TU 16."</w:t>
      </w:r>
    </w:p>
    <w:p w:rsidR="00C45CA2" w:rsidRPr="00CE0DB3" w:rsidRDefault="00C45CA2" w:rsidP="00C45CA2">
      <w:pPr>
        <w:pStyle w:val="SingleTxtG"/>
        <w:rPr>
          <w:lang w:val="en-US" w:eastAsia="ru-RU" w:bidi="en-GB"/>
        </w:rPr>
      </w:pPr>
      <w:r w:rsidRPr="00CE0DB3">
        <w:rPr>
          <w:lang w:val="en-US" w:eastAsia="ru-RU" w:bidi="en-GB"/>
        </w:rPr>
        <w:t>___</w:t>
      </w:r>
    </w:p>
    <w:p w:rsidR="00C45CA2" w:rsidRDefault="00C45CA2" w:rsidP="00C45CA2">
      <w:pPr>
        <w:pStyle w:val="SingleTxtG"/>
        <w:rPr>
          <w:lang w:val="en-US" w:eastAsia="ru-RU"/>
        </w:rPr>
      </w:pPr>
      <w:r w:rsidRPr="00CE0DB3">
        <w:rPr>
          <w:lang w:val="en-US" w:eastAsia="ru-RU" w:bidi="en-GB"/>
        </w:rPr>
        <w:t>*</w:t>
      </w:r>
      <w:r w:rsidRPr="00CE0DB3">
        <w:rPr>
          <w:lang w:val="en-US" w:eastAsia="ru-RU" w:bidi="en-GB"/>
        </w:rPr>
        <w:tab/>
        <w:t xml:space="preserve">Indicates the name(s) of the protective agent(s). Where the tank is filled with water, its mass shall be indicated in kg; in the case of nitrogen, its pressure shall be given in </w:t>
      </w:r>
      <w:proofErr w:type="spellStart"/>
      <w:r w:rsidRPr="00CE0DB3">
        <w:rPr>
          <w:lang w:val="en-US" w:eastAsia="ru-RU" w:bidi="en-GB"/>
        </w:rPr>
        <w:t>MPa</w:t>
      </w:r>
      <w:proofErr w:type="spellEnd"/>
      <w:r w:rsidRPr="00CE0DB3">
        <w:rPr>
          <w:lang w:val="en-US" w:eastAsia="ru-RU" w:bidi="en-GB"/>
        </w:rPr>
        <w:t xml:space="preserve"> or bar.</w:t>
      </w:r>
      <w:r>
        <w:rPr>
          <w:lang w:val="en-US" w:eastAsia="ru-RU" w:bidi="en-GB"/>
        </w:rPr>
        <w:t>”</w:t>
      </w:r>
    </w:p>
    <w:p w:rsidR="00C45CA2" w:rsidRDefault="00C45CA2" w:rsidP="00C45CA2">
      <w:pPr>
        <w:pStyle w:val="HChG"/>
        <w:rPr>
          <w:lang w:val="en-US" w:eastAsia="ru-RU"/>
        </w:rPr>
      </w:pPr>
      <w:r>
        <w:rPr>
          <w:lang w:val="en-US" w:eastAsia="ru-RU"/>
        </w:rPr>
        <w:lastRenderedPageBreak/>
        <w:tab/>
      </w:r>
      <w:r>
        <w:rPr>
          <w:lang w:val="en-US" w:eastAsia="ru-RU"/>
        </w:rPr>
        <w:tab/>
        <w:t>J</w:t>
      </w:r>
      <w:r w:rsidRPr="00104FAF">
        <w:rPr>
          <w:lang w:val="en-US" w:eastAsia="ru-RU"/>
        </w:rPr>
        <w:t>ustification</w:t>
      </w:r>
    </w:p>
    <w:p w:rsidR="00C45CA2" w:rsidRPr="00647D57" w:rsidRDefault="00C45CA2" w:rsidP="00C45CA2">
      <w:pPr>
        <w:pStyle w:val="SingleTxtG"/>
        <w:rPr>
          <w:lang w:val="en-US" w:eastAsia="ru-RU"/>
        </w:rPr>
      </w:pPr>
      <w:r w:rsidRPr="00647D57">
        <w:rPr>
          <w:lang w:val="en-US" w:eastAsia="ru-RU"/>
        </w:rPr>
        <w:t xml:space="preserve">These amendments will </w:t>
      </w:r>
      <w:r>
        <w:rPr>
          <w:lang w:val="en-US" w:eastAsia="ru-RU"/>
        </w:rPr>
        <w:t>help participants interpret</w:t>
      </w:r>
      <w:r w:rsidRPr="00647D57">
        <w:rPr>
          <w:lang w:val="en-US" w:eastAsia="ru-RU"/>
        </w:rPr>
        <w:t xml:space="preserve"> </w:t>
      </w:r>
      <w:r>
        <w:rPr>
          <w:lang w:val="en-US" w:eastAsia="ru-RU"/>
        </w:rPr>
        <w:t xml:space="preserve">the </w:t>
      </w:r>
      <w:r w:rsidRPr="00647D57">
        <w:rPr>
          <w:lang w:val="en-US" w:eastAsia="ru-RU"/>
        </w:rPr>
        <w:t>transport requirements of special provisions TU21 and TU16</w:t>
      </w:r>
      <w:r>
        <w:rPr>
          <w:lang w:val="en-US" w:eastAsia="ru-RU"/>
        </w:rPr>
        <w:t xml:space="preserve"> correctly</w:t>
      </w:r>
      <w:r w:rsidRPr="00647D57">
        <w:rPr>
          <w:lang w:val="en-US" w:eastAsia="ru-RU"/>
        </w:rPr>
        <w:t xml:space="preserve">, </w:t>
      </w:r>
      <w:r>
        <w:rPr>
          <w:lang w:val="en-US" w:eastAsia="ru-RU"/>
        </w:rPr>
        <w:t>make</w:t>
      </w:r>
      <w:r w:rsidRPr="00647D57">
        <w:rPr>
          <w:lang w:val="en-US" w:eastAsia="ru-RU"/>
        </w:rPr>
        <w:t xml:space="preserve"> special provisions TU21 and TU16 </w:t>
      </w:r>
      <w:r>
        <w:rPr>
          <w:lang w:val="en-US" w:eastAsia="ru-RU"/>
        </w:rPr>
        <w:t>compatible</w:t>
      </w:r>
      <w:r w:rsidRPr="00647D57">
        <w:rPr>
          <w:lang w:val="en-US" w:eastAsia="ru-RU"/>
        </w:rPr>
        <w:t xml:space="preserve"> </w:t>
      </w:r>
      <w:r>
        <w:rPr>
          <w:lang w:val="en-US" w:eastAsia="ru-RU"/>
        </w:rPr>
        <w:t xml:space="preserve">and remove the ecologically unsound protection method from </w:t>
      </w:r>
      <w:r w:rsidRPr="00647D57">
        <w:rPr>
          <w:lang w:val="en-US" w:eastAsia="ru-RU"/>
        </w:rPr>
        <w:t>special provision TU16</w:t>
      </w:r>
      <w:r>
        <w:rPr>
          <w:lang w:val="en-US" w:eastAsia="ru-RU"/>
        </w:rPr>
        <w:t>.</w:t>
      </w:r>
    </w:p>
    <w:p w:rsidR="00C45CA2" w:rsidRDefault="00C45CA2" w:rsidP="00C45CA2">
      <w:pPr>
        <w:pStyle w:val="HChG"/>
        <w:rPr>
          <w:lang w:val="en-US" w:eastAsia="ru-RU"/>
        </w:rPr>
      </w:pPr>
      <w:r>
        <w:rPr>
          <w:lang w:val="en-US" w:eastAsia="ru-RU"/>
        </w:rPr>
        <w:tab/>
      </w:r>
      <w:r>
        <w:rPr>
          <w:lang w:val="en-US" w:eastAsia="ru-RU"/>
        </w:rPr>
        <w:tab/>
        <w:t>A</w:t>
      </w:r>
      <w:r w:rsidRPr="00104FAF">
        <w:rPr>
          <w:lang w:val="en-US" w:eastAsia="ru-RU"/>
        </w:rPr>
        <w:t>pplication</w:t>
      </w:r>
    </w:p>
    <w:p w:rsidR="00C45CA2" w:rsidRDefault="00C45CA2" w:rsidP="00C45CA2">
      <w:pPr>
        <w:spacing w:after="120"/>
        <w:ind w:left="1120" w:right="1120"/>
        <w:jc w:val="both"/>
        <w:rPr>
          <w:color w:val="000000"/>
          <w:lang w:val="en-US" w:eastAsia="ru-RU"/>
        </w:rPr>
      </w:pPr>
      <w:r w:rsidRPr="00647D57">
        <w:rPr>
          <w:color w:val="000000"/>
          <w:lang w:val="en-US" w:eastAsia="ru-RU"/>
        </w:rPr>
        <w:t>No problems with ensuring the application of the amendment are expected.</w:t>
      </w:r>
      <w:bookmarkStart w:id="3" w:name="graphic03"/>
      <w:bookmarkEnd w:id="3"/>
    </w:p>
    <w:p w:rsidR="00C45CA2" w:rsidRPr="00C45CA2" w:rsidRDefault="00C45CA2" w:rsidP="00C45CA2">
      <w:pPr>
        <w:spacing w:before="240"/>
        <w:ind w:left="1134" w:right="1134"/>
        <w:jc w:val="center"/>
        <w:rPr>
          <w:color w:val="000000"/>
          <w:u w:val="single"/>
          <w:lang w:eastAsia="ru-RU"/>
        </w:rPr>
      </w:pPr>
      <w:r>
        <w:rPr>
          <w:color w:val="000000"/>
          <w:u w:val="single"/>
          <w:lang w:val="en-US" w:eastAsia="ru-RU"/>
        </w:rPr>
        <w:tab/>
      </w:r>
      <w:r>
        <w:rPr>
          <w:color w:val="000000"/>
          <w:u w:val="single"/>
          <w:lang w:val="en-US" w:eastAsia="ru-RU"/>
        </w:rPr>
        <w:tab/>
      </w:r>
      <w:r>
        <w:rPr>
          <w:color w:val="000000"/>
          <w:u w:val="single"/>
          <w:lang w:val="en-US" w:eastAsia="ru-RU"/>
        </w:rPr>
        <w:tab/>
      </w:r>
    </w:p>
    <w:sectPr w:rsidR="00C45CA2" w:rsidRPr="00C45CA2" w:rsidSect="00AB2EDE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0" w:code="9"/>
      <w:pgMar w:top="1701" w:right="1134" w:bottom="2268" w:left="1134" w:header="1134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84" w:rsidRDefault="00A15584"/>
  </w:endnote>
  <w:endnote w:type="continuationSeparator" w:id="0">
    <w:p w:rsidR="00A15584" w:rsidRDefault="00A15584"/>
  </w:endnote>
  <w:endnote w:type="continuationNotice" w:id="1">
    <w:p w:rsidR="00A15584" w:rsidRDefault="00A15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584" w:rsidRPr="00AB2EDE" w:rsidRDefault="00A15584" w:rsidP="00AB2EDE">
    <w:pPr>
      <w:pStyle w:val="Footer"/>
      <w:rPr>
        <w:b/>
        <w:sz w:val="18"/>
        <w:szCs w:val="18"/>
      </w:rPr>
    </w:pPr>
    <w:r w:rsidRPr="00AB2EDE">
      <w:rPr>
        <w:b/>
        <w:sz w:val="18"/>
        <w:szCs w:val="18"/>
      </w:rPr>
      <w:fldChar w:fldCharType="begin"/>
    </w:r>
    <w:r w:rsidRPr="00AB2EDE">
      <w:rPr>
        <w:b/>
        <w:sz w:val="18"/>
        <w:szCs w:val="18"/>
      </w:rPr>
      <w:instrText xml:space="preserve"> PAGE   \* MERGEFORMAT </w:instrText>
    </w:r>
    <w:r w:rsidRPr="00AB2EDE">
      <w:rPr>
        <w:b/>
        <w:sz w:val="18"/>
        <w:szCs w:val="18"/>
      </w:rPr>
      <w:fldChar w:fldCharType="separate"/>
    </w:r>
    <w:r w:rsidR="00E87FC8">
      <w:rPr>
        <w:b/>
        <w:noProof/>
        <w:sz w:val="18"/>
        <w:szCs w:val="18"/>
      </w:rPr>
      <w:t>2</w:t>
    </w:r>
    <w:r w:rsidRPr="00AB2EDE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584" w:rsidRPr="00012B8B" w:rsidRDefault="00A15584">
    <w:pPr>
      <w:pStyle w:val="Footer"/>
      <w:jc w:val="right"/>
      <w:rPr>
        <w:b/>
        <w:sz w:val="18"/>
        <w:szCs w:val="18"/>
      </w:rPr>
    </w:pPr>
    <w:r w:rsidRPr="00012B8B">
      <w:rPr>
        <w:b/>
        <w:sz w:val="18"/>
        <w:szCs w:val="18"/>
      </w:rPr>
      <w:fldChar w:fldCharType="begin"/>
    </w:r>
    <w:r w:rsidRPr="00012B8B">
      <w:rPr>
        <w:b/>
        <w:sz w:val="18"/>
        <w:szCs w:val="18"/>
      </w:rPr>
      <w:instrText xml:space="preserve"> PAGE   \* MERGEFORMAT </w:instrText>
    </w:r>
    <w:r w:rsidRPr="00012B8B">
      <w:rPr>
        <w:b/>
        <w:sz w:val="18"/>
        <w:szCs w:val="18"/>
      </w:rPr>
      <w:fldChar w:fldCharType="separate"/>
    </w:r>
    <w:r w:rsidR="00E87FC8">
      <w:rPr>
        <w:b/>
        <w:noProof/>
        <w:sz w:val="18"/>
        <w:szCs w:val="18"/>
      </w:rPr>
      <w:t>3</w:t>
    </w:r>
    <w:r w:rsidRPr="00012B8B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84" w:rsidRPr="000B175B" w:rsidRDefault="00A1558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15584" w:rsidRPr="00FC68B7" w:rsidRDefault="00A1558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A15584" w:rsidRDefault="00A155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584" w:rsidRPr="000B09FC" w:rsidRDefault="00A15584">
    <w:pPr>
      <w:pStyle w:val="Header"/>
      <w:rPr>
        <w:szCs w:val="18"/>
        <w:lang w:val="fr-CH"/>
      </w:rPr>
    </w:pPr>
    <w:r w:rsidRPr="000B09FC">
      <w:rPr>
        <w:szCs w:val="18"/>
        <w:lang w:val="fr-CH"/>
      </w:rPr>
      <w:t>INF.1</w:t>
    </w:r>
    <w:r>
      <w:rPr>
        <w:szCs w:val="18"/>
        <w:lang w:val="fr-CH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584" w:rsidRPr="000B09FC" w:rsidRDefault="00A15584" w:rsidP="00AB2EDE">
    <w:pPr>
      <w:pStyle w:val="Header"/>
      <w:pBdr>
        <w:bottom w:val="single" w:sz="4" w:space="1" w:color="auto"/>
      </w:pBdr>
      <w:jc w:val="right"/>
      <w:rPr>
        <w:szCs w:val="18"/>
        <w:lang w:val="fr-CH"/>
      </w:rPr>
    </w:pPr>
    <w:r w:rsidRPr="000B09FC">
      <w:rPr>
        <w:szCs w:val="18"/>
        <w:lang w:val="fr-CH"/>
      </w:rPr>
      <w:t>INF.1</w:t>
    </w:r>
    <w:r>
      <w:rPr>
        <w:szCs w:val="18"/>
        <w:lang w:val="fr-CH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57E679C2"/>
    <w:lvl w:ilvl="0" w:tplc="075A6416">
      <w:start w:val="1"/>
      <w:numFmt w:val="decimal"/>
      <w:pStyle w:val="ParaNoG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773E61B3"/>
    <w:multiLevelType w:val="hybridMultilevel"/>
    <w:tmpl w:val="BACCC9DA"/>
    <w:lvl w:ilvl="0" w:tplc="55E0CF2E">
      <w:start w:val="4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065" w:hanging="360"/>
      </w:pPr>
    </w:lvl>
    <w:lvl w:ilvl="2" w:tplc="0413001B" w:tentative="1">
      <w:start w:val="1"/>
      <w:numFmt w:val="lowerRoman"/>
      <w:lvlText w:val="%3."/>
      <w:lvlJc w:val="right"/>
      <w:pPr>
        <w:ind w:left="3785" w:hanging="180"/>
      </w:pPr>
    </w:lvl>
    <w:lvl w:ilvl="3" w:tplc="0413000F" w:tentative="1">
      <w:start w:val="1"/>
      <w:numFmt w:val="decimal"/>
      <w:lvlText w:val="%4."/>
      <w:lvlJc w:val="left"/>
      <w:pPr>
        <w:ind w:left="4505" w:hanging="360"/>
      </w:pPr>
    </w:lvl>
    <w:lvl w:ilvl="4" w:tplc="04130019" w:tentative="1">
      <w:start w:val="1"/>
      <w:numFmt w:val="lowerLetter"/>
      <w:lvlText w:val="%5."/>
      <w:lvlJc w:val="left"/>
      <w:pPr>
        <w:ind w:left="5225" w:hanging="360"/>
      </w:pPr>
    </w:lvl>
    <w:lvl w:ilvl="5" w:tplc="0413001B" w:tentative="1">
      <w:start w:val="1"/>
      <w:numFmt w:val="lowerRoman"/>
      <w:lvlText w:val="%6."/>
      <w:lvlJc w:val="right"/>
      <w:pPr>
        <w:ind w:left="5945" w:hanging="180"/>
      </w:pPr>
    </w:lvl>
    <w:lvl w:ilvl="6" w:tplc="0413000F" w:tentative="1">
      <w:start w:val="1"/>
      <w:numFmt w:val="decimal"/>
      <w:lvlText w:val="%7."/>
      <w:lvlJc w:val="left"/>
      <w:pPr>
        <w:ind w:left="6665" w:hanging="360"/>
      </w:pPr>
    </w:lvl>
    <w:lvl w:ilvl="7" w:tplc="04130019" w:tentative="1">
      <w:start w:val="1"/>
      <w:numFmt w:val="lowerLetter"/>
      <w:lvlText w:val="%8."/>
      <w:lvlJc w:val="left"/>
      <w:pPr>
        <w:ind w:left="7385" w:hanging="360"/>
      </w:pPr>
    </w:lvl>
    <w:lvl w:ilvl="8" w:tplc="0413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0"/>
  </w:num>
  <w:num w:numId="14">
    <w:abstractNumId w:val="15"/>
  </w:num>
  <w:num w:numId="15">
    <w:abstractNumId w:val="12"/>
  </w:num>
  <w:num w:numId="16">
    <w:abstractNumId w:val="11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51"/>
    <w:rsid w:val="00012B8B"/>
    <w:rsid w:val="00037F90"/>
    <w:rsid w:val="00046B1F"/>
    <w:rsid w:val="00050F6B"/>
    <w:rsid w:val="00057E97"/>
    <w:rsid w:val="00072972"/>
    <w:rsid w:val="00072C8C"/>
    <w:rsid w:val="000733B5"/>
    <w:rsid w:val="00081364"/>
    <w:rsid w:val="00081815"/>
    <w:rsid w:val="000931C0"/>
    <w:rsid w:val="00096262"/>
    <w:rsid w:val="000A3752"/>
    <w:rsid w:val="000A7267"/>
    <w:rsid w:val="000B0595"/>
    <w:rsid w:val="000B09FC"/>
    <w:rsid w:val="000B175B"/>
    <w:rsid w:val="000B3A0F"/>
    <w:rsid w:val="000B4EF7"/>
    <w:rsid w:val="000B633F"/>
    <w:rsid w:val="000C0AEF"/>
    <w:rsid w:val="000C2C03"/>
    <w:rsid w:val="000C2D2E"/>
    <w:rsid w:val="000C4D51"/>
    <w:rsid w:val="000C7F79"/>
    <w:rsid w:val="000E0415"/>
    <w:rsid w:val="0010391C"/>
    <w:rsid w:val="00104CDA"/>
    <w:rsid w:val="001103AA"/>
    <w:rsid w:val="0011666B"/>
    <w:rsid w:val="00125117"/>
    <w:rsid w:val="00155068"/>
    <w:rsid w:val="00165F3A"/>
    <w:rsid w:val="001847D2"/>
    <w:rsid w:val="00184AC9"/>
    <w:rsid w:val="001A57BD"/>
    <w:rsid w:val="001A6E55"/>
    <w:rsid w:val="001B13A5"/>
    <w:rsid w:val="001B4B04"/>
    <w:rsid w:val="001C6663"/>
    <w:rsid w:val="001C7895"/>
    <w:rsid w:val="001D0C8C"/>
    <w:rsid w:val="001D1419"/>
    <w:rsid w:val="001D26DF"/>
    <w:rsid w:val="001D3A03"/>
    <w:rsid w:val="001E0B9E"/>
    <w:rsid w:val="001E7B67"/>
    <w:rsid w:val="001F7435"/>
    <w:rsid w:val="00202DA8"/>
    <w:rsid w:val="00203753"/>
    <w:rsid w:val="002102FF"/>
    <w:rsid w:val="0021114C"/>
    <w:rsid w:val="0021157B"/>
    <w:rsid w:val="00211E0B"/>
    <w:rsid w:val="0024023A"/>
    <w:rsid w:val="00243217"/>
    <w:rsid w:val="00252290"/>
    <w:rsid w:val="0026060C"/>
    <w:rsid w:val="00267F5F"/>
    <w:rsid w:val="00286B4D"/>
    <w:rsid w:val="002A3C85"/>
    <w:rsid w:val="002A603B"/>
    <w:rsid w:val="002D4643"/>
    <w:rsid w:val="002D4B6C"/>
    <w:rsid w:val="002D7F5E"/>
    <w:rsid w:val="002F175C"/>
    <w:rsid w:val="00302E18"/>
    <w:rsid w:val="00303B03"/>
    <w:rsid w:val="003050A4"/>
    <w:rsid w:val="0030606F"/>
    <w:rsid w:val="003229D8"/>
    <w:rsid w:val="003358CF"/>
    <w:rsid w:val="00345184"/>
    <w:rsid w:val="00352709"/>
    <w:rsid w:val="003571EA"/>
    <w:rsid w:val="00371178"/>
    <w:rsid w:val="003A6810"/>
    <w:rsid w:val="003B36D1"/>
    <w:rsid w:val="003C2CC4"/>
    <w:rsid w:val="003D4B23"/>
    <w:rsid w:val="00410C89"/>
    <w:rsid w:val="00422E03"/>
    <w:rsid w:val="00426B9B"/>
    <w:rsid w:val="004325CB"/>
    <w:rsid w:val="004356D2"/>
    <w:rsid w:val="00442A83"/>
    <w:rsid w:val="00446782"/>
    <w:rsid w:val="0045495B"/>
    <w:rsid w:val="00464C81"/>
    <w:rsid w:val="0048397A"/>
    <w:rsid w:val="004975C1"/>
    <w:rsid w:val="004A12F2"/>
    <w:rsid w:val="004A28A3"/>
    <w:rsid w:val="004C0C86"/>
    <w:rsid w:val="004C2461"/>
    <w:rsid w:val="004C7462"/>
    <w:rsid w:val="004D142D"/>
    <w:rsid w:val="004D4E04"/>
    <w:rsid w:val="004D5426"/>
    <w:rsid w:val="004E0C05"/>
    <w:rsid w:val="004E77B2"/>
    <w:rsid w:val="00503DEB"/>
    <w:rsid w:val="00504B2D"/>
    <w:rsid w:val="00507993"/>
    <w:rsid w:val="00516A8A"/>
    <w:rsid w:val="0052136D"/>
    <w:rsid w:val="00522B58"/>
    <w:rsid w:val="00523CD7"/>
    <w:rsid w:val="0052775E"/>
    <w:rsid w:val="005420F2"/>
    <w:rsid w:val="00543B68"/>
    <w:rsid w:val="00546993"/>
    <w:rsid w:val="005628B6"/>
    <w:rsid w:val="00563634"/>
    <w:rsid w:val="0059363D"/>
    <w:rsid w:val="005B3DB3"/>
    <w:rsid w:val="005B4E13"/>
    <w:rsid w:val="005C68F0"/>
    <w:rsid w:val="005D2A29"/>
    <w:rsid w:val="005E6A77"/>
    <w:rsid w:val="005F7B75"/>
    <w:rsid w:val="006001EE"/>
    <w:rsid w:val="00605042"/>
    <w:rsid w:val="00611FC4"/>
    <w:rsid w:val="006176FB"/>
    <w:rsid w:val="00630BAF"/>
    <w:rsid w:val="00640B26"/>
    <w:rsid w:val="00652D0A"/>
    <w:rsid w:val="00652D2B"/>
    <w:rsid w:val="006623D5"/>
    <w:rsid w:val="00662BB6"/>
    <w:rsid w:val="00667F8F"/>
    <w:rsid w:val="006741F1"/>
    <w:rsid w:val="00684C21"/>
    <w:rsid w:val="00690828"/>
    <w:rsid w:val="006A2530"/>
    <w:rsid w:val="006B1C12"/>
    <w:rsid w:val="006C3589"/>
    <w:rsid w:val="006D37AF"/>
    <w:rsid w:val="006D51D0"/>
    <w:rsid w:val="006E564B"/>
    <w:rsid w:val="006E7191"/>
    <w:rsid w:val="00703577"/>
    <w:rsid w:val="00705894"/>
    <w:rsid w:val="0072632A"/>
    <w:rsid w:val="007327D5"/>
    <w:rsid w:val="007611CF"/>
    <w:rsid w:val="00761787"/>
    <w:rsid w:val="007629C8"/>
    <w:rsid w:val="00764668"/>
    <w:rsid w:val="0077047D"/>
    <w:rsid w:val="00774AF7"/>
    <w:rsid w:val="00776430"/>
    <w:rsid w:val="00797575"/>
    <w:rsid w:val="007B6BA5"/>
    <w:rsid w:val="007C3390"/>
    <w:rsid w:val="007C4F4B"/>
    <w:rsid w:val="007E01E9"/>
    <w:rsid w:val="007E63F3"/>
    <w:rsid w:val="007F1F2D"/>
    <w:rsid w:val="007F6611"/>
    <w:rsid w:val="007F7106"/>
    <w:rsid w:val="007F7A86"/>
    <w:rsid w:val="008005E9"/>
    <w:rsid w:val="00801498"/>
    <w:rsid w:val="008116D7"/>
    <w:rsid w:val="00811920"/>
    <w:rsid w:val="00815AD0"/>
    <w:rsid w:val="008242D7"/>
    <w:rsid w:val="008257B1"/>
    <w:rsid w:val="00826C3D"/>
    <w:rsid w:val="00843767"/>
    <w:rsid w:val="008465D9"/>
    <w:rsid w:val="00854501"/>
    <w:rsid w:val="008679D9"/>
    <w:rsid w:val="00871389"/>
    <w:rsid w:val="00880848"/>
    <w:rsid w:val="00883999"/>
    <w:rsid w:val="00887652"/>
    <w:rsid w:val="008878DE"/>
    <w:rsid w:val="008979B1"/>
    <w:rsid w:val="008A6B25"/>
    <w:rsid w:val="008A6C4F"/>
    <w:rsid w:val="008A7B69"/>
    <w:rsid w:val="008B2335"/>
    <w:rsid w:val="008C42BD"/>
    <w:rsid w:val="008C7DAF"/>
    <w:rsid w:val="008E0678"/>
    <w:rsid w:val="008E0DAA"/>
    <w:rsid w:val="008E4D3A"/>
    <w:rsid w:val="009223CA"/>
    <w:rsid w:val="00940F93"/>
    <w:rsid w:val="0094558F"/>
    <w:rsid w:val="0095387D"/>
    <w:rsid w:val="00961690"/>
    <w:rsid w:val="009760F3"/>
    <w:rsid w:val="0098203C"/>
    <w:rsid w:val="00995CC5"/>
    <w:rsid w:val="009A0E8D"/>
    <w:rsid w:val="009B1518"/>
    <w:rsid w:val="009B26E7"/>
    <w:rsid w:val="009C454F"/>
    <w:rsid w:val="009D2A5B"/>
    <w:rsid w:val="009E1D8E"/>
    <w:rsid w:val="00A00A3F"/>
    <w:rsid w:val="00A01489"/>
    <w:rsid w:val="00A05642"/>
    <w:rsid w:val="00A15584"/>
    <w:rsid w:val="00A3009E"/>
    <w:rsid w:val="00A3026E"/>
    <w:rsid w:val="00A338F1"/>
    <w:rsid w:val="00A45AB0"/>
    <w:rsid w:val="00A72F22"/>
    <w:rsid w:val="00A7360F"/>
    <w:rsid w:val="00A748A6"/>
    <w:rsid w:val="00A769F4"/>
    <w:rsid w:val="00A776B4"/>
    <w:rsid w:val="00A94361"/>
    <w:rsid w:val="00AA293C"/>
    <w:rsid w:val="00AA66C0"/>
    <w:rsid w:val="00AB2EDE"/>
    <w:rsid w:val="00AD44C2"/>
    <w:rsid w:val="00AD48FA"/>
    <w:rsid w:val="00B11BB4"/>
    <w:rsid w:val="00B22BC2"/>
    <w:rsid w:val="00B30179"/>
    <w:rsid w:val="00B36690"/>
    <w:rsid w:val="00B421C1"/>
    <w:rsid w:val="00B55C71"/>
    <w:rsid w:val="00B56E4A"/>
    <w:rsid w:val="00B56E9C"/>
    <w:rsid w:val="00B61320"/>
    <w:rsid w:val="00B61BB6"/>
    <w:rsid w:val="00B64B1F"/>
    <w:rsid w:val="00B6504E"/>
    <w:rsid w:val="00B6553F"/>
    <w:rsid w:val="00B70F1E"/>
    <w:rsid w:val="00B77D05"/>
    <w:rsid w:val="00B81206"/>
    <w:rsid w:val="00B81E12"/>
    <w:rsid w:val="00B9429F"/>
    <w:rsid w:val="00BA2681"/>
    <w:rsid w:val="00BB7CD1"/>
    <w:rsid w:val="00BC3FA0"/>
    <w:rsid w:val="00BC4712"/>
    <w:rsid w:val="00BC74E9"/>
    <w:rsid w:val="00BE48E6"/>
    <w:rsid w:val="00BF15A1"/>
    <w:rsid w:val="00BF68A8"/>
    <w:rsid w:val="00C10FE6"/>
    <w:rsid w:val="00C11A03"/>
    <w:rsid w:val="00C22C0C"/>
    <w:rsid w:val="00C4527F"/>
    <w:rsid w:val="00C45CA2"/>
    <w:rsid w:val="00C463DD"/>
    <w:rsid w:val="00C467C9"/>
    <w:rsid w:val="00C4724C"/>
    <w:rsid w:val="00C629A0"/>
    <w:rsid w:val="00C64629"/>
    <w:rsid w:val="00C73056"/>
    <w:rsid w:val="00C745C3"/>
    <w:rsid w:val="00CB3E03"/>
    <w:rsid w:val="00CD57D2"/>
    <w:rsid w:val="00CE4A8F"/>
    <w:rsid w:val="00D00610"/>
    <w:rsid w:val="00D2031B"/>
    <w:rsid w:val="00D25FE2"/>
    <w:rsid w:val="00D43252"/>
    <w:rsid w:val="00D46172"/>
    <w:rsid w:val="00D47EEA"/>
    <w:rsid w:val="00D54165"/>
    <w:rsid w:val="00D550D4"/>
    <w:rsid w:val="00D65303"/>
    <w:rsid w:val="00D773DF"/>
    <w:rsid w:val="00D80773"/>
    <w:rsid w:val="00D876F8"/>
    <w:rsid w:val="00D9255F"/>
    <w:rsid w:val="00D95303"/>
    <w:rsid w:val="00D978C6"/>
    <w:rsid w:val="00DA3C1C"/>
    <w:rsid w:val="00DB6CA5"/>
    <w:rsid w:val="00DF3C94"/>
    <w:rsid w:val="00E046DF"/>
    <w:rsid w:val="00E13B15"/>
    <w:rsid w:val="00E15557"/>
    <w:rsid w:val="00E27346"/>
    <w:rsid w:val="00E55E1E"/>
    <w:rsid w:val="00E71BC8"/>
    <w:rsid w:val="00E7260F"/>
    <w:rsid w:val="00E73F5D"/>
    <w:rsid w:val="00E77E4E"/>
    <w:rsid w:val="00E87FC8"/>
    <w:rsid w:val="00E96630"/>
    <w:rsid w:val="00EC106A"/>
    <w:rsid w:val="00EC32A0"/>
    <w:rsid w:val="00ED6EF8"/>
    <w:rsid w:val="00ED7A2A"/>
    <w:rsid w:val="00EE6B3A"/>
    <w:rsid w:val="00EF1D7F"/>
    <w:rsid w:val="00F12D54"/>
    <w:rsid w:val="00F227A6"/>
    <w:rsid w:val="00F24FB3"/>
    <w:rsid w:val="00F27D2C"/>
    <w:rsid w:val="00F31E5F"/>
    <w:rsid w:val="00F36F0D"/>
    <w:rsid w:val="00F4272A"/>
    <w:rsid w:val="00F6100A"/>
    <w:rsid w:val="00F66565"/>
    <w:rsid w:val="00F93781"/>
    <w:rsid w:val="00FB613B"/>
    <w:rsid w:val="00FC2B1F"/>
    <w:rsid w:val="00FC3C87"/>
    <w:rsid w:val="00FC68B7"/>
    <w:rsid w:val="00FE0135"/>
    <w:rsid w:val="00FE106A"/>
    <w:rsid w:val="00FF145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E9C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8465D9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8465D9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8465D9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8465D9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8465D9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8465D9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8465D9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8465D9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8465D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8465D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8465D9"/>
    <w:pPr>
      <w:numPr>
        <w:numId w:val="13"/>
      </w:numPr>
      <w:tabs>
        <w:tab w:val="clear" w:pos="1494"/>
      </w:tabs>
    </w:pPr>
  </w:style>
  <w:style w:type="paragraph" w:customStyle="1" w:styleId="SingleTxtG">
    <w:name w:val="_ Single Txt_G"/>
    <w:basedOn w:val="Normal"/>
    <w:link w:val="SingleTxtGChar"/>
    <w:rsid w:val="008465D9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8465D9"/>
    <w:rPr>
      <w:rFonts w:cs="Courier New"/>
    </w:rPr>
  </w:style>
  <w:style w:type="paragraph" w:styleId="BodyText">
    <w:name w:val="Body Text"/>
    <w:basedOn w:val="Normal"/>
    <w:next w:val="Normal"/>
    <w:semiHidden/>
    <w:rsid w:val="008465D9"/>
  </w:style>
  <w:style w:type="paragraph" w:styleId="BodyTextIndent">
    <w:name w:val="Body Text Indent"/>
    <w:basedOn w:val="Normal"/>
    <w:semiHidden/>
    <w:rsid w:val="008465D9"/>
    <w:pPr>
      <w:spacing w:after="120"/>
      <w:ind w:left="283"/>
    </w:pPr>
  </w:style>
  <w:style w:type="paragraph" w:styleId="BlockText">
    <w:name w:val="Block Text"/>
    <w:basedOn w:val="Normal"/>
    <w:semiHidden/>
    <w:rsid w:val="008465D9"/>
    <w:pPr>
      <w:ind w:left="1440" w:right="1440"/>
    </w:p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52775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32A"/>
    <w:pPr>
      <w:numPr>
        <w:numId w:val="11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character" w:styleId="CommentReference">
    <w:name w:val="annotation reference"/>
    <w:semiHidden/>
    <w:rsid w:val="008465D9"/>
    <w:rPr>
      <w:sz w:val="6"/>
    </w:rPr>
  </w:style>
  <w:style w:type="paragraph" w:styleId="CommentText">
    <w:name w:val="annotation text"/>
    <w:basedOn w:val="Normal"/>
    <w:semiHidden/>
    <w:rsid w:val="008465D9"/>
  </w:style>
  <w:style w:type="character" w:styleId="LineNumber">
    <w:name w:val="line number"/>
    <w:semiHidden/>
    <w:rsid w:val="008465D9"/>
    <w:rPr>
      <w:sz w:val="14"/>
    </w:rPr>
  </w:style>
  <w:style w:type="paragraph" w:customStyle="1" w:styleId="Bullet2G">
    <w:name w:val="_Bullet 2_G"/>
    <w:basedOn w:val="Normal"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8465D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8465D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8465D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8465D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4"/>
      </w:numPr>
    </w:pPr>
  </w:style>
  <w:style w:type="numbering" w:styleId="1ai">
    <w:name w:val="Outline List 1"/>
    <w:basedOn w:val="NoList"/>
    <w:semiHidden/>
    <w:rsid w:val="008A6C4F"/>
    <w:pPr>
      <w:numPr>
        <w:numId w:val="15"/>
      </w:numPr>
    </w:pPr>
  </w:style>
  <w:style w:type="numbering" w:styleId="ArticleSection">
    <w:name w:val="Outline List 3"/>
    <w:basedOn w:val="NoList"/>
    <w:semiHidden/>
    <w:rsid w:val="008A6C4F"/>
    <w:pPr>
      <w:numPr>
        <w:numId w:val="16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8A6C4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8A6C4F"/>
    <w:rPr>
      <w:color w:val="0000FF"/>
      <w:u w:val="singl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8878DE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1GChar">
    <w:name w:val="_ H_1_G Char"/>
    <w:link w:val="H1G"/>
    <w:rsid w:val="001F7435"/>
    <w:rPr>
      <w:b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D550D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50D4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24023A"/>
    <w:rPr>
      <w:lang w:eastAsia="en-US"/>
    </w:rPr>
  </w:style>
  <w:style w:type="character" w:customStyle="1" w:styleId="SingleTxtGCar">
    <w:name w:val="_ Single Txt_G Car"/>
    <w:rsid w:val="0024023A"/>
    <w:rPr>
      <w:lang w:val="en-GB" w:eastAsia="en-US" w:bidi="ar-SA"/>
    </w:rPr>
  </w:style>
  <w:style w:type="character" w:customStyle="1" w:styleId="HChGChar">
    <w:name w:val="_ H _Ch_G Char"/>
    <w:link w:val="HChG"/>
    <w:rsid w:val="0024023A"/>
    <w:rPr>
      <w:b/>
      <w:sz w:val="28"/>
      <w:lang w:eastAsia="en-US"/>
    </w:rPr>
  </w:style>
  <w:style w:type="character" w:customStyle="1" w:styleId="FootnoteTextChar">
    <w:name w:val="Footnote Text Char"/>
    <w:aliases w:val="5_G Char"/>
    <w:link w:val="FootnoteText"/>
    <w:rsid w:val="003571EA"/>
    <w:rPr>
      <w:sz w:val="18"/>
      <w:lang w:eastAsia="en-US"/>
    </w:rPr>
  </w:style>
  <w:style w:type="paragraph" w:customStyle="1" w:styleId="Default">
    <w:name w:val="Default"/>
    <w:rsid w:val="004975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aliases w:val="3_G Char"/>
    <w:link w:val="Footer"/>
    <w:uiPriority w:val="99"/>
    <w:rsid w:val="00AB2EDE"/>
    <w:rPr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E9C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8465D9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8465D9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8465D9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8465D9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8465D9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8465D9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8465D9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8465D9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8465D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8465D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8465D9"/>
    <w:pPr>
      <w:numPr>
        <w:numId w:val="13"/>
      </w:numPr>
      <w:tabs>
        <w:tab w:val="clear" w:pos="1494"/>
      </w:tabs>
    </w:pPr>
  </w:style>
  <w:style w:type="paragraph" w:customStyle="1" w:styleId="SingleTxtG">
    <w:name w:val="_ Single Txt_G"/>
    <w:basedOn w:val="Normal"/>
    <w:link w:val="SingleTxtGChar"/>
    <w:rsid w:val="008465D9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8465D9"/>
    <w:rPr>
      <w:rFonts w:cs="Courier New"/>
    </w:rPr>
  </w:style>
  <w:style w:type="paragraph" w:styleId="BodyText">
    <w:name w:val="Body Text"/>
    <w:basedOn w:val="Normal"/>
    <w:next w:val="Normal"/>
    <w:semiHidden/>
    <w:rsid w:val="008465D9"/>
  </w:style>
  <w:style w:type="paragraph" w:styleId="BodyTextIndent">
    <w:name w:val="Body Text Indent"/>
    <w:basedOn w:val="Normal"/>
    <w:semiHidden/>
    <w:rsid w:val="008465D9"/>
    <w:pPr>
      <w:spacing w:after="120"/>
      <w:ind w:left="283"/>
    </w:pPr>
  </w:style>
  <w:style w:type="paragraph" w:styleId="BlockText">
    <w:name w:val="Block Text"/>
    <w:basedOn w:val="Normal"/>
    <w:semiHidden/>
    <w:rsid w:val="008465D9"/>
    <w:pPr>
      <w:ind w:left="1440" w:right="1440"/>
    </w:p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52775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32A"/>
    <w:pPr>
      <w:numPr>
        <w:numId w:val="11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character" w:styleId="CommentReference">
    <w:name w:val="annotation reference"/>
    <w:semiHidden/>
    <w:rsid w:val="008465D9"/>
    <w:rPr>
      <w:sz w:val="6"/>
    </w:rPr>
  </w:style>
  <w:style w:type="paragraph" w:styleId="CommentText">
    <w:name w:val="annotation text"/>
    <w:basedOn w:val="Normal"/>
    <w:semiHidden/>
    <w:rsid w:val="008465D9"/>
  </w:style>
  <w:style w:type="character" w:styleId="LineNumber">
    <w:name w:val="line number"/>
    <w:semiHidden/>
    <w:rsid w:val="008465D9"/>
    <w:rPr>
      <w:sz w:val="14"/>
    </w:rPr>
  </w:style>
  <w:style w:type="paragraph" w:customStyle="1" w:styleId="Bullet2G">
    <w:name w:val="_Bullet 2_G"/>
    <w:basedOn w:val="Normal"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8465D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8465D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8465D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8465D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4"/>
      </w:numPr>
    </w:pPr>
  </w:style>
  <w:style w:type="numbering" w:styleId="1ai">
    <w:name w:val="Outline List 1"/>
    <w:basedOn w:val="NoList"/>
    <w:semiHidden/>
    <w:rsid w:val="008A6C4F"/>
    <w:pPr>
      <w:numPr>
        <w:numId w:val="15"/>
      </w:numPr>
    </w:pPr>
  </w:style>
  <w:style w:type="numbering" w:styleId="ArticleSection">
    <w:name w:val="Outline List 3"/>
    <w:basedOn w:val="NoList"/>
    <w:semiHidden/>
    <w:rsid w:val="008A6C4F"/>
    <w:pPr>
      <w:numPr>
        <w:numId w:val="16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8A6C4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8A6C4F"/>
    <w:rPr>
      <w:color w:val="0000FF"/>
      <w:u w:val="singl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8878DE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1GChar">
    <w:name w:val="_ H_1_G Char"/>
    <w:link w:val="H1G"/>
    <w:rsid w:val="001F7435"/>
    <w:rPr>
      <w:b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D550D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50D4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24023A"/>
    <w:rPr>
      <w:lang w:eastAsia="en-US"/>
    </w:rPr>
  </w:style>
  <w:style w:type="character" w:customStyle="1" w:styleId="SingleTxtGCar">
    <w:name w:val="_ Single Txt_G Car"/>
    <w:rsid w:val="0024023A"/>
    <w:rPr>
      <w:lang w:val="en-GB" w:eastAsia="en-US" w:bidi="ar-SA"/>
    </w:rPr>
  </w:style>
  <w:style w:type="character" w:customStyle="1" w:styleId="HChGChar">
    <w:name w:val="_ H _Ch_G Char"/>
    <w:link w:val="HChG"/>
    <w:rsid w:val="0024023A"/>
    <w:rPr>
      <w:b/>
      <w:sz w:val="28"/>
      <w:lang w:eastAsia="en-US"/>
    </w:rPr>
  </w:style>
  <w:style w:type="character" w:customStyle="1" w:styleId="FootnoteTextChar">
    <w:name w:val="Footnote Text Char"/>
    <w:aliases w:val="5_G Char"/>
    <w:link w:val="FootnoteText"/>
    <w:rsid w:val="003571EA"/>
    <w:rPr>
      <w:sz w:val="18"/>
      <w:lang w:eastAsia="en-US"/>
    </w:rPr>
  </w:style>
  <w:style w:type="paragraph" w:customStyle="1" w:styleId="Default">
    <w:name w:val="Default"/>
    <w:rsid w:val="004975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aliases w:val="3_G Char"/>
    <w:link w:val="Footer"/>
    <w:uiPriority w:val="99"/>
    <w:rsid w:val="00AB2EDE"/>
    <w:rPr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BE3B-975C-4C67-B9AF-5E793B30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1126259</vt:lpstr>
      <vt:lpstr>1126259</vt:lpstr>
    </vt:vector>
  </TitlesOfParts>
  <Company>CSD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1126259</dc:title>
  <dc:creator>BAC</dc:creator>
  <cp:keywords>ECE/TRANS/WP.15/AC.1/2012/8</cp:keywords>
  <dc:description>Final</dc:description>
  <cp:lastModifiedBy>barrio-champeau</cp:lastModifiedBy>
  <cp:revision>7</cp:revision>
  <cp:lastPrinted>2016-02-04T07:08:00Z</cp:lastPrinted>
  <dcterms:created xsi:type="dcterms:W3CDTF">2016-02-15T09:07:00Z</dcterms:created>
  <dcterms:modified xsi:type="dcterms:W3CDTF">2016-02-15T12:44:00Z</dcterms:modified>
</cp:coreProperties>
</file>