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5A2FB7">
            <w:pPr>
              <w:suppressAutoHyphens w:val="0"/>
              <w:spacing w:after="20"/>
              <w:jc w:val="right"/>
              <w:rPr>
                <w:b/>
                <w:sz w:val="24"/>
                <w:szCs w:val="24"/>
              </w:rPr>
            </w:pPr>
            <w:r w:rsidRPr="00507993">
              <w:rPr>
                <w:b/>
                <w:sz w:val="24"/>
                <w:szCs w:val="24"/>
              </w:rPr>
              <w:t>INF.</w:t>
            </w:r>
            <w:r w:rsidR="00E13B15">
              <w:rPr>
                <w:b/>
                <w:sz w:val="24"/>
                <w:szCs w:val="24"/>
              </w:rPr>
              <w:t>1</w:t>
            </w:r>
            <w:r w:rsidR="005A2FB7">
              <w:rPr>
                <w:b/>
                <w:sz w:val="24"/>
                <w:szCs w:val="24"/>
              </w:rPr>
              <w:t>4</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5A2FB7">
        <w:rPr>
          <w:b/>
        </w:rPr>
        <w:t>5</w:t>
      </w:r>
      <w:r w:rsidR="00A23F81">
        <w:rPr>
          <w:b/>
        </w:rPr>
        <w:t xml:space="preserve"> February</w:t>
      </w:r>
      <w:r w:rsidR="004975C1">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DB6CA5" w:rsidP="00563634">
      <w:r w:rsidRPr="00A55B4D">
        <w:t xml:space="preserve">Item </w:t>
      </w:r>
      <w:r w:rsidR="00480359">
        <w:t>5 (a)</w:t>
      </w:r>
      <w:r w:rsidRPr="00A55B4D">
        <w:t xml:space="preserve"> of the provisional agenda</w:t>
      </w:r>
    </w:p>
    <w:p w:rsidR="004975C1" w:rsidRPr="00480359" w:rsidRDefault="00480359" w:rsidP="00563634">
      <w:pPr>
        <w:rPr>
          <w:b/>
        </w:rPr>
      </w:pPr>
      <w:r w:rsidRPr="00480359">
        <w:rPr>
          <w:b/>
        </w:rPr>
        <w:t>Proposals for amendments to RID/ADR/</w:t>
      </w:r>
      <w:r w:rsidRPr="00480359">
        <w:rPr>
          <w:b/>
        </w:rPr>
        <w:t>ADN</w:t>
      </w:r>
    </w:p>
    <w:p w:rsidR="00480359" w:rsidRPr="00BB7CD1" w:rsidRDefault="00480359" w:rsidP="00563634">
      <w:pPr>
        <w:rPr>
          <w:b/>
        </w:rPr>
      </w:pPr>
      <w:proofErr w:type="gramStart"/>
      <w:r>
        <w:rPr>
          <w:b/>
        </w:rPr>
        <w:t>p</w:t>
      </w:r>
      <w:r w:rsidRPr="00480359">
        <w:rPr>
          <w:b/>
        </w:rPr>
        <w:t>ending</w:t>
      </w:r>
      <w:proofErr w:type="gramEnd"/>
      <w:r w:rsidRPr="00480359">
        <w:rPr>
          <w:b/>
        </w:rPr>
        <w:t xml:space="preserve"> issues</w:t>
      </w:r>
    </w:p>
    <w:p w:rsidR="005A2FB7" w:rsidRPr="00E31823" w:rsidRDefault="005A2FB7" w:rsidP="005A2FB7">
      <w:pPr>
        <w:pStyle w:val="HChG"/>
      </w:pPr>
      <w:r>
        <w:tab/>
      </w:r>
      <w:r>
        <w:tab/>
      </w:r>
      <w:r w:rsidRPr="00E31823">
        <w:t xml:space="preserve">FEAD position on the use of IBCs </w:t>
      </w:r>
      <w:r>
        <w:t xml:space="preserve">(intermediate bulk containers) </w:t>
      </w:r>
      <w:r w:rsidRPr="00E31823">
        <w:t xml:space="preserve">as salvage </w:t>
      </w:r>
      <w:proofErr w:type="spellStart"/>
      <w:r w:rsidRPr="00E31823">
        <w:t>packagings</w:t>
      </w:r>
      <w:proofErr w:type="spellEnd"/>
      <w:r w:rsidRPr="00E31823">
        <w:t xml:space="preserve"> under the ADR Agreement</w:t>
      </w:r>
    </w:p>
    <w:p w:rsidR="005A2FB7" w:rsidRPr="00E31823" w:rsidRDefault="005A2FB7" w:rsidP="005A2FB7">
      <w:pPr>
        <w:pStyle w:val="H1G"/>
        <w:rPr>
          <w:rFonts w:ascii="Arial" w:hAnsi="Arial" w:cs="Arial"/>
          <w:sz w:val="22"/>
          <w:szCs w:val="22"/>
        </w:rPr>
      </w:pPr>
      <w:r>
        <w:tab/>
      </w:r>
      <w:r>
        <w:tab/>
      </w:r>
      <w:r w:rsidRPr="00042219">
        <w:t>Transmitt</w:t>
      </w:r>
      <w:r>
        <w:t>ed by European Federation of Waste Management and Environmental Services (FEAD)</w:t>
      </w:r>
    </w:p>
    <w:p w:rsidR="005A2FB7" w:rsidRPr="00E31823" w:rsidRDefault="005A2FB7" w:rsidP="005A2FB7">
      <w:pPr>
        <w:pStyle w:val="SingleTxtG"/>
        <w:rPr>
          <w:rFonts w:eastAsia="MS Mincho"/>
          <w:lang w:eastAsia="en-GB"/>
        </w:rPr>
      </w:pPr>
      <w:r w:rsidRPr="00E31823">
        <w:rPr>
          <w:rFonts w:eastAsia="MS Mincho"/>
          <w:lang w:eastAsia="en-GB"/>
        </w:rPr>
        <w:t>Item 14 of the report of the Joint Meeting of the RID Committee of Experts and the Working Party on the Transport of Dangerous Goods on its autumn 2015 session states the following:</w:t>
      </w:r>
    </w:p>
    <w:p w:rsidR="005A2FB7" w:rsidRPr="00E31823" w:rsidRDefault="005A2FB7" w:rsidP="005A2FB7">
      <w:pPr>
        <w:pStyle w:val="SingleTxtG"/>
        <w:rPr>
          <w:rFonts w:eastAsia="MS Mincho"/>
          <w:i/>
          <w:lang w:eastAsia="en-GB"/>
        </w:rPr>
      </w:pPr>
      <w:r w:rsidRPr="00E31823">
        <w:rPr>
          <w:rFonts w:eastAsia="MS Mincho"/>
          <w:i/>
          <w:lang w:eastAsia="en-GB"/>
        </w:rPr>
        <w:t xml:space="preserve">14. It was </w:t>
      </w:r>
      <w:r w:rsidRPr="00F75A8B">
        <w:rPr>
          <w:rFonts w:eastAsia="MS Mincho"/>
          <w:i/>
          <w:lang w:eastAsia="en-GB"/>
        </w:rPr>
        <w:t xml:space="preserve">noted that the current 4.1.1.19.1 of RID and ADR permitted the use of IBCs as salvage </w:t>
      </w:r>
      <w:proofErr w:type="spellStart"/>
      <w:r w:rsidRPr="00F75A8B">
        <w:rPr>
          <w:rFonts w:eastAsia="MS Mincho"/>
          <w:i/>
          <w:lang w:eastAsia="en-GB"/>
        </w:rPr>
        <w:t>packagings</w:t>
      </w:r>
      <w:proofErr w:type="spellEnd"/>
      <w:r w:rsidRPr="00F75A8B">
        <w:rPr>
          <w:rFonts w:eastAsia="MS Mincho"/>
          <w:i/>
          <w:lang w:eastAsia="en-GB"/>
        </w:rPr>
        <w:t>.</w:t>
      </w:r>
      <w:r w:rsidRPr="00E31823">
        <w:rPr>
          <w:rFonts w:eastAsia="MS Mincho"/>
          <w:i/>
          <w:lang w:eastAsia="en-GB"/>
        </w:rPr>
        <w:t xml:space="preserve"> Alignment with the UN Model Regulations would no longer permit that and it was suggested that </w:t>
      </w:r>
      <w:r w:rsidRPr="00F75A8B">
        <w:rPr>
          <w:rFonts w:eastAsia="MS Mincho"/>
          <w:b/>
          <w:i/>
          <w:lang w:eastAsia="en-GB"/>
        </w:rPr>
        <w:t>the relevant industry should be consulted</w:t>
      </w:r>
      <w:r w:rsidRPr="00E31823">
        <w:rPr>
          <w:rFonts w:eastAsia="MS Mincho"/>
          <w:i/>
          <w:lang w:eastAsia="en-GB"/>
        </w:rPr>
        <w:t xml:space="preserve"> before taking a decision on the proposed alignment, as the United Nations Sub-Committee of Experts </w:t>
      </w:r>
      <w:r w:rsidRPr="00F75A8B">
        <w:rPr>
          <w:rFonts w:eastAsia="MS Mincho"/>
          <w:b/>
          <w:i/>
          <w:lang w:eastAsia="en-GB"/>
        </w:rPr>
        <w:t>might not have taken into account the needs of the waste management industry</w:t>
      </w:r>
      <w:r w:rsidRPr="00E31823">
        <w:rPr>
          <w:rFonts w:eastAsia="MS Mincho"/>
          <w:i/>
          <w:lang w:eastAsia="en-GB"/>
        </w:rPr>
        <w:t>.</w:t>
      </w:r>
    </w:p>
    <w:p w:rsidR="005A2FB7" w:rsidRPr="00094CB1" w:rsidRDefault="005A2FB7" w:rsidP="005A2FB7">
      <w:pPr>
        <w:pStyle w:val="SingleTxtG"/>
        <w:rPr>
          <w:b/>
        </w:rPr>
      </w:pPr>
      <w:r w:rsidRPr="00094CB1">
        <w:rPr>
          <w:b/>
        </w:rPr>
        <w:t>FEAD would like to take this opportunity to comment on the proposed amendment.</w:t>
      </w:r>
    </w:p>
    <w:p w:rsidR="005A2FB7" w:rsidRPr="00E31823" w:rsidRDefault="005A2FB7" w:rsidP="005A2FB7">
      <w:pPr>
        <w:pStyle w:val="SingleTxtG"/>
      </w:pPr>
      <w:r w:rsidRPr="00E31823">
        <w:t xml:space="preserve">The ADR Agreement (4.1.1.19.1: Use of salvage </w:t>
      </w:r>
      <w:proofErr w:type="spellStart"/>
      <w:r w:rsidRPr="00E31823">
        <w:t>packagings</w:t>
      </w:r>
      <w:proofErr w:type="spellEnd"/>
      <w:r w:rsidRPr="00E31823">
        <w:t xml:space="preserve"> and large salvage </w:t>
      </w:r>
      <w:proofErr w:type="spellStart"/>
      <w:r w:rsidRPr="00E31823">
        <w:t>packagings</w:t>
      </w:r>
      <w:proofErr w:type="spellEnd"/>
      <w:r w:rsidRPr="00E31823">
        <w:t>) currently reads:</w:t>
      </w:r>
    </w:p>
    <w:p w:rsidR="005A2FB7" w:rsidRPr="00E31823" w:rsidRDefault="005A2FB7" w:rsidP="005A2FB7">
      <w:pPr>
        <w:pStyle w:val="SingleTxtG"/>
        <w:rPr>
          <w:i/>
        </w:rPr>
      </w:pPr>
      <w:r w:rsidRPr="00E31823">
        <w:rPr>
          <w:i/>
        </w:rPr>
        <w:t xml:space="preserve">“This does not prevent the use of a bigger size packaging, </w:t>
      </w:r>
      <w:r w:rsidRPr="00F75A8B">
        <w:rPr>
          <w:b/>
          <w:i/>
        </w:rPr>
        <w:t>including intermediate bulk container (IBC)</w:t>
      </w:r>
      <w:r w:rsidRPr="00E31823">
        <w:rPr>
          <w:i/>
        </w:rPr>
        <w:t xml:space="preserve"> and large packaging, of appropriate type and performance level under the conditions of 4.1.1.19.2 and 4.1.1.19.3.”</w:t>
      </w:r>
    </w:p>
    <w:p w:rsidR="005A2FB7" w:rsidRPr="00E31823" w:rsidRDefault="005A2FB7" w:rsidP="005A2FB7">
      <w:pPr>
        <w:pStyle w:val="SingleTxtG"/>
      </w:pPr>
      <w:r w:rsidRPr="00E31823">
        <w:t xml:space="preserve">Following the amendment it </w:t>
      </w:r>
      <w:r>
        <w:t>would</w:t>
      </w:r>
      <w:r w:rsidRPr="00E31823">
        <w:t xml:space="preserve"> read: </w:t>
      </w:r>
    </w:p>
    <w:p w:rsidR="005A2FB7" w:rsidRPr="00E31823" w:rsidRDefault="005A2FB7" w:rsidP="005A2FB7">
      <w:pPr>
        <w:pStyle w:val="SingleTxtG"/>
        <w:rPr>
          <w:i/>
        </w:rPr>
      </w:pPr>
      <w:r w:rsidRPr="00E31823">
        <w:rPr>
          <w:i/>
        </w:rPr>
        <w:t>“This does not prevent the use of a larger size packaging or large packaging of appropriate type and performance level and under the conditions of 4.1.1.19.2 and 4.1.1.19.3.”</w:t>
      </w:r>
    </w:p>
    <w:p w:rsidR="005A2FB7" w:rsidRDefault="005A2FB7" w:rsidP="005A2FB7">
      <w:pPr>
        <w:pStyle w:val="SingleTxtG"/>
      </w:pPr>
      <w:r w:rsidRPr="00F75A8B">
        <w:rPr>
          <w:b/>
        </w:rPr>
        <w:t>FEAD is concerned that the amended version no longer makes reference to IBCs.</w:t>
      </w:r>
      <w:r w:rsidRPr="00E31823">
        <w:t xml:space="preserve"> Some of our members use IBCs as salvage </w:t>
      </w:r>
      <w:proofErr w:type="spellStart"/>
      <w:r w:rsidRPr="00E31823">
        <w:t>packagings</w:t>
      </w:r>
      <w:proofErr w:type="spellEnd"/>
      <w:r>
        <w:t xml:space="preserve"> (</w:t>
      </w:r>
      <w:r w:rsidRPr="00C33CEA">
        <w:rPr>
          <w:i/>
        </w:rPr>
        <w:t>see illustration on the next page</w:t>
      </w:r>
      <w:r>
        <w:t>)</w:t>
      </w:r>
      <w:r w:rsidRPr="00E31823">
        <w:t>. We see a risk that if there is no explicit reference to IBCs</w:t>
      </w:r>
      <w:r>
        <w:t xml:space="preserve"> anymore</w:t>
      </w:r>
      <w:r w:rsidRPr="00E31823">
        <w:t xml:space="preserve">, the ADR authorities will no longer allow their use. In this case our members would be obliged to buy new salvage </w:t>
      </w:r>
      <w:proofErr w:type="spellStart"/>
      <w:r w:rsidRPr="00E31823">
        <w:t>packaging</w:t>
      </w:r>
      <w:r>
        <w:t>s</w:t>
      </w:r>
      <w:proofErr w:type="spellEnd"/>
      <w:r>
        <w:t>.</w:t>
      </w:r>
      <w:r w:rsidRPr="00E31823">
        <w:t xml:space="preserve"> </w:t>
      </w:r>
    </w:p>
    <w:p w:rsidR="005A2FB7" w:rsidRPr="00AA5128" w:rsidRDefault="005A2FB7" w:rsidP="005A2FB7">
      <w:pPr>
        <w:pStyle w:val="SingleTxtG"/>
      </w:pPr>
      <w:r>
        <w:t xml:space="preserve">This would in our view </w:t>
      </w:r>
      <w:r w:rsidRPr="00E31823">
        <w:t xml:space="preserve">entail </w:t>
      </w:r>
      <w:r>
        <w:t xml:space="preserve">unnecessary </w:t>
      </w:r>
      <w:r w:rsidRPr="00E31823">
        <w:t>additional costs.</w:t>
      </w:r>
      <w:r>
        <w:t xml:space="preserve"> </w:t>
      </w:r>
      <w:r w:rsidRPr="00E31823">
        <w:rPr>
          <w:color w:val="000000"/>
        </w:rPr>
        <w:t xml:space="preserve">IBCs are widely available as empty containers. They </w:t>
      </w:r>
      <w:r>
        <w:rPr>
          <w:color w:val="000000"/>
        </w:rPr>
        <w:t>are immediately available</w:t>
      </w:r>
      <w:r w:rsidRPr="00E31823">
        <w:rPr>
          <w:color w:val="000000"/>
        </w:rPr>
        <w:t xml:space="preserve"> if </w:t>
      </w:r>
      <w:r>
        <w:rPr>
          <w:color w:val="000000"/>
        </w:rPr>
        <w:t xml:space="preserve">there is a need for </w:t>
      </w:r>
      <w:r w:rsidRPr="00E31823">
        <w:rPr>
          <w:color w:val="000000"/>
        </w:rPr>
        <w:t xml:space="preserve">salvage </w:t>
      </w:r>
      <w:proofErr w:type="spellStart"/>
      <w:r w:rsidRPr="00E31823">
        <w:rPr>
          <w:color w:val="000000"/>
        </w:rPr>
        <w:t>packaging</w:t>
      </w:r>
      <w:r>
        <w:rPr>
          <w:color w:val="000000"/>
        </w:rPr>
        <w:t>s</w:t>
      </w:r>
      <w:proofErr w:type="spellEnd"/>
      <w:r w:rsidRPr="00E31823">
        <w:rPr>
          <w:color w:val="000000"/>
        </w:rPr>
        <w:t xml:space="preserve">. If IBCs </w:t>
      </w:r>
      <w:r>
        <w:rPr>
          <w:color w:val="000000"/>
        </w:rPr>
        <w:t>are no</w:t>
      </w:r>
      <w:r w:rsidRPr="00E31823">
        <w:rPr>
          <w:color w:val="000000"/>
        </w:rPr>
        <w:t xml:space="preserve"> longer </w:t>
      </w:r>
      <w:r>
        <w:rPr>
          <w:color w:val="000000"/>
        </w:rPr>
        <w:t xml:space="preserve">permitted </w:t>
      </w:r>
      <w:r w:rsidRPr="00E31823">
        <w:rPr>
          <w:color w:val="000000"/>
        </w:rPr>
        <w:t xml:space="preserve">as salvage </w:t>
      </w:r>
      <w:proofErr w:type="spellStart"/>
      <w:r w:rsidRPr="00E31823">
        <w:rPr>
          <w:color w:val="000000"/>
        </w:rPr>
        <w:t>packaging</w:t>
      </w:r>
      <w:r>
        <w:rPr>
          <w:color w:val="000000"/>
        </w:rPr>
        <w:t>s</w:t>
      </w:r>
      <w:proofErr w:type="spellEnd"/>
      <w:r w:rsidRPr="00E31823">
        <w:rPr>
          <w:color w:val="000000"/>
        </w:rPr>
        <w:t xml:space="preserve">, </w:t>
      </w:r>
      <w:r>
        <w:rPr>
          <w:color w:val="000000"/>
        </w:rPr>
        <w:t>new</w:t>
      </w:r>
      <w:r w:rsidRPr="00E31823">
        <w:rPr>
          <w:color w:val="000000"/>
        </w:rPr>
        <w:t xml:space="preserve"> salvage </w:t>
      </w:r>
      <w:proofErr w:type="spellStart"/>
      <w:r w:rsidRPr="00E31823">
        <w:rPr>
          <w:color w:val="000000"/>
        </w:rPr>
        <w:t>packaging</w:t>
      </w:r>
      <w:r>
        <w:rPr>
          <w:color w:val="000000"/>
        </w:rPr>
        <w:t>s</w:t>
      </w:r>
      <w:proofErr w:type="spellEnd"/>
      <w:r w:rsidRPr="00E31823">
        <w:rPr>
          <w:color w:val="000000"/>
        </w:rPr>
        <w:t xml:space="preserve"> </w:t>
      </w:r>
      <w:r>
        <w:rPr>
          <w:color w:val="000000"/>
        </w:rPr>
        <w:t>will need to</w:t>
      </w:r>
      <w:r w:rsidRPr="00E31823">
        <w:rPr>
          <w:color w:val="000000"/>
        </w:rPr>
        <w:t xml:space="preserve"> be purchased in addition to the existing IBCs.</w:t>
      </w:r>
    </w:p>
    <w:p w:rsidR="005A2FB7" w:rsidRPr="00E31823" w:rsidRDefault="005A2FB7" w:rsidP="005A2FB7">
      <w:pPr>
        <w:pStyle w:val="SingleTxtG"/>
        <w:rPr>
          <w:b/>
        </w:rPr>
      </w:pPr>
      <w:r w:rsidRPr="00E31823">
        <w:rPr>
          <w:b/>
        </w:rPr>
        <w:t xml:space="preserve">FEAD therefore requests the ADR Working Party to reintroduce the reference to IBCs in the amendment on salvage </w:t>
      </w:r>
      <w:proofErr w:type="spellStart"/>
      <w:r w:rsidRPr="00E31823">
        <w:rPr>
          <w:b/>
        </w:rPr>
        <w:t>packagings</w:t>
      </w:r>
      <w:proofErr w:type="spellEnd"/>
      <w:r>
        <w:rPr>
          <w:b/>
        </w:rPr>
        <w:t xml:space="preserve"> (ADR Agre</w:t>
      </w:r>
      <w:r w:rsidRPr="00622A8D">
        <w:rPr>
          <w:b/>
        </w:rPr>
        <w:t>ement 4.1.1.19.1).</w:t>
      </w:r>
    </w:p>
    <w:p w:rsidR="005A2FB7" w:rsidRPr="00AF3B64" w:rsidRDefault="005A2FB7" w:rsidP="005A2FB7">
      <w:pPr>
        <w:pStyle w:val="SingleTxtG"/>
      </w:pPr>
      <w:bookmarkStart w:id="0" w:name="_GoBack"/>
      <w:bookmarkEnd w:id="0"/>
      <w:r w:rsidRPr="00AF3B64">
        <w:lastRenderedPageBreak/>
        <w:t xml:space="preserve">Illustration of the use of IBCs as salvage </w:t>
      </w:r>
      <w:proofErr w:type="spellStart"/>
      <w:r w:rsidRPr="00AF3B64">
        <w:t>packagings</w:t>
      </w:r>
      <w:proofErr w:type="spellEnd"/>
      <w:r w:rsidRPr="00AF3B64">
        <w:t xml:space="preserve"> in Germany:</w:t>
      </w:r>
    </w:p>
    <w:p w:rsidR="005A2FB7" w:rsidRDefault="005A2FB7" w:rsidP="005A2FB7">
      <w:pPr>
        <w:spacing w:line="288" w:lineRule="auto"/>
        <w:rPr>
          <w:rFonts w:ascii="Arial" w:hAnsi="Arial" w:cs="Arial"/>
          <w:sz w:val="22"/>
          <w:szCs w:val="22"/>
        </w:rPr>
      </w:pPr>
      <w:r>
        <w:rPr>
          <w:rFonts w:ascii="Arial" w:hAnsi="Arial" w:cs="Arial"/>
          <w:noProof/>
          <w:sz w:val="22"/>
          <w:szCs w:val="22"/>
          <w:lang w:eastAsia="en-GB"/>
        </w:rPr>
        <w:drawing>
          <wp:inline distT="0" distB="0" distL="0" distR="0">
            <wp:extent cx="1471295" cy="1103630"/>
            <wp:effectExtent l="0" t="0" r="0" b="1270"/>
            <wp:docPr id="6" name="Picture 6" descr="IMG_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8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295" cy="1103630"/>
                    </a:xfrm>
                    <a:prstGeom prst="rect">
                      <a:avLst/>
                    </a:prstGeom>
                    <a:noFill/>
                    <a:ln>
                      <a:noFill/>
                    </a:ln>
                  </pic:spPr>
                </pic:pic>
              </a:graphicData>
            </a:graphic>
          </wp:inline>
        </w:drawing>
      </w:r>
      <w:r>
        <w:rPr>
          <w:rFonts w:ascii="Arial" w:hAnsi="Arial" w:cs="Arial"/>
          <w:sz w:val="22"/>
          <w:szCs w:val="22"/>
        </w:rPr>
        <w:t xml:space="preserve"> </w:t>
      </w:r>
      <w:r w:rsidRPr="00AF3B64">
        <w:rPr>
          <w:rFonts w:ascii="Arial" w:hAnsi="Arial" w:cs="Arial"/>
          <w:sz w:val="22"/>
          <w:szCs w:val="22"/>
        </w:rPr>
        <w:t xml:space="preserve"> </w:t>
      </w:r>
      <w:r>
        <w:rPr>
          <w:rFonts w:ascii="Arial" w:hAnsi="Arial" w:cs="Arial"/>
          <w:noProof/>
          <w:sz w:val="22"/>
          <w:szCs w:val="22"/>
          <w:lang w:eastAsia="en-GB"/>
        </w:rPr>
        <w:drawing>
          <wp:inline distT="0" distB="0" distL="0" distR="0">
            <wp:extent cx="1482090" cy="1124585"/>
            <wp:effectExtent l="0" t="0" r="3810" b="0"/>
            <wp:docPr id="5" name="Picture 5" descr="IMG_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8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2090" cy="1124585"/>
                    </a:xfrm>
                    <a:prstGeom prst="rect">
                      <a:avLst/>
                    </a:prstGeom>
                    <a:noFill/>
                    <a:ln>
                      <a:noFill/>
                    </a:ln>
                  </pic:spPr>
                </pic:pic>
              </a:graphicData>
            </a:graphic>
          </wp:inline>
        </w:drawing>
      </w:r>
      <w:r>
        <w:rPr>
          <w:rFonts w:ascii="Arial" w:hAnsi="Arial" w:cs="Arial"/>
          <w:sz w:val="22"/>
          <w:szCs w:val="22"/>
        </w:rPr>
        <w:t xml:space="preserve"> </w:t>
      </w:r>
      <w:r w:rsidRPr="00AF3B64">
        <w:rPr>
          <w:rFonts w:ascii="Arial" w:hAnsi="Arial" w:cs="Arial"/>
          <w:sz w:val="22"/>
          <w:szCs w:val="22"/>
        </w:rPr>
        <w:t xml:space="preserve"> </w:t>
      </w:r>
      <w:r>
        <w:rPr>
          <w:rFonts w:ascii="Arial" w:hAnsi="Arial" w:cs="Arial"/>
          <w:noProof/>
          <w:sz w:val="22"/>
          <w:szCs w:val="22"/>
          <w:lang w:eastAsia="en-GB"/>
        </w:rPr>
        <w:drawing>
          <wp:inline distT="0" distB="0" distL="0" distR="0">
            <wp:extent cx="1503045" cy="1135380"/>
            <wp:effectExtent l="0" t="0" r="1905" b="7620"/>
            <wp:docPr id="4" name="Picture 4" descr="IMG_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8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3045" cy="1135380"/>
                    </a:xfrm>
                    <a:prstGeom prst="rect">
                      <a:avLst/>
                    </a:prstGeom>
                    <a:noFill/>
                    <a:ln>
                      <a:noFill/>
                    </a:ln>
                  </pic:spPr>
                </pic:pic>
              </a:graphicData>
            </a:graphic>
          </wp:inline>
        </w:drawing>
      </w:r>
      <w:r w:rsidRPr="00AF3B64">
        <w:rPr>
          <w:rFonts w:ascii="Arial" w:hAnsi="Arial" w:cs="Arial"/>
          <w:sz w:val="22"/>
          <w:szCs w:val="22"/>
        </w:rPr>
        <w:t xml:space="preserve"> </w:t>
      </w:r>
    </w:p>
    <w:p w:rsidR="005A2FB7" w:rsidRDefault="005A2FB7" w:rsidP="005A2FB7">
      <w:pPr>
        <w:spacing w:line="288" w:lineRule="auto"/>
        <w:rPr>
          <w:rFonts w:ascii="Arial" w:hAnsi="Arial" w:cs="Arial"/>
          <w:sz w:val="22"/>
          <w:szCs w:val="22"/>
        </w:rPr>
      </w:pPr>
    </w:p>
    <w:p w:rsidR="005A2FB7" w:rsidRPr="00AF3B64" w:rsidRDefault="005A2FB7" w:rsidP="005A2FB7">
      <w:pPr>
        <w:spacing w:line="288" w:lineRule="auto"/>
        <w:rPr>
          <w:rFonts w:ascii="Arial" w:hAnsi="Arial" w:cs="Arial"/>
          <w:sz w:val="22"/>
          <w:szCs w:val="22"/>
        </w:rPr>
      </w:pPr>
      <w:r>
        <w:rPr>
          <w:rFonts w:ascii="Arial" w:hAnsi="Arial" w:cs="Arial"/>
          <w:noProof/>
          <w:sz w:val="22"/>
          <w:szCs w:val="22"/>
          <w:lang w:eastAsia="en-GB"/>
        </w:rPr>
        <w:drawing>
          <wp:inline distT="0" distB="0" distL="0" distR="0">
            <wp:extent cx="1482090" cy="1113790"/>
            <wp:effectExtent l="0" t="0" r="3810" b="0"/>
            <wp:docPr id="3" name="Picture 3" descr="IMG_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8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2090" cy="1113790"/>
                    </a:xfrm>
                    <a:prstGeom prst="rect">
                      <a:avLst/>
                    </a:prstGeom>
                    <a:noFill/>
                    <a:ln>
                      <a:noFill/>
                    </a:ln>
                  </pic:spPr>
                </pic:pic>
              </a:graphicData>
            </a:graphic>
          </wp:inline>
        </w:drawing>
      </w:r>
      <w:r>
        <w:rPr>
          <w:rFonts w:ascii="Arial" w:hAnsi="Arial" w:cs="Arial"/>
          <w:sz w:val="22"/>
          <w:szCs w:val="22"/>
        </w:rPr>
        <w:t xml:space="preserve"> </w:t>
      </w:r>
      <w:r w:rsidRPr="00AF3B64">
        <w:rPr>
          <w:rFonts w:ascii="Arial" w:hAnsi="Arial" w:cs="Arial"/>
          <w:sz w:val="22"/>
          <w:szCs w:val="22"/>
        </w:rPr>
        <w:t xml:space="preserve"> </w:t>
      </w:r>
      <w:r>
        <w:rPr>
          <w:rFonts w:ascii="Arial" w:hAnsi="Arial" w:cs="Arial"/>
          <w:noProof/>
          <w:sz w:val="22"/>
          <w:szCs w:val="22"/>
          <w:lang w:eastAsia="en-GB"/>
        </w:rPr>
        <w:drawing>
          <wp:inline distT="0" distB="0" distL="0" distR="0">
            <wp:extent cx="1471295" cy="1113790"/>
            <wp:effectExtent l="0" t="0" r="0" b="0"/>
            <wp:docPr id="2" name="Picture 2" descr="IMG_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8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1295" cy="1113790"/>
                    </a:xfrm>
                    <a:prstGeom prst="rect">
                      <a:avLst/>
                    </a:prstGeom>
                    <a:noFill/>
                    <a:ln>
                      <a:noFill/>
                    </a:ln>
                  </pic:spPr>
                </pic:pic>
              </a:graphicData>
            </a:graphic>
          </wp:inline>
        </w:drawing>
      </w:r>
      <w:r>
        <w:rPr>
          <w:rFonts w:ascii="Arial" w:hAnsi="Arial" w:cs="Arial"/>
          <w:sz w:val="22"/>
          <w:szCs w:val="22"/>
        </w:rPr>
        <w:t xml:space="preserve"> </w:t>
      </w:r>
      <w:r w:rsidRPr="00AF3B64">
        <w:rPr>
          <w:rFonts w:ascii="Arial" w:hAnsi="Arial" w:cs="Arial"/>
          <w:sz w:val="22"/>
          <w:szCs w:val="22"/>
        </w:rPr>
        <w:t xml:space="preserve"> </w:t>
      </w:r>
      <w:r>
        <w:rPr>
          <w:rFonts w:ascii="Arial" w:hAnsi="Arial" w:cs="Arial"/>
          <w:noProof/>
          <w:sz w:val="22"/>
          <w:szCs w:val="22"/>
          <w:lang w:eastAsia="en-GB"/>
        </w:rPr>
        <w:drawing>
          <wp:inline distT="0" distB="0" distL="0" distR="0">
            <wp:extent cx="1482090" cy="1113790"/>
            <wp:effectExtent l="0" t="0" r="3810" b="0"/>
            <wp:docPr id="1" name="Picture 1" descr="IMG_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2090" cy="1113790"/>
                    </a:xfrm>
                    <a:prstGeom prst="rect">
                      <a:avLst/>
                    </a:prstGeom>
                    <a:noFill/>
                    <a:ln>
                      <a:noFill/>
                    </a:ln>
                  </pic:spPr>
                </pic:pic>
              </a:graphicData>
            </a:graphic>
          </wp:inline>
        </w:drawing>
      </w:r>
    </w:p>
    <w:p w:rsidR="005A2FB7" w:rsidRDefault="005A2FB7" w:rsidP="005A2FB7">
      <w:pPr>
        <w:spacing w:line="288" w:lineRule="auto"/>
        <w:rPr>
          <w:rFonts w:ascii="Arial" w:hAnsi="Arial" w:cs="Arial"/>
          <w:sz w:val="22"/>
          <w:szCs w:val="22"/>
        </w:rPr>
      </w:pPr>
    </w:p>
    <w:p w:rsidR="005A2FB7" w:rsidRDefault="005A2FB7" w:rsidP="005A2FB7">
      <w:pPr>
        <w:pStyle w:val="SingleTxtG"/>
      </w:pPr>
      <w:r>
        <w:t xml:space="preserve">The IBC containers are not exclusively used for liquid waste (approved ADR packaging 31A) but are operated as salvage </w:t>
      </w:r>
      <w:proofErr w:type="spellStart"/>
      <w:r>
        <w:t>packagings</w:t>
      </w:r>
      <w:proofErr w:type="spellEnd"/>
      <w:r>
        <w:t xml:space="preserve"> under 11A (metal IBCs: steel containers for solids). </w:t>
      </w:r>
    </w:p>
    <w:p w:rsidR="005A2FB7" w:rsidRDefault="005A2FB7" w:rsidP="005A2FB7">
      <w:pPr>
        <w:pStyle w:val="SingleTxtG"/>
      </w:pPr>
      <w:r>
        <w:t xml:space="preserve">The containers do not have an opening at the top: the cover can be opened and put back to close the container. The IBC containers can hence be used as salvage packaging to transport drums up to 200 </w:t>
      </w:r>
      <w:proofErr w:type="spellStart"/>
      <w:r>
        <w:t>liters</w:t>
      </w:r>
      <w:proofErr w:type="spellEnd"/>
      <w:r>
        <w:t xml:space="preserve"> (see pictures).</w:t>
      </w:r>
    </w:p>
    <w:p w:rsidR="005A2FB7" w:rsidRPr="00F75A8B" w:rsidRDefault="005A2FB7" w:rsidP="005A2FB7">
      <w:pPr>
        <w:pStyle w:val="SingleTxtG"/>
        <w:rPr>
          <w:b/>
        </w:rPr>
      </w:pPr>
      <w:r w:rsidRPr="00F75A8B">
        <w:rPr>
          <w:b/>
        </w:rPr>
        <w:t>An IBC with an 11A code can according to Chapter 4.1.1.19.1 be used as salvage packaging, but this would no longer be the case if the amendment for the ADR 2017 is adopted.</w:t>
      </w:r>
    </w:p>
    <w:p w:rsidR="005A2FB7" w:rsidRPr="002C18C8" w:rsidRDefault="005A2FB7" w:rsidP="005A2FB7">
      <w:pPr>
        <w:pStyle w:val="SingleTxtG"/>
        <w:rPr>
          <w:b/>
          <w:i/>
          <w:color w:val="000000"/>
        </w:rPr>
      </w:pPr>
      <w:r w:rsidRPr="002C18C8">
        <w:rPr>
          <w:b/>
          <w:i/>
          <w:color w:val="000000"/>
        </w:rPr>
        <w:t>About FEAD</w:t>
      </w:r>
    </w:p>
    <w:p w:rsidR="005A2FB7" w:rsidRPr="00E31823" w:rsidRDefault="005A2FB7" w:rsidP="005A2FB7">
      <w:pPr>
        <w:pStyle w:val="SingleTxtG"/>
        <w:rPr>
          <w:i/>
          <w:color w:val="000000"/>
        </w:rPr>
      </w:pPr>
      <w:r w:rsidRPr="00E31823">
        <w:rPr>
          <w:i/>
          <w:color w:val="000000"/>
        </w:rPr>
        <w:t xml:space="preserve">FEAD, the European Federation of Waste Management and Environmental Services, represents the European </w:t>
      </w:r>
      <w:r>
        <w:rPr>
          <w:i/>
          <w:color w:val="000000"/>
        </w:rPr>
        <w:t xml:space="preserve">private </w:t>
      </w:r>
      <w:r w:rsidRPr="00E31823">
        <w:rPr>
          <w:i/>
          <w:color w:val="000000"/>
        </w:rPr>
        <w:t>waste management industry. FEAD’s members are national waste management associations covering 18 EU Member States, Serbia and Norway. They have an approximate 60% share in the household waste market and handle more than 75% of industrial and commercial waste in Europe. Their combined annual turnover is approximately € 75 billion.</w:t>
      </w:r>
    </w:p>
    <w:p w:rsidR="005A2FB7" w:rsidRDefault="005A2FB7" w:rsidP="005A2FB7">
      <w:pPr>
        <w:pStyle w:val="SingleTxtG"/>
        <w:rPr>
          <w:i/>
          <w:color w:val="000000"/>
        </w:rPr>
      </w:pPr>
      <w:r w:rsidRPr="00E31823">
        <w:rPr>
          <w:i/>
          <w:color w:val="000000"/>
        </w:rPr>
        <w:t>FEAD represents about 3,000 companies with activities in all forms of waste management. These companies employ over 320,000 people who operate around 2,400 recycling and sorting centres, 1,100 composting sites, 260 waste-to-energy plants and 900 controlled landfills. They play an important role in the determination of the best environmental option for waste management problems.</w:t>
      </w:r>
    </w:p>
    <w:p w:rsidR="005A2FB7" w:rsidRPr="005A2FB7" w:rsidRDefault="005A2FB7" w:rsidP="005A2FB7">
      <w:pPr>
        <w:pStyle w:val="SingleTxtG"/>
        <w:spacing w:before="240" w:after="0"/>
        <w:jc w:val="center"/>
        <w:rPr>
          <w:u w:val="single"/>
        </w:rPr>
      </w:pPr>
      <w:r>
        <w:rPr>
          <w:i/>
          <w:color w:val="000000"/>
          <w:u w:val="single"/>
        </w:rPr>
        <w:tab/>
      </w:r>
      <w:r>
        <w:rPr>
          <w:i/>
          <w:color w:val="000000"/>
          <w:u w:val="single"/>
        </w:rPr>
        <w:tab/>
      </w:r>
      <w:r>
        <w:rPr>
          <w:i/>
          <w:color w:val="000000"/>
          <w:u w:val="single"/>
        </w:rPr>
        <w:tab/>
      </w:r>
    </w:p>
    <w:sectPr w:rsidR="005A2FB7" w:rsidRPr="005A2FB7" w:rsidSect="009C46D6">
      <w:headerReference w:type="even" r:id="rId15"/>
      <w:head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C5" w:rsidRDefault="00995CC5"/>
  </w:endnote>
  <w:endnote w:type="continuationSeparator" w:id="0">
    <w:p w:rsidR="00995CC5" w:rsidRDefault="00995CC5"/>
  </w:endnote>
  <w:endnote w:type="continuationNotice" w:id="1">
    <w:p w:rsidR="00995CC5" w:rsidRDefault="00995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C5" w:rsidRPr="000B175B" w:rsidRDefault="00995CC5" w:rsidP="000B175B">
      <w:pPr>
        <w:tabs>
          <w:tab w:val="right" w:pos="2155"/>
        </w:tabs>
        <w:spacing w:after="80"/>
        <w:ind w:left="680"/>
        <w:rPr>
          <w:u w:val="single"/>
        </w:rPr>
      </w:pPr>
      <w:r>
        <w:rPr>
          <w:u w:val="single"/>
        </w:rPr>
        <w:tab/>
      </w:r>
    </w:p>
  </w:footnote>
  <w:footnote w:type="continuationSeparator" w:id="0">
    <w:p w:rsidR="00995CC5" w:rsidRPr="00FC68B7" w:rsidRDefault="00995CC5" w:rsidP="00FC68B7">
      <w:pPr>
        <w:tabs>
          <w:tab w:val="left" w:pos="2155"/>
        </w:tabs>
        <w:spacing w:after="80"/>
        <w:ind w:left="680"/>
        <w:rPr>
          <w:u w:val="single"/>
        </w:rPr>
      </w:pPr>
      <w:r>
        <w:rPr>
          <w:u w:val="single"/>
        </w:rPr>
        <w:tab/>
      </w:r>
    </w:p>
  </w:footnote>
  <w:footnote w:type="continuationNotice" w:id="1">
    <w:p w:rsidR="00995CC5" w:rsidRDefault="00995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D6" w:rsidRPr="009C46D6" w:rsidRDefault="009C46D6">
    <w:pPr>
      <w:pStyle w:val="Header"/>
      <w:rPr>
        <w:lang w:val="fr-CH"/>
      </w:rPr>
    </w:pPr>
    <w:r>
      <w:rPr>
        <w:lang w:val="fr-CH"/>
      </w:rPr>
      <w:t>INF.1</w:t>
    </w:r>
    <w:r w:rsidR="005A2FB7">
      <w:rPr>
        <w:lang w:val="fr-CH"/>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A3" w:rsidRPr="0026060C" w:rsidRDefault="004A28A3" w:rsidP="0026060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7E97"/>
    <w:rsid w:val="00072972"/>
    <w:rsid w:val="00072C8C"/>
    <w:rsid w:val="000733B5"/>
    <w:rsid w:val="00081815"/>
    <w:rsid w:val="000931C0"/>
    <w:rsid w:val="00096262"/>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847D2"/>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03C4E"/>
    <w:rsid w:val="002102FF"/>
    <w:rsid w:val="0021114C"/>
    <w:rsid w:val="0021157B"/>
    <w:rsid w:val="00211E0B"/>
    <w:rsid w:val="0024023A"/>
    <w:rsid w:val="00243217"/>
    <w:rsid w:val="00252290"/>
    <w:rsid w:val="0026060C"/>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410C89"/>
    <w:rsid w:val="00422E03"/>
    <w:rsid w:val="00426B9B"/>
    <w:rsid w:val="004325CB"/>
    <w:rsid w:val="004356D2"/>
    <w:rsid w:val="00442A83"/>
    <w:rsid w:val="0045495B"/>
    <w:rsid w:val="00464C81"/>
    <w:rsid w:val="00480359"/>
    <w:rsid w:val="0048397A"/>
    <w:rsid w:val="004975C1"/>
    <w:rsid w:val="004A12F2"/>
    <w:rsid w:val="004A28A3"/>
    <w:rsid w:val="004C2461"/>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63634"/>
    <w:rsid w:val="0059363D"/>
    <w:rsid w:val="005A2FB7"/>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C3589"/>
    <w:rsid w:val="006D37AF"/>
    <w:rsid w:val="006D51D0"/>
    <w:rsid w:val="006E564B"/>
    <w:rsid w:val="006E7191"/>
    <w:rsid w:val="00703577"/>
    <w:rsid w:val="00705894"/>
    <w:rsid w:val="0072632A"/>
    <w:rsid w:val="007327D5"/>
    <w:rsid w:val="007611CF"/>
    <w:rsid w:val="00761787"/>
    <w:rsid w:val="007629C8"/>
    <w:rsid w:val="00764668"/>
    <w:rsid w:val="0077047D"/>
    <w:rsid w:val="00774AF7"/>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19BC"/>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95CC5"/>
    <w:rsid w:val="009A0E8D"/>
    <w:rsid w:val="009B1518"/>
    <w:rsid w:val="009B26E7"/>
    <w:rsid w:val="009C454F"/>
    <w:rsid w:val="009C46D6"/>
    <w:rsid w:val="009D2A5B"/>
    <w:rsid w:val="009E1D8E"/>
    <w:rsid w:val="00A00A3F"/>
    <w:rsid w:val="00A01489"/>
    <w:rsid w:val="00A23F81"/>
    <w:rsid w:val="00A3009E"/>
    <w:rsid w:val="00A3026E"/>
    <w:rsid w:val="00A338F1"/>
    <w:rsid w:val="00A72F22"/>
    <w:rsid w:val="00A7360F"/>
    <w:rsid w:val="00A748A6"/>
    <w:rsid w:val="00A769F4"/>
    <w:rsid w:val="00A776B4"/>
    <w:rsid w:val="00A94361"/>
    <w:rsid w:val="00AA293C"/>
    <w:rsid w:val="00AA66C0"/>
    <w:rsid w:val="00AD44C2"/>
    <w:rsid w:val="00AD48FA"/>
    <w:rsid w:val="00B11BB4"/>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7CD1"/>
    <w:rsid w:val="00BC3FA0"/>
    <w:rsid w:val="00BC74E9"/>
    <w:rsid w:val="00BF15A1"/>
    <w:rsid w:val="00BF68A8"/>
    <w:rsid w:val="00C10FE6"/>
    <w:rsid w:val="00C11A03"/>
    <w:rsid w:val="00C22C0C"/>
    <w:rsid w:val="00C412A1"/>
    <w:rsid w:val="00C4527F"/>
    <w:rsid w:val="00C463DD"/>
    <w:rsid w:val="00C467C9"/>
    <w:rsid w:val="00C4724C"/>
    <w:rsid w:val="00C629A0"/>
    <w:rsid w:val="00C64629"/>
    <w:rsid w:val="00C73056"/>
    <w:rsid w:val="00C745C3"/>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3B15"/>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FC76-0227-4ADF-BAF3-6940D90C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613</Words>
  <Characters>3499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4104</CharactersWithSpaces>
  <SharedDoc>false</SharedDoc>
  <HLinks>
    <vt:vector size="18" baseType="variant">
      <vt:variant>
        <vt:i4>3604497</vt:i4>
      </vt:variant>
      <vt:variant>
        <vt:i4>0</vt:i4>
      </vt:variant>
      <vt:variant>
        <vt:i4>0</vt:i4>
      </vt:variant>
      <vt:variant>
        <vt:i4>5</vt:i4>
      </vt:variant>
      <vt:variant>
        <vt:lpwstr>mailto:info@otif.org</vt:lpwstr>
      </vt:variant>
      <vt:variant>
        <vt:lpwstr/>
      </vt:variant>
      <vt:variant>
        <vt:i4>3604497</vt:i4>
      </vt:variant>
      <vt:variant>
        <vt:i4>9</vt:i4>
      </vt:variant>
      <vt:variant>
        <vt:i4>0</vt:i4>
      </vt:variant>
      <vt:variant>
        <vt:i4>5</vt:i4>
      </vt:variant>
      <vt:variant>
        <vt:lpwstr>mailto:info@otif.org·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5</cp:revision>
  <cp:lastPrinted>2016-02-05T08:20:00Z</cp:lastPrinted>
  <dcterms:created xsi:type="dcterms:W3CDTF">2016-02-05T08:16:00Z</dcterms:created>
  <dcterms:modified xsi:type="dcterms:W3CDTF">2016-02-05T09:09:00Z</dcterms:modified>
</cp:coreProperties>
</file>