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E1615A">
            <w:pPr>
              <w:jc w:val="right"/>
            </w:pPr>
            <w:r w:rsidRPr="00DA7745">
              <w:rPr>
                <w:sz w:val="40"/>
              </w:rPr>
              <w:t>ECE</w:t>
            </w:r>
            <w:r>
              <w:t>/TRANS/WP.15/201</w:t>
            </w:r>
            <w:r w:rsidR="00E9755E">
              <w:t>6</w:t>
            </w:r>
            <w:r>
              <w:t>/</w:t>
            </w:r>
            <w:r w:rsidR="00E1615A">
              <w:t>4</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Distr. générale</w:t>
            </w:r>
          </w:p>
          <w:p w:rsidR="00DA7745" w:rsidRDefault="00391929" w:rsidP="00DA7745">
            <w:pPr>
              <w:spacing w:line="240" w:lineRule="exact"/>
            </w:pPr>
            <w:r>
              <w:t>8</w:t>
            </w:r>
            <w:r w:rsidR="00D105AA">
              <w:t xml:space="preserve"> février</w:t>
            </w:r>
            <w:r w:rsidR="00DA7745">
              <w:t xml:space="preserve"> 201</w:t>
            </w:r>
            <w:r w:rsidR="007643B0">
              <w:t>6</w:t>
            </w:r>
          </w:p>
          <w:p w:rsidR="00DA7745" w:rsidRDefault="00DA7745" w:rsidP="00DA7745">
            <w:pPr>
              <w:spacing w:line="240" w:lineRule="exact"/>
            </w:pPr>
          </w:p>
          <w:p w:rsidR="00DA7745" w:rsidRPr="00DB58B5" w:rsidRDefault="00DA7745" w:rsidP="00E1615A">
            <w:pPr>
              <w:spacing w:line="240" w:lineRule="exact"/>
            </w:pPr>
            <w:r>
              <w:t xml:space="preserve">Original: </w:t>
            </w:r>
            <w:r w:rsidR="00E1615A">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0C376B" w:rsidP="00DA7745">
      <w:pPr>
        <w:spacing w:before="120"/>
        <w:rPr>
          <w:rFonts w:eastAsia="SimSun"/>
          <w:b/>
        </w:rPr>
      </w:pPr>
      <w:r>
        <w:rPr>
          <w:rFonts w:eastAsia="SimSun"/>
          <w:b/>
        </w:rPr>
        <w:t>Cent</w:t>
      </w:r>
      <w:r w:rsidR="00DA7745" w:rsidRPr="004539A2">
        <w:rPr>
          <w:rFonts w:eastAsia="SimSun"/>
          <w:b/>
        </w:rPr>
        <w:t xml:space="preserve">ième session </w:t>
      </w:r>
    </w:p>
    <w:p w:rsidR="00DA7745" w:rsidRPr="004539A2" w:rsidRDefault="00DA7745" w:rsidP="00DA7745">
      <w:pPr>
        <w:rPr>
          <w:rFonts w:eastAsia="SimSun"/>
        </w:rPr>
      </w:pPr>
      <w:r w:rsidRPr="004539A2">
        <w:rPr>
          <w:rFonts w:eastAsia="SimSun"/>
        </w:rPr>
        <w:t xml:space="preserve">Genève, </w:t>
      </w:r>
      <w:r w:rsidR="000C376B">
        <w:rPr>
          <w:rFonts w:eastAsia="SimSun"/>
        </w:rPr>
        <w:t>9</w:t>
      </w:r>
      <w:r>
        <w:rPr>
          <w:rFonts w:eastAsia="SimSun"/>
        </w:rPr>
        <w:t>-</w:t>
      </w:r>
      <w:r w:rsidR="000C376B">
        <w:rPr>
          <w:rFonts w:eastAsia="SimSun"/>
        </w:rPr>
        <w:t>13</w:t>
      </w:r>
      <w:r w:rsidRPr="004539A2">
        <w:rPr>
          <w:rFonts w:eastAsia="SimSun"/>
        </w:rPr>
        <w:t xml:space="preserve"> mai 201</w:t>
      </w:r>
      <w:r w:rsidR="000C376B">
        <w:rPr>
          <w:rFonts w:eastAsia="SimSun"/>
        </w:rPr>
        <w:t>6</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D105AA">
        <w:t>6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r>
        <w:rPr>
          <w:b/>
          <w:lang w:val="fr-FR"/>
        </w:rPr>
        <w:t>p</w:t>
      </w:r>
      <w:r w:rsidRPr="00D105AA">
        <w:rPr>
          <w:b/>
          <w:lang w:val="fr-FR"/>
        </w:rPr>
        <w:t>ropositions diverses</w:t>
      </w:r>
    </w:p>
    <w:p w:rsidR="00DA7745" w:rsidRPr="004539A2" w:rsidRDefault="00DA7745" w:rsidP="00DA7745">
      <w:pPr>
        <w:pStyle w:val="HChG"/>
        <w:rPr>
          <w:sz w:val="20"/>
        </w:rPr>
      </w:pPr>
      <w:r w:rsidRPr="004539A2">
        <w:tab/>
      </w:r>
      <w:r w:rsidRPr="004539A2">
        <w:tab/>
      </w:r>
      <w:r w:rsidR="00E1615A">
        <w:t>Proposition de définition des codes de restriction en tunnel pour les rubriques des véhicules, moteurs et machines</w:t>
      </w:r>
      <w:r w:rsidR="00391929">
        <w:t>,</w:t>
      </w:r>
      <w:r w:rsidR="00E1615A">
        <w:t xml:space="preserve"> Nos ONU 3166, 3171, 3528, 3529 et 3530</w:t>
      </w:r>
      <w:r w:rsidR="00391929">
        <w:t>,</w:t>
      </w:r>
      <w:r w:rsidR="00E1615A">
        <w:t xml:space="preserve"> qui ne sont pas exemptés</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D105AA">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E1615A" w:rsidRPr="007667F8" w:rsidTr="00E85E06">
        <w:trPr>
          <w:jc w:val="center"/>
        </w:trPr>
        <w:tc>
          <w:tcPr>
            <w:tcW w:w="9637" w:type="dxa"/>
            <w:tcBorders>
              <w:bottom w:val="nil"/>
            </w:tcBorders>
            <w:shd w:val="clear" w:color="auto" w:fill="auto"/>
          </w:tcPr>
          <w:p w:rsidR="00E1615A" w:rsidRPr="007667F8" w:rsidRDefault="00E1615A" w:rsidP="00E85E06">
            <w:pPr>
              <w:tabs>
                <w:tab w:val="left" w:pos="255"/>
              </w:tabs>
              <w:suppressAutoHyphens w:val="0"/>
              <w:spacing w:before="200" w:after="80"/>
              <w:rPr>
                <w:sz w:val="24"/>
              </w:rPr>
            </w:pPr>
            <w:r w:rsidRPr="007667F8">
              <w:tab/>
            </w:r>
            <w:r>
              <w:rPr>
                <w:i/>
                <w:sz w:val="24"/>
              </w:rPr>
              <w:t>Résumé</w:t>
            </w:r>
          </w:p>
        </w:tc>
      </w:tr>
      <w:tr w:rsidR="00E1615A" w:rsidRPr="007667F8" w:rsidTr="00E85E06">
        <w:trPr>
          <w:jc w:val="center"/>
        </w:trPr>
        <w:tc>
          <w:tcPr>
            <w:tcW w:w="9637" w:type="dxa"/>
            <w:tcBorders>
              <w:top w:val="nil"/>
              <w:bottom w:val="nil"/>
            </w:tcBorders>
            <w:shd w:val="clear" w:color="auto" w:fill="auto"/>
          </w:tcPr>
          <w:p w:rsidR="00E1615A" w:rsidRPr="007667F8" w:rsidRDefault="00E1615A" w:rsidP="00E85E06">
            <w:pPr>
              <w:pStyle w:val="SingleTxtG"/>
              <w:spacing w:line="236" w:lineRule="atLeast"/>
              <w:ind w:left="3402" w:hanging="2268"/>
            </w:pPr>
            <w:r>
              <w:rPr>
                <w:b/>
                <w:szCs w:val="22"/>
              </w:rPr>
              <w:t>Résumé analytique</w:t>
            </w:r>
            <w:r w:rsidRPr="007667F8">
              <w:rPr>
                <w:szCs w:val="22"/>
              </w:rPr>
              <w:t>:</w:t>
            </w:r>
            <w:r w:rsidRPr="007667F8">
              <w:tab/>
            </w:r>
            <w:r>
              <w:t xml:space="preserve">Attribuer des codes de restriction en tunnels aux rubriques des Nos ONU 3166, 3171, 3528, 3529 et 3530 qui ne peuvent pas </w:t>
            </w:r>
            <w:r w:rsidR="00391929">
              <w:t xml:space="preserve">bénéficier des exemptions des dispositions spéciales </w:t>
            </w:r>
            <w:r>
              <w:t>363 ou 666.</w:t>
            </w:r>
          </w:p>
        </w:tc>
      </w:tr>
      <w:tr w:rsidR="00E1615A" w:rsidRPr="007667F8" w:rsidTr="00E85E06">
        <w:trPr>
          <w:jc w:val="center"/>
        </w:trPr>
        <w:tc>
          <w:tcPr>
            <w:tcW w:w="9637" w:type="dxa"/>
            <w:tcBorders>
              <w:top w:val="nil"/>
              <w:bottom w:val="nil"/>
            </w:tcBorders>
            <w:shd w:val="clear" w:color="auto" w:fill="auto"/>
          </w:tcPr>
          <w:p w:rsidR="00E1615A" w:rsidRPr="007667F8" w:rsidRDefault="00E1615A" w:rsidP="00E85E06">
            <w:pPr>
              <w:pStyle w:val="SingleTxtG"/>
              <w:spacing w:line="236" w:lineRule="atLeast"/>
              <w:ind w:left="3402" w:hanging="2268"/>
            </w:pPr>
            <w:r w:rsidRPr="00DB5848">
              <w:rPr>
                <w:b/>
                <w:szCs w:val="22"/>
              </w:rPr>
              <w:t>Mesure à prendre</w:t>
            </w:r>
            <w:r w:rsidRPr="007667F8">
              <w:rPr>
                <w:szCs w:val="22"/>
              </w:rPr>
              <w:t>:</w:t>
            </w:r>
            <w:r w:rsidRPr="007667F8">
              <w:tab/>
            </w:r>
            <w:r>
              <w:rPr>
                <w:rStyle w:val="SingleTxtGChar"/>
              </w:rPr>
              <w:t>Modifier la colonne (15) du tableau A du chap. 3.2.</w:t>
            </w:r>
          </w:p>
        </w:tc>
      </w:tr>
      <w:tr w:rsidR="00E1615A" w:rsidRPr="007667F8" w:rsidTr="00E85E06">
        <w:trPr>
          <w:jc w:val="center"/>
        </w:trPr>
        <w:tc>
          <w:tcPr>
            <w:tcW w:w="9637" w:type="dxa"/>
            <w:tcBorders>
              <w:top w:val="nil"/>
              <w:bottom w:val="nil"/>
            </w:tcBorders>
            <w:shd w:val="clear" w:color="auto" w:fill="auto"/>
          </w:tcPr>
          <w:p w:rsidR="00E1615A" w:rsidRPr="007667F8" w:rsidRDefault="00E1615A" w:rsidP="00527EAC">
            <w:pPr>
              <w:pStyle w:val="SingleTxtG"/>
              <w:spacing w:before="120" w:line="236" w:lineRule="atLeast"/>
              <w:ind w:left="3402" w:hanging="2268"/>
              <w:jc w:val="left"/>
            </w:pPr>
            <w:r>
              <w:rPr>
                <w:b/>
                <w:szCs w:val="22"/>
              </w:rPr>
              <w:t>D</w:t>
            </w:r>
            <w:r w:rsidRPr="007667F8">
              <w:rPr>
                <w:b/>
                <w:szCs w:val="22"/>
              </w:rPr>
              <w:t>ocuments</w:t>
            </w:r>
            <w:r>
              <w:rPr>
                <w:b/>
                <w:szCs w:val="22"/>
              </w:rPr>
              <w:t xml:space="preserve"> de référence</w:t>
            </w:r>
            <w:r w:rsidRPr="007667F8">
              <w:rPr>
                <w:szCs w:val="22"/>
              </w:rPr>
              <w:t>:</w:t>
            </w:r>
            <w:r w:rsidRPr="007667F8">
              <w:tab/>
            </w:r>
            <w:r w:rsidRPr="00527EAC">
              <w:rPr>
                <w:lang w:val="fr-FR"/>
              </w:rPr>
              <w:t xml:space="preserve">ECE/TRANS/WP.15/230 et </w:t>
            </w:r>
            <w:r w:rsidR="00527EAC">
              <w:rPr>
                <w:lang w:val="fr-FR"/>
              </w:rPr>
              <w:t>E</w:t>
            </w:r>
            <w:bookmarkStart w:id="0" w:name="_GoBack"/>
            <w:bookmarkEnd w:id="0"/>
            <w:r w:rsidRPr="00527EAC">
              <w:rPr>
                <w:bCs/>
                <w:spacing w:val="-4"/>
              </w:rPr>
              <w:t>CE/TRANS/WP.15/AC.1/2016/15</w:t>
            </w:r>
            <w:r w:rsidRPr="00527EAC">
              <w:rPr>
                <w:rFonts w:ascii="Open Sans" w:hAnsi="Open Sans"/>
                <w:b/>
                <w:bCs/>
                <w:spacing w:val="-4"/>
                <w:sz w:val="18"/>
                <w:szCs w:val="18"/>
              </w:rPr>
              <w:t> </w:t>
            </w:r>
          </w:p>
        </w:tc>
      </w:tr>
      <w:tr w:rsidR="00E1615A" w:rsidRPr="007667F8" w:rsidTr="00E85E06">
        <w:trPr>
          <w:jc w:val="center"/>
        </w:trPr>
        <w:tc>
          <w:tcPr>
            <w:tcW w:w="9637" w:type="dxa"/>
            <w:tcBorders>
              <w:top w:val="nil"/>
            </w:tcBorders>
            <w:shd w:val="clear" w:color="auto" w:fill="auto"/>
          </w:tcPr>
          <w:p w:rsidR="00E1615A" w:rsidRPr="007667F8" w:rsidRDefault="00E1615A" w:rsidP="00E85E06">
            <w:pPr>
              <w:suppressAutoHyphens w:val="0"/>
            </w:pPr>
          </w:p>
        </w:tc>
      </w:tr>
    </w:tbl>
    <w:p w:rsidR="00E1615A" w:rsidRPr="0072378C" w:rsidRDefault="00E1615A" w:rsidP="00E1615A">
      <w:pPr>
        <w:pStyle w:val="HChG"/>
        <w:tabs>
          <w:tab w:val="clear" w:pos="851"/>
        </w:tabs>
        <w:ind w:left="567" w:right="0" w:firstLine="567"/>
      </w:pPr>
      <w:r w:rsidRPr="0072378C">
        <w:t>Introduction</w:t>
      </w:r>
    </w:p>
    <w:p w:rsidR="00E1615A" w:rsidRPr="00AC7A55" w:rsidRDefault="00E1615A" w:rsidP="00E1615A">
      <w:pPr>
        <w:kinsoku/>
        <w:overflowPunct/>
        <w:autoSpaceDE/>
        <w:autoSpaceDN/>
        <w:adjustRightInd/>
        <w:snapToGrid/>
        <w:spacing w:after="120"/>
        <w:ind w:left="1134" w:right="1134"/>
        <w:jc w:val="both"/>
      </w:pPr>
      <w:r w:rsidRPr="00AC7A55">
        <w:rPr>
          <w:lang w:val="fr-FR"/>
        </w:rPr>
        <w:t>1.</w:t>
      </w:r>
      <w:r w:rsidRPr="00AC7A55">
        <w:rPr>
          <w:lang w:val="fr-FR"/>
        </w:rPr>
        <w:tab/>
        <w:t xml:space="preserve">Le Groupe </w:t>
      </w:r>
      <w:r w:rsidR="00391929">
        <w:rPr>
          <w:lang w:val="fr-FR"/>
        </w:rPr>
        <w:t xml:space="preserve">de travail </w:t>
      </w:r>
      <w:r w:rsidRPr="00AC7A55">
        <w:rPr>
          <w:lang w:val="fr-FR"/>
        </w:rPr>
        <w:t>(WP.15) a noté à sa dernière session que l</w:t>
      </w:r>
      <w:r w:rsidRPr="00AC7A55">
        <w:t xml:space="preserve">es textes adoptés pour 2017 ne contenaient aucune information en colonne 15 du tableau A du chapitre 3.2 </w:t>
      </w:r>
      <w:r w:rsidRPr="00AC7A55">
        <w:lastRenderedPageBreak/>
        <w:t>concernant la catégorie de transport et le code de restriction pour les tunnels pour les rubriques des Nos ONU 3166, 3171 et 3528 à 3530 (</w:t>
      </w:r>
      <w:r w:rsidRPr="00AC7A55">
        <w:rPr>
          <w:lang w:val="fr-FR"/>
        </w:rPr>
        <w:t>ECE/TRANS/WP.15/230, para.22)</w:t>
      </w:r>
      <w:r w:rsidRPr="00AC7A55">
        <w:t xml:space="preserve">. </w:t>
      </w:r>
    </w:p>
    <w:p w:rsidR="00E1615A" w:rsidRDefault="00E1615A" w:rsidP="00E1615A">
      <w:pPr>
        <w:pStyle w:val="SingleTxtG"/>
      </w:pPr>
      <w:r>
        <w:t>2.</w:t>
      </w:r>
      <w:r>
        <w:tab/>
        <w:t>La Réunion commune devra décider de la catégorie de transport mais l’attribution d’un code de restriction en tunnel pour les rubriques des Nos ONU 3166, 3171, 3528, 3529 et 3530 incombe au WP.15. Les véhicules et leur éq</w:t>
      </w:r>
      <w:r w:rsidR="00391929">
        <w:t xml:space="preserve">uipement sont exemptés par la disposition spéciale </w:t>
      </w:r>
      <w:r>
        <w:t xml:space="preserve">666 tandis que les moteurs et les machines le sont par la </w:t>
      </w:r>
      <w:r w:rsidR="00391929">
        <w:t xml:space="preserve">disposition spéciale </w:t>
      </w:r>
      <w:r>
        <w:t xml:space="preserve">363. Cependant il se peut que dans certains cas les conditions d’exemption ne puissent pas être remplies. Dans ce cas les dispositions de l’ADR vont s’appliquer. A cet égard une instruction d’emballage P005 a été prévue pour les Nos 3528, 3529 et 3530 dans le cas où la </w:t>
      </w:r>
      <w:r w:rsidR="00391929">
        <w:t xml:space="preserve">disposition spéciale </w:t>
      </w:r>
      <w:r>
        <w:t>363 ne puisse pas être satisfaite. Même si ces cas peuvent s’avérer être rares il faut prévoir les restrictions en tunnels des véhicules, moteurs et machines qui doivent être transportés en appliquant toutes les règles de l’ADR. C’est pourquoi nous soumettons cette proposition.</w:t>
      </w:r>
    </w:p>
    <w:p w:rsidR="00E1615A" w:rsidRDefault="00E1615A" w:rsidP="00E1615A">
      <w:pPr>
        <w:pStyle w:val="SingleTxtG"/>
      </w:pPr>
      <w:r>
        <w:t>3.</w:t>
      </w:r>
      <w:r>
        <w:tab/>
        <w:t xml:space="preserve">L’attribution d’un code de restriction en tunnel se heurte au fait que les rubriques ne sont pas assignées à un type de carburant spécifique. </w:t>
      </w:r>
      <w:r w:rsidRPr="003C4DF9">
        <w:t xml:space="preserve">Ces rubriques incluent les véhicules </w:t>
      </w:r>
      <w:r>
        <w:t xml:space="preserve">qui peuvent contenir des </w:t>
      </w:r>
      <w:r w:rsidRPr="003C4DF9">
        <w:rPr>
          <w:lang w:val="fr-FR"/>
        </w:rPr>
        <w:t>systèmes d</w:t>
      </w:r>
      <w:r>
        <w:rPr>
          <w:lang w:val="fr-FR"/>
        </w:rPr>
        <w:t xml:space="preserve">e stockage à hydrure métallique, des moteurs à combustion interne à gaz ou à carburant liquide, des moteurs </w:t>
      </w:r>
      <w:r w:rsidRPr="003C4DF9">
        <w:t>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r>
        <w:t xml:space="preserve"> pour le No ONU 3166, et les</w:t>
      </w:r>
      <w:r w:rsidRPr="003C4DF9">
        <w:t xml:space="preserve">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r>
        <w:t xml:space="preserve"> pour le No ONU 3171. Les moteurs et les machines contiennent des combustibles liquides (No ONU 3528), des gaz (No 3529) ou d’autres liquides dangereux pour l’environnement (No 3530). </w:t>
      </w:r>
    </w:p>
    <w:p w:rsidR="00E1615A" w:rsidRDefault="00E1615A" w:rsidP="00E1615A">
      <w:pPr>
        <w:pStyle w:val="SingleTxtG"/>
      </w:pPr>
      <w:r>
        <w:t>4.</w:t>
      </w:r>
      <w:r>
        <w:tab/>
        <w:t>Vu la diversité des moteurs ces rubriques peuvent contenir différents types de marchandises dangereuses pour lesquelles différentes catégories de transport et codes de restrictions en tunnels sont applicables:</w:t>
      </w:r>
    </w:p>
    <w:tbl>
      <w:tblPr>
        <w:tblpPr w:leftFromText="180" w:rightFromText="180" w:vertAnchor="text" w:horzAnchor="page" w:tblpX="2325" w:tblpY="69"/>
        <w:tblW w:w="5524" w:type="dxa"/>
        <w:tblLook w:val="04A0" w:firstRow="1" w:lastRow="0" w:firstColumn="1" w:lastColumn="0" w:noHBand="0" w:noVBand="1"/>
      </w:tblPr>
      <w:tblGrid>
        <w:gridCol w:w="3397"/>
        <w:gridCol w:w="2127"/>
      </w:tblGrid>
      <w:tr w:rsidR="00391929" w:rsidRPr="005A4881" w:rsidTr="00391929">
        <w:trPr>
          <w:trHeight w:val="1675"/>
        </w:trPr>
        <w:tc>
          <w:tcPr>
            <w:tcW w:w="3397" w:type="dxa"/>
            <w:tcBorders>
              <w:top w:val="single" w:sz="4" w:space="0" w:color="auto"/>
              <w:left w:val="single" w:sz="4" w:space="0" w:color="auto"/>
              <w:bottom w:val="nil"/>
              <w:right w:val="single" w:sz="4" w:space="0" w:color="auto"/>
            </w:tcBorders>
            <w:shd w:val="clear" w:color="000000" w:fill="FFFFFF"/>
            <w:vAlign w:val="center"/>
            <w:hideMark/>
          </w:tcPr>
          <w:p w:rsidR="00391929" w:rsidRPr="005A4881" w:rsidRDefault="00391929" w:rsidP="00391929">
            <w:pPr>
              <w:suppressAutoHyphens w:val="0"/>
              <w:kinsoku/>
              <w:overflowPunct/>
              <w:autoSpaceDE/>
              <w:autoSpaceDN/>
              <w:adjustRightInd/>
              <w:snapToGrid/>
              <w:spacing w:line="240" w:lineRule="auto"/>
              <w:jc w:val="center"/>
              <w:rPr>
                <w:b/>
                <w:bCs/>
                <w:sz w:val="16"/>
                <w:szCs w:val="16"/>
                <w:lang w:val="en-US"/>
              </w:rPr>
            </w:pPr>
            <w:r w:rsidRPr="005A4881">
              <w:rPr>
                <w:b/>
                <w:bCs/>
                <w:sz w:val="16"/>
                <w:szCs w:val="16"/>
                <w:lang w:val="en-US"/>
              </w:rPr>
              <w:t>No ONU</w:t>
            </w:r>
          </w:p>
        </w:tc>
        <w:tc>
          <w:tcPr>
            <w:tcW w:w="2127" w:type="dxa"/>
            <w:vMerge w:val="restart"/>
            <w:tcBorders>
              <w:top w:val="single" w:sz="4" w:space="0" w:color="auto"/>
              <w:bottom w:val="nil"/>
              <w:right w:val="single" w:sz="4" w:space="0" w:color="auto"/>
            </w:tcBorders>
            <w:vAlign w:val="center"/>
          </w:tcPr>
          <w:p w:rsidR="00391929" w:rsidRPr="006613C0" w:rsidRDefault="00391929" w:rsidP="00E1615A">
            <w:pPr>
              <w:suppressAutoHyphens w:val="0"/>
              <w:kinsoku/>
              <w:overflowPunct/>
              <w:autoSpaceDE/>
              <w:autoSpaceDN/>
              <w:adjustRightInd/>
              <w:snapToGrid/>
              <w:spacing w:line="240" w:lineRule="auto"/>
              <w:jc w:val="center"/>
              <w:rPr>
                <w:b/>
                <w:bCs/>
                <w:sz w:val="16"/>
                <w:szCs w:val="16"/>
              </w:rPr>
            </w:pPr>
            <w:r w:rsidRPr="006613C0">
              <w:rPr>
                <w:b/>
                <w:bCs/>
                <w:sz w:val="16"/>
                <w:szCs w:val="16"/>
              </w:rPr>
              <w:t>Catégorie de transport</w:t>
            </w:r>
            <w:r w:rsidRPr="006613C0">
              <w:rPr>
                <w:b/>
                <w:bCs/>
                <w:sz w:val="16"/>
                <w:szCs w:val="16"/>
              </w:rPr>
              <w:br/>
              <w:t>(Code de restriction en tunnels)</w:t>
            </w:r>
          </w:p>
        </w:tc>
      </w:tr>
      <w:tr w:rsidR="00391929" w:rsidRPr="005A4881" w:rsidTr="00DA53C0">
        <w:tc>
          <w:tcPr>
            <w:tcW w:w="3397" w:type="dxa"/>
            <w:tcBorders>
              <w:top w:val="nil"/>
              <w:left w:val="single" w:sz="4" w:space="0" w:color="auto"/>
              <w:bottom w:val="single" w:sz="4" w:space="0" w:color="auto"/>
              <w:right w:val="single" w:sz="4" w:space="0" w:color="auto"/>
            </w:tcBorders>
            <w:shd w:val="clear" w:color="000000" w:fill="FFFFFF"/>
            <w:hideMark/>
          </w:tcPr>
          <w:p w:rsidR="00391929" w:rsidRPr="005A4881" w:rsidRDefault="00391929" w:rsidP="00E1615A">
            <w:pPr>
              <w:suppressAutoHyphens w:val="0"/>
              <w:kinsoku/>
              <w:overflowPunct/>
              <w:autoSpaceDE/>
              <w:autoSpaceDN/>
              <w:adjustRightInd/>
              <w:snapToGrid/>
              <w:spacing w:line="240" w:lineRule="auto"/>
              <w:jc w:val="center"/>
              <w:rPr>
                <w:sz w:val="16"/>
                <w:szCs w:val="16"/>
              </w:rPr>
            </w:pPr>
            <w:r w:rsidRPr="005A4881">
              <w:rPr>
                <w:sz w:val="16"/>
                <w:szCs w:val="16"/>
              </w:rPr>
              <w:t> </w:t>
            </w:r>
          </w:p>
        </w:tc>
        <w:tc>
          <w:tcPr>
            <w:tcW w:w="2127" w:type="dxa"/>
            <w:vMerge/>
            <w:tcBorders>
              <w:bottom w:val="single" w:sz="4" w:space="0" w:color="auto"/>
              <w:right w:val="single" w:sz="4" w:space="0" w:color="auto"/>
            </w:tcBorders>
          </w:tcPr>
          <w:p w:rsidR="00391929" w:rsidRPr="006613C0" w:rsidRDefault="00391929" w:rsidP="00E1615A">
            <w:pPr>
              <w:jc w:val="center"/>
              <w:rPr>
                <w:b/>
                <w:bCs/>
                <w:sz w:val="16"/>
                <w:szCs w:val="16"/>
              </w:rPr>
            </w:pPr>
          </w:p>
        </w:tc>
      </w:tr>
      <w:tr w:rsidR="00E1615A" w:rsidRPr="00B041FB" w:rsidTr="00E1615A">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E1615A" w:rsidRPr="000C7880" w:rsidRDefault="00E1615A" w:rsidP="00E1615A">
            <w:pPr>
              <w:rPr>
                <w:lang w:val="de-CH"/>
              </w:rPr>
            </w:pPr>
            <w:r w:rsidRPr="000C7880">
              <w:t xml:space="preserve">1202 </w:t>
            </w:r>
          </w:p>
        </w:tc>
        <w:tc>
          <w:tcPr>
            <w:tcW w:w="2127" w:type="dxa"/>
            <w:tcBorders>
              <w:top w:val="single" w:sz="4" w:space="0" w:color="auto"/>
              <w:bottom w:val="single" w:sz="4" w:space="0" w:color="auto"/>
              <w:right w:val="single" w:sz="4" w:space="0" w:color="auto"/>
            </w:tcBorders>
          </w:tcPr>
          <w:p w:rsidR="00E1615A" w:rsidRDefault="00E1615A" w:rsidP="00E1615A">
            <w:pPr>
              <w:jc w:val="center"/>
              <w:rPr>
                <w:b/>
                <w:bCs/>
                <w:sz w:val="16"/>
                <w:szCs w:val="16"/>
              </w:rPr>
            </w:pPr>
            <w:r>
              <w:rPr>
                <w:sz w:val="16"/>
                <w:szCs w:val="16"/>
              </w:rPr>
              <w:t>3</w:t>
            </w:r>
            <w:r>
              <w:rPr>
                <w:sz w:val="16"/>
                <w:szCs w:val="16"/>
              </w:rPr>
              <w:br/>
              <w:t>(D/E)</w:t>
            </w:r>
          </w:p>
        </w:tc>
      </w:tr>
      <w:tr w:rsidR="00E1615A" w:rsidRPr="00B041FB" w:rsidTr="00E1615A">
        <w:tc>
          <w:tcPr>
            <w:tcW w:w="3397" w:type="dxa"/>
            <w:tcBorders>
              <w:top w:val="single" w:sz="4" w:space="0" w:color="auto"/>
              <w:left w:val="single" w:sz="4" w:space="0" w:color="auto"/>
              <w:bottom w:val="single" w:sz="4" w:space="0" w:color="auto"/>
              <w:right w:val="single" w:sz="4" w:space="0" w:color="auto"/>
            </w:tcBorders>
            <w:shd w:val="clear" w:color="000000" w:fill="FFFFFF"/>
          </w:tcPr>
          <w:p w:rsidR="00E1615A" w:rsidRPr="000C7880" w:rsidRDefault="00E1615A" w:rsidP="00E1615A">
            <w:r>
              <w:t>1203</w:t>
            </w:r>
          </w:p>
        </w:tc>
        <w:tc>
          <w:tcPr>
            <w:tcW w:w="2127" w:type="dxa"/>
            <w:tcBorders>
              <w:top w:val="single" w:sz="4" w:space="0" w:color="auto"/>
              <w:bottom w:val="single" w:sz="4" w:space="0" w:color="auto"/>
              <w:right w:val="single" w:sz="4" w:space="0" w:color="auto"/>
            </w:tcBorders>
          </w:tcPr>
          <w:p w:rsidR="00E1615A" w:rsidRDefault="00E1615A" w:rsidP="00E1615A">
            <w:pPr>
              <w:jc w:val="center"/>
              <w:rPr>
                <w:sz w:val="16"/>
                <w:szCs w:val="16"/>
              </w:rPr>
            </w:pPr>
            <w:r>
              <w:rPr>
                <w:sz w:val="16"/>
                <w:szCs w:val="16"/>
              </w:rPr>
              <w:t>2</w:t>
            </w:r>
            <w:r>
              <w:rPr>
                <w:sz w:val="16"/>
                <w:szCs w:val="16"/>
              </w:rPr>
              <w:br/>
              <w:t>(D/E))</w:t>
            </w:r>
          </w:p>
        </w:tc>
      </w:tr>
      <w:tr w:rsidR="00E1615A" w:rsidRPr="00B041FB" w:rsidTr="00E1615A">
        <w:tc>
          <w:tcPr>
            <w:tcW w:w="3397" w:type="dxa"/>
            <w:tcBorders>
              <w:top w:val="nil"/>
              <w:left w:val="single" w:sz="4" w:space="0" w:color="auto"/>
              <w:bottom w:val="single" w:sz="4" w:space="0" w:color="auto"/>
              <w:right w:val="single" w:sz="4" w:space="0" w:color="auto"/>
            </w:tcBorders>
            <w:shd w:val="clear" w:color="000000" w:fill="FFFFFF"/>
            <w:hideMark/>
          </w:tcPr>
          <w:p w:rsidR="00E1615A" w:rsidRPr="000C7880" w:rsidRDefault="00E1615A" w:rsidP="00E1615A">
            <w:r w:rsidRPr="000C7880">
              <w:t>1965, 1971 et 1972</w:t>
            </w:r>
          </w:p>
        </w:tc>
        <w:tc>
          <w:tcPr>
            <w:tcW w:w="2127" w:type="dxa"/>
            <w:tcBorders>
              <w:top w:val="single" w:sz="4" w:space="0" w:color="auto"/>
              <w:bottom w:val="single" w:sz="4" w:space="0" w:color="auto"/>
              <w:right w:val="single" w:sz="4" w:space="0" w:color="auto"/>
            </w:tcBorders>
          </w:tcPr>
          <w:p w:rsidR="00E1615A" w:rsidRPr="009F7F1E" w:rsidRDefault="00E1615A" w:rsidP="00E1615A">
            <w:pPr>
              <w:jc w:val="center"/>
              <w:rPr>
                <w:sz w:val="16"/>
                <w:szCs w:val="16"/>
              </w:rPr>
            </w:pPr>
            <w:r>
              <w:rPr>
                <w:sz w:val="16"/>
                <w:szCs w:val="16"/>
              </w:rPr>
              <w:t>2</w:t>
            </w:r>
            <w:r>
              <w:rPr>
                <w:sz w:val="16"/>
                <w:szCs w:val="16"/>
              </w:rPr>
              <w:br/>
              <w:t>(B/D)</w:t>
            </w:r>
          </w:p>
        </w:tc>
      </w:tr>
      <w:tr w:rsidR="00E1615A" w:rsidRPr="00B041FB" w:rsidTr="00E1615A">
        <w:tc>
          <w:tcPr>
            <w:tcW w:w="3397" w:type="dxa"/>
            <w:tcBorders>
              <w:top w:val="nil"/>
              <w:left w:val="single" w:sz="4" w:space="0" w:color="auto"/>
              <w:bottom w:val="single" w:sz="4" w:space="0" w:color="auto"/>
              <w:right w:val="single" w:sz="4" w:space="0" w:color="auto"/>
            </w:tcBorders>
            <w:shd w:val="clear" w:color="000000" w:fill="FFFFFF"/>
            <w:hideMark/>
          </w:tcPr>
          <w:p w:rsidR="00E1615A" w:rsidRPr="000C7880" w:rsidRDefault="00E1615A" w:rsidP="00E1615A">
            <w:r w:rsidRPr="000C7880">
              <w:t>2794, 2795 et 2800</w:t>
            </w:r>
          </w:p>
        </w:tc>
        <w:tc>
          <w:tcPr>
            <w:tcW w:w="2127" w:type="dxa"/>
            <w:tcBorders>
              <w:top w:val="single" w:sz="4" w:space="0" w:color="auto"/>
              <w:bottom w:val="single" w:sz="4" w:space="0" w:color="auto"/>
              <w:right w:val="single" w:sz="4" w:space="0" w:color="auto"/>
            </w:tcBorders>
          </w:tcPr>
          <w:p w:rsidR="00E1615A" w:rsidRDefault="00E1615A" w:rsidP="00E1615A">
            <w:pPr>
              <w:jc w:val="center"/>
              <w:rPr>
                <w:sz w:val="16"/>
                <w:szCs w:val="16"/>
              </w:rPr>
            </w:pPr>
            <w:r>
              <w:rPr>
                <w:sz w:val="16"/>
                <w:szCs w:val="16"/>
              </w:rPr>
              <w:t>3</w:t>
            </w:r>
            <w:r>
              <w:rPr>
                <w:sz w:val="16"/>
                <w:szCs w:val="16"/>
              </w:rPr>
              <w:br/>
              <w:t>(E)</w:t>
            </w:r>
          </w:p>
        </w:tc>
      </w:tr>
      <w:tr w:rsidR="00E1615A" w:rsidRPr="009F7F1E" w:rsidTr="00E1615A">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E1615A" w:rsidRPr="000C7880" w:rsidRDefault="00E1615A" w:rsidP="00E1615A">
            <w:r>
              <w:t>3090, 3091, 3480 et 3481</w:t>
            </w:r>
          </w:p>
        </w:tc>
        <w:tc>
          <w:tcPr>
            <w:tcW w:w="2127" w:type="dxa"/>
            <w:tcBorders>
              <w:top w:val="single" w:sz="4" w:space="0" w:color="auto"/>
              <w:bottom w:val="single" w:sz="4" w:space="0" w:color="auto"/>
              <w:right w:val="single" w:sz="4" w:space="0" w:color="auto"/>
            </w:tcBorders>
          </w:tcPr>
          <w:p w:rsidR="00E1615A" w:rsidRDefault="00E1615A" w:rsidP="00E1615A">
            <w:pPr>
              <w:jc w:val="center"/>
              <w:rPr>
                <w:sz w:val="16"/>
                <w:szCs w:val="16"/>
              </w:rPr>
            </w:pPr>
            <w:r>
              <w:rPr>
                <w:sz w:val="16"/>
                <w:szCs w:val="16"/>
              </w:rPr>
              <w:t>2</w:t>
            </w:r>
            <w:r>
              <w:rPr>
                <w:sz w:val="16"/>
                <w:szCs w:val="16"/>
              </w:rPr>
              <w:br/>
              <w:t>(E)</w:t>
            </w:r>
          </w:p>
        </w:tc>
      </w:tr>
      <w:tr w:rsidR="00E1615A" w:rsidRPr="006613C0" w:rsidTr="00E1615A">
        <w:tc>
          <w:tcPr>
            <w:tcW w:w="3397" w:type="dxa"/>
            <w:tcBorders>
              <w:top w:val="nil"/>
              <w:left w:val="single" w:sz="4" w:space="0" w:color="auto"/>
              <w:bottom w:val="single" w:sz="4" w:space="0" w:color="auto"/>
              <w:right w:val="single" w:sz="4" w:space="0" w:color="auto"/>
            </w:tcBorders>
            <w:shd w:val="clear" w:color="000000" w:fill="FFFFFF"/>
          </w:tcPr>
          <w:p w:rsidR="00E1615A" w:rsidRPr="009F7F1E" w:rsidRDefault="00E1615A" w:rsidP="00E1615A">
            <w:pPr>
              <w:suppressAutoHyphens w:val="0"/>
              <w:kinsoku/>
              <w:overflowPunct/>
              <w:autoSpaceDE/>
              <w:autoSpaceDN/>
              <w:adjustRightInd/>
              <w:snapToGrid/>
              <w:spacing w:line="240" w:lineRule="auto"/>
            </w:pPr>
            <w:r w:rsidRPr="009F7F1E">
              <w:t>3468</w:t>
            </w:r>
          </w:p>
        </w:tc>
        <w:tc>
          <w:tcPr>
            <w:tcW w:w="2127" w:type="dxa"/>
            <w:tcBorders>
              <w:top w:val="single" w:sz="4" w:space="0" w:color="auto"/>
              <w:bottom w:val="single" w:sz="4" w:space="0" w:color="auto"/>
              <w:right w:val="single" w:sz="4" w:space="0" w:color="auto"/>
            </w:tcBorders>
          </w:tcPr>
          <w:p w:rsidR="00E1615A" w:rsidRPr="006613C0" w:rsidRDefault="00E1615A" w:rsidP="00E1615A">
            <w:pPr>
              <w:jc w:val="center"/>
              <w:rPr>
                <w:sz w:val="16"/>
                <w:szCs w:val="16"/>
              </w:rPr>
            </w:pPr>
            <w:r>
              <w:rPr>
                <w:sz w:val="16"/>
                <w:szCs w:val="16"/>
              </w:rPr>
              <w:t>2</w:t>
            </w:r>
          </w:p>
          <w:p w:rsidR="00E1615A" w:rsidRPr="006613C0" w:rsidRDefault="00E1615A" w:rsidP="00E1615A">
            <w:pPr>
              <w:jc w:val="center"/>
              <w:rPr>
                <w:sz w:val="16"/>
                <w:szCs w:val="16"/>
              </w:rPr>
            </w:pPr>
            <w:r w:rsidRPr="006613C0">
              <w:rPr>
                <w:sz w:val="16"/>
                <w:szCs w:val="16"/>
              </w:rPr>
              <w:t>(</w:t>
            </w:r>
            <w:r>
              <w:rPr>
                <w:sz w:val="16"/>
                <w:szCs w:val="16"/>
              </w:rPr>
              <w:t>D</w:t>
            </w:r>
            <w:r w:rsidRPr="006613C0">
              <w:rPr>
                <w:sz w:val="16"/>
                <w:szCs w:val="16"/>
              </w:rPr>
              <w:t>)</w:t>
            </w:r>
          </w:p>
        </w:tc>
      </w:tr>
    </w:tbl>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pStyle w:val="SingleTxtG"/>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E1615A" w:rsidP="00E1615A">
      <w:pPr>
        <w:suppressAutoHyphens w:val="0"/>
        <w:kinsoku/>
        <w:overflowPunct/>
        <w:autoSpaceDE/>
        <w:autoSpaceDN/>
        <w:adjustRightInd/>
        <w:snapToGrid/>
        <w:spacing w:line="240" w:lineRule="auto"/>
      </w:pPr>
    </w:p>
    <w:p w:rsidR="00E1615A" w:rsidRDefault="00391929" w:rsidP="00E1615A">
      <w:pPr>
        <w:pStyle w:val="SingleTxtG"/>
      </w:pPr>
      <w:r>
        <w:t>5</w:t>
      </w:r>
      <w:r w:rsidR="00E1615A">
        <w:t>.</w:t>
      </w:r>
      <w:r w:rsidR="00E1615A">
        <w:tab/>
        <w:t>Tous ces types de marchandises dangereuses peuvent se trouver sur un véhicule, dans un moteur ou une machine et chaque type devrait en principe avoir un code de restriction en tunnel spécifique qui tient compte du carburant.</w:t>
      </w:r>
    </w:p>
    <w:p w:rsidR="00E1615A" w:rsidRDefault="00391929" w:rsidP="00E1615A">
      <w:pPr>
        <w:pStyle w:val="SingleTxtG"/>
      </w:pPr>
      <w:r>
        <w:t>6</w:t>
      </w:r>
      <w:r w:rsidR="00E1615A">
        <w:t>.</w:t>
      </w:r>
      <w:r w:rsidR="00E1615A">
        <w:tab/>
        <w:t xml:space="preserve">Pour décider l’attribution d’un code de restriction en tunnel il faut également prendre en compte le champ d’application des restrictions. Dans le cas des véhicules il faut considérer la définition de ceux-ci qui figure dans les </w:t>
      </w:r>
      <w:r>
        <w:t xml:space="preserve">dispositions spéciales </w:t>
      </w:r>
      <w:r w:rsidR="00E1615A">
        <w:t xml:space="preserve">240 et 385. Celles-ci incluent les locomotives, les bateaux et les aéronefs qui peuvent contenir des quantités considérables de carburants. Dans le cas des machines et moteurs il faut d’une part considérer qu’elles peuvent contenir des quantités illimitées de carburants selon la </w:t>
      </w:r>
      <w:r>
        <w:t xml:space="preserve">disposition spéciale </w:t>
      </w:r>
      <w:r w:rsidR="00E1615A">
        <w:t xml:space="preserve">363 et d’autre part qu’il existe une instruction d’emballage P005 pour les moteurs et machines qui ne remplissent pas les conditions d’exemption de la disposition spéciale 363. Par conséquent les véhicules qui ne satisfont pas aux conditions d’exemption de la </w:t>
      </w:r>
      <w:r>
        <w:t xml:space="preserve">disposition spéciale </w:t>
      </w:r>
      <w:r w:rsidR="00E1615A">
        <w:t xml:space="preserve">666 et les moteurs et les machines qui ne remplissent pas celles de la </w:t>
      </w:r>
      <w:r>
        <w:t xml:space="preserve">disposition spéciale </w:t>
      </w:r>
      <w:r w:rsidR="00E1615A">
        <w:t>363 sont soumis à toutes les prescriptions de l’ADR et dans ce cas les unités de transport doivent porter une signalisation orange. Pour ces cas les restrictions de passage dans les tunnels doivent être définies en colonne (15) du tableau A du chapitre 3.2.</w:t>
      </w:r>
    </w:p>
    <w:p w:rsidR="00E1615A" w:rsidRDefault="00391929" w:rsidP="00E1615A">
      <w:pPr>
        <w:pStyle w:val="SingleTxtG"/>
      </w:pPr>
      <w:r>
        <w:t>7</w:t>
      </w:r>
      <w:r w:rsidR="00E1615A">
        <w:t>.</w:t>
      </w:r>
      <w:r w:rsidR="00E1615A">
        <w:tab/>
        <w:t xml:space="preserve">Prenant en compte les carburants qui figurent au point 3 ci-dessus et en appliquant les conditions les plus strictes, pour les véhicules du Nos ONU 3166, qui peuvent contenir des moteurs hybrides, il faut appliquer une catégorie de transport 2 et  un code de restriction en tunnel (B/D); pour les véhicules du No ONU 3171 qui ne contiennent que des </w:t>
      </w:r>
      <w:r w:rsidR="00E1615A" w:rsidRPr="003C4DF9">
        <w:t xml:space="preserve">accumulateurs à électrolyte liquide ou des batteries au sodium ou </w:t>
      </w:r>
      <w:r w:rsidR="00E1615A">
        <w:t>de</w:t>
      </w:r>
      <w:r w:rsidR="00E1615A" w:rsidRPr="003C4DF9">
        <w:t xml:space="preserve">s batteries au lithium métal ou au lithium ionique et </w:t>
      </w:r>
      <w:r w:rsidR="00E1615A">
        <w:t>des</w:t>
      </w:r>
      <w:r w:rsidR="00E1615A" w:rsidRPr="003C4DF9">
        <w:t xml:space="preserve"> équipements mus par des accumulateurs à électrolyte liquide ou des batteries au sodium, </w:t>
      </w:r>
      <w:r w:rsidR="00E1615A">
        <w:t xml:space="preserve">on doit appliquer la catégorie de transport 2 et le code de restriction en tunnel (E). Pour les moteurs et les machines des Nos ONU 3528, 3529 et 3530 nous obtenons selon les mêmes données pour les Nos ONU 3528 et 3529 les catégories de transport 2 et les codes de restrictions en tunnels (D/E) et (B/D) et pour le No ONU 3530 la catégorie de transport 3 et le code de restriction en tunnels (E). </w:t>
      </w:r>
    </w:p>
    <w:p w:rsidR="00E1615A" w:rsidRDefault="00E1615A" w:rsidP="00E1615A">
      <w:pPr>
        <w:pStyle w:val="HChG"/>
      </w:pPr>
      <w:r>
        <w:tab/>
      </w:r>
      <w:r>
        <w:tab/>
        <w:t>Proposition</w:t>
      </w:r>
    </w:p>
    <w:p w:rsidR="00E1615A" w:rsidRDefault="00391929" w:rsidP="00E1615A">
      <w:pPr>
        <w:pStyle w:val="SingleTxtG"/>
      </w:pPr>
      <w:r>
        <w:t>8</w:t>
      </w:r>
      <w:r w:rsidR="00E1615A">
        <w:t>.</w:t>
      </w:r>
      <w:r w:rsidR="00E1615A">
        <w:tab/>
        <w:t xml:space="preserve">Pour les rubriques 3166, 3171 et 3528 à 3530, </w:t>
      </w:r>
      <w:r>
        <w:t>ajouter</w:t>
      </w:r>
      <w:r w:rsidR="00E1615A">
        <w:t xml:space="preserve"> en colonne 15 du tableau A du chapitre 3.2</w:t>
      </w:r>
      <w:r>
        <w:t>,</w:t>
      </w:r>
      <w:r w:rsidR="00E1615A">
        <w:t xml:space="preserve"> </w:t>
      </w:r>
      <w:r>
        <w:t xml:space="preserve">les catégories de transport et </w:t>
      </w:r>
      <w:r w:rsidR="00E1615A">
        <w:t>les codes de restriction en tunnels suivants:</w:t>
      </w:r>
    </w:p>
    <w:p w:rsidR="00E1615A" w:rsidRDefault="00E1615A" w:rsidP="00E1615A">
      <w:pPr>
        <w:ind w:left="1134"/>
      </w:pP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5"/>
        <w:gridCol w:w="2977"/>
        <w:gridCol w:w="436"/>
        <w:gridCol w:w="497"/>
        <w:gridCol w:w="286"/>
        <w:gridCol w:w="287"/>
        <w:gridCol w:w="429"/>
        <w:gridCol w:w="390"/>
        <w:gridCol w:w="390"/>
        <w:gridCol w:w="530"/>
        <w:gridCol w:w="424"/>
        <w:gridCol w:w="584"/>
        <w:gridCol w:w="407"/>
        <w:gridCol w:w="407"/>
        <w:gridCol w:w="407"/>
        <w:gridCol w:w="407"/>
        <w:gridCol w:w="407"/>
      </w:tblGrid>
      <w:tr w:rsidR="00E1615A" w:rsidTr="00E85E06">
        <w:trPr>
          <w:cantSplit/>
          <w:tblHead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bCs/>
                <w:sz w:val="18"/>
                <w:szCs w:val="18"/>
              </w:rPr>
            </w:pPr>
            <w:r>
              <w:rPr>
                <w:bCs/>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bCs/>
                <w:sz w:val="18"/>
                <w:szCs w:val="18"/>
              </w:rPr>
            </w:pPr>
            <w:r>
              <w:rPr>
                <w:bCs/>
                <w:sz w:val="18"/>
                <w:szCs w:val="18"/>
              </w:rPr>
              <w:t>(2)</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bCs/>
                <w:sz w:val="18"/>
                <w:szCs w:val="18"/>
              </w:rPr>
            </w:pPr>
            <w:r>
              <w:rPr>
                <w:bCs/>
                <w:sz w:val="18"/>
                <w:szCs w:val="18"/>
              </w:rPr>
              <w:t>(3a)</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bCs/>
                <w:sz w:val="18"/>
                <w:szCs w:val="18"/>
              </w:rPr>
            </w:pPr>
            <w:r>
              <w:rPr>
                <w:bCs/>
                <w:sz w:val="18"/>
                <w:szCs w:val="18"/>
              </w:rPr>
              <w:t>(3b)</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bCs/>
                <w:sz w:val="18"/>
                <w:szCs w:val="18"/>
              </w:rPr>
            </w:pPr>
            <w:r>
              <w:rPr>
                <w:bCs/>
                <w:sz w:val="18"/>
                <w:szCs w:val="18"/>
              </w:rPr>
              <w:t>(4)</w:t>
            </w:r>
          </w:p>
        </w:tc>
        <w:tc>
          <w:tcPr>
            <w:tcW w:w="28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sz w:val="18"/>
                <w:szCs w:val="18"/>
              </w:rPr>
            </w:pPr>
            <w:r>
              <w:rPr>
                <w:bCs/>
                <w:sz w:val="18"/>
                <w:szCs w:val="18"/>
              </w:rPr>
              <w:t>(5)</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bCs/>
                <w:sz w:val="18"/>
                <w:szCs w:val="18"/>
              </w:rPr>
            </w:pPr>
            <w:r>
              <w:rPr>
                <w:bCs/>
                <w:sz w:val="18"/>
                <w:szCs w:val="18"/>
              </w:rPr>
              <w:t>(6)</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(7a)</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(7b)</w:t>
            </w:r>
          </w:p>
        </w:tc>
        <w:tc>
          <w:tcPr>
            <w:tcW w:w="53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(8)</w:t>
            </w:r>
          </w:p>
        </w:tc>
        <w:tc>
          <w:tcPr>
            <w:tcW w:w="42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(15)</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(16)</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(17)</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(18)</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(19)</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Cs/>
                <w:iCs/>
                <w:sz w:val="18"/>
                <w:szCs w:val="18"/>
              </w:rPr>
            </w:pPr>
            <w:r>
              <w:rPr>
                <w:bCs/>
                <w:iCs/>
                <w:sz w:val="18"/>
                <w:szCs w:val="18"/>
              </w:rPr>
              <w:t>(20)</w:t>
            </w:r>
          </w:p>
        </w:tc>
      </w:tr>
      <w:tr w:rsidR="00E1615A" w:rsidTr="00E85E06">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rPr>
                <w:sz w:val="18"/>
                <w:szCs w:val="18"/>
              </w:rPr>
            </w:pPr>
            <w:r>
              <w:rPr>
                <w:sz w:val="18"/>
                <w:szCs w:val="18"/>
              </w:rPr>
              <w:t>3166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rPr>
                <w:sz w:val="18"/>
                <w:szCs w:val="18"/>
              </w:rPr>
            </w:pPr>
            <w:r w:rsidRPr="003C4DF9">
              <w:rPr>
                <w:sz w:val="16"/>
                <w:szCs w:val="16"/>
              </w:rPr>
              <w:t>VÉHICULE À PROPULSION PAR GAZ INFLAMMABLE ou VÉHICULE À PROPULSION PAR LIQUIDE INFLAMMABLE ou VÉHICULE À PROPULSION PAR PILE À COMBUSTIBLE CONTENANT DU GAZ INFLAMMABLE ou VÉHICULE À PROPULSION PAR PILE À COMBUSTIBLE CONTENANT DU LIQUIDE INFLAMMABLE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jc w:val="center"/>
              <w:rPr>
                <w:sz w:val="18"/>
                <w:szCs w:val="18"/>
              </w:rPr>
            </w:pPr>
            <w:r>
              <w:rPr>
                <w:sz w:val="18"/>
                <w:szCs w:val="18"/>
              </w:rPr>
              <w:t>M11</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jc w:val="center"/>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E1615A" w:rsidRDefault="00E1615A" w:rsidP="00E85E06">
            <w:pPr>
              <w:spacing w:line="240" w:lineRule="auto"/>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rPr>
            </w:pPr>
            <w:r>
              <w:rPr>
                <w:sz w:val="18"/>
                <w:szCs w:val="18"/>
              </w:rPr>
              <w:t>312</w:t>
            </w:r>
            <w:r>
              <w:rPr>
                <w:sz w:val="18"/>
                <w:szCs w:val="18"/>
              </w:rPr>
              <w:br/>
              <w:t>385</w:t>
            </w:r>
            <w:r>
              <w:rPr>
                <w:sz w:val="18"/>
                <w:szCs w:val="18"/>
              </w:rPr>
              <w:br/>
              <w:t>666</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3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2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B/D</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r>
      <w:tr w:rsidR="00E1615A" w:rsidTr="00E85E06">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rPr>
                <w:sz w:val="18"/>
                <w:szCs w:val="18"/>
              </w:rPr>
            </w:pPr>
            <w:r>
              <w:rPr>
                <w:sz w:val="18"/>
                <w:szCs w:val="18"/>
              </w:rPr>
              <w:t>3171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rPr>
                <w:sz w:val="18"/>
                <w:szCs w:val="18"/>
              </w:rPr>
            </w:pPr>
            <w:r w:rsidRPr="003C4DF9">
              <w:rPr>
                <w:sz w:val="16"/>
                <w:szCs w:val="16"/>
              </w:rPr>
              <w:t>APPAREIL MÛ PAR ACCUMULATEURS ou VÉHICULE MÛ PAR ACCUMULATEURS</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jc w:val="center"/>
              <w:rPr>
                <w:sz w:val="18"/>
                <w:szCs w:val="18"/>
              </w:rPr>
            </w:pPr>
            <w:r>
              <w:rPr>
                <w:sz w:val="18"/>
                <w:szCs w:val="18"/>
              </w:rPr>
              <w:t>M11</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pacing w:line="240" w:lineRule="auto"/>
              <w:jc w:val="center"/>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E1615A" w:rsidRDefault="00E1615A" w:rsidP="00E85E06">
            <w:pPr>
              <w:spacing w:line="240" w:lineRule="auto"/>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rPr>
            </w:pPr>
            <w:r>
              <w:rPr>
                <w:sz w:val="18"/>
                <w:szCs w:val="18"/>
              </w:rPr>
              <w:t>240</w:t>
            </w:r>
            <w:r>
              <w:rPr>
                <w:sz w:val="18"/>
                <w:szCs w:val="18"/>
              </w:rPr>
              <w:br/>
              <w:t>666</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3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2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r>
      <w:tr w:rsidR="00E1615A" w:rsidTr="00E85E06">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rPr>
                <w:sz w:val="18"/>
                <w:szCs w:val="18"/>
              </w:rPr>
            </w:pPr>
            <w:r>
              <w:rPr>
                <w:sz w:val="18"/>
                <w:szCs w:val="18"/>
              </w:rPr>
              <w:lastRenderedPageBreak/>
              <w:t>3528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pStyle w:val="SingleTxtG"/>
              <w:spacing w:after="0" w:line="240" w:lineRule="auto"/>
              <w:ind w:left="0" w:right="0"/>
              <w:jc w:val="left"/>
              <w:rPr>
                <w:sz w:val="18"/>
                <w:szCs w:val="18"/>
              </w:rPr>
            </w:pPr>
            <w:r>
              <w:rPr>
                <w:sz w:val="18"/>
                <w:szCs w:val="18"/>
              </w:rPr>
              <w:t>MOTEUR À COMBUSTION INTERNE FONCTIONNANT AU LIQUIDE INFLAMMABLE ou MOTEUR PILE À COMBUSTIBLE CONTENANT DU LIQUIDE INFLAMMABLE ou MACHINE À COMBUSTION INTERNE FONCTIONNANT AU LIQUIDE INFLAMMABLE ou MACHINE PILE À COMBUSTIBLE CONTENANT DU LIQUIDE INFLAMMABLE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rPr>
            </w:pPr>
            <w:r>
              <w:rPr>
                <w:sz w:val="18"/>
                <w:szCs w:val="18"/>
              </w:rPr>
              <w:t>3</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3</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D/E</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r>
      <w:tr w:rsidR="00E1615A" w:rsidTr="00E85E06">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rPr>
                <w:sz w:val="18"/>
                <w:szCs w:val="18"/>
              </w:rPr>
            </w:pPr>
            <w:r>
              <w:rPr>
                <w:sz w:val="18"/>
                <w:szCs w:val="18"/>
              </w:rPr>
              <w:t>3529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rPr>
                <w:sz w:val="18"/>
                <w:szCs w:val="18"/>
                <w:lang w:val="fr-FR"/>
              </w:rPr>
            </w:pPr>
            <w:r>
              <w:rPr>
                <w:sz w:val="18"/>
                <w:szCs w:val="18"/>
                <w:lang w:val="fr-FR"/>
              </w:rPr>
              <w:t xml:space="preserve">MOTEUR À COMBUSTION INTERNE </w:t>
            </w:r>
            <w:r>
              <w:rPr>
                <w:sz w:val="18"/>
                <w:szCs w:val="18"/>
              </w:rPr>
              <w:t>FONCTIONNANT AU</w:t>
            </w:r>
            <w:r>
              <w:rPr>
                <w:sz w:val="18"/>
                <w:szCs w:val="18"/>
                <w:lang w:val="fr-FR"/>
              </w:rPr>
              <w:t xml:space="preserve"> GAZ INFLAMMABLE ou </w:t>
            </w:r>
            <w:r>
              <w:rPr>
                <w:sz w:val="18"/>
                <w:szCs w:val="18"/>
              </w:rPr>
              <w:t xml:space="preserve">MOTEUR PILE À COMBUSTIBLE CONTENANT DU GAZ INFLAMMABLE </w:t>
            </w:r>
            <w:r>
              <w:rPr>
                <w:sz w:val="18"/>
                <w:szCs w:val="18"/>
                <w:lang w:val="fr-FR"/>
              </w:rPr>
              <w:t xml:space="preserve">ou </w:t>
            </w:r>
            <w:r>
              <w:rPr>
                <w:sz w:val="18"/>
                <w:szCs w:val="18"/>
              </w:rPr>
              <w:t>MACHINE À COMBUSTION INTERNE FONCTIONNANT AU GAZ INFLAMMABLE ou MACHINE PILE À COMBUSTIBLE CONTENANT DU GAZ INFLAMMABLE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rPr>
            </w:pPr>
            <w:r>
              <w:rPr>
                <w:sz w:val="18"/>
                <w:szCs w:val="18"/>
              </w:rPr>
              <w:t>2</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2.1</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B/D</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r>
      <w:tr w:rsidR="00E1615A" w:rsidTr="00E85E06">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rPr>
                <w:sz w:val="18"/>
                <w:szCs w:val="18"/>
              </w:rPr>
            </w:pPr>
            <w:r>
              <w:rPr>
                <w:sz w:val="18"/>
                <w:szCs w:val="18"/>
              </w:rPr>
              <w:t>3530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rPr>
                <w:sz w:val="18"/>
                <w:szCs w:val="18"/>
                <w:lang w:val="fr-FR"/>
              </w:rPr>
            </w:pPr>
            <w:r>
              <w:rPr>
                <w:sz w:val="18"/>
                <w:szCs w:val="18"/>
                <w:lang w:val="fr-FR"/>
              </w:rPr>
              <w:t xml:space="preserve">MOTEUR À COMBUSTION INTERNE ou </w:t>
            </w:r>
            <w:r>
              <w:rPr>
                <w:sz w:val="18"/>
                <w:szCs w:val="18"/>
              </w:rPr>
              <w:t>MACHINE À COMBUSTION INTERNE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9</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E1615A" w:rsidRDefault="00E1615A" w:rsidP="00E85E06">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b/>
                <w:sz w:val="18"/>
                <w:szCs w:val="18"/>
                <w:u w:val="single"/>
                <w:lang w:eastAsia="nb-NO"/>
              </w:rPr>
            </w:pPr>
            <w:r>
              <w:rPr>
                <w:b/>
                <w:sz w:val="18"/>
                <w:szCs w:val="18"/>
                <w:u w:val="single"/>
                <w:lang w:eastAsia="nb-NO"/>
              </w:rPr>
              <w:t>3</w:t>
            </w: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E1615A" w:rsidRDefault="00E1615A" w:rsidP="00E85E06">
            <w:pPr>
              <w:suppressAutoHyphens w:val="0"/>
              <w:spacing w:line="240" w:lineRule="auto"/>
              <w:jc w:val="center"/>
              <w:rPr>
                <w:sz w:val="18"/>
                <w:szCs w:val="18"/>
                <w:lang w:eastAsia="nb-NO"/>
              </w:rPr>
            </w:pPr>
          </w:p>
        </w:tc>
      </w:tr>
    </w:tbl>
    <w:p w:rsidR="000C376B" w:rsidRPr="000C376B" w:rsidRDefault="000C376B" w:rsidP="000C376B">
      <w:pPr>
        <w:pStyle w:val="SingleTxtG"/>
        <w:spacing w:before="240" w:after="0"/>
        <w:jc w:val="center"/>
        <w:rPr>
          <w:u w:val="single"/>
        </w:rPr>
      </w:pPr>
      <w:r>
        <w:rPr>
          <w:u w:val="single"/>
        </w:rPr>
        <w:tab/>
      </w:r>
      <w:r>
        <w:rPr>
          <w:u w:val="single"/>
        </w:rPr>
        <w:tab/>
      </w:r>
      <w:r>
        <w:rPr>
          <w:u w:val="single"/>
        </w:rPr>
        <w:tab/>
      </w:r>
    </w:p>
    <w:sectPr w:rsidR="000C376B" w:rsidRPr="000C376B" w:rsidSect="00DA7745">
      <w:headerReference w:type="even" r:id="rId10"/>
      <w:headerReference w:type="default" r:id="rId11"/>
      <w:footerReference w:type="even"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AF" w:rsidRDefault="002650AF" w:rsidP="00F95C08">
      <w:pPr>
        <w:spacing w:line="240" w:lineRule="auto"/>
      </w:pPr>
    </w:p>
  </w:endnote>
  <w:endnote w:type="continuationSeparator" w:id="0">
    <w:p w:rsidR="002650AF" w:rsidRPr="00AC3823" w:rsidRDefault="002650AF" w:rsidP="00AC3823">
      <w:pPr>
        <w:pStyle w:val="Footer"/>
      </w:pPr>
    </w:p>
  </w:endnote>
  <w:endnote w:type="continuationNotice" w:id="1">
    <w:p w:rsidR="002650AF" w:rsidRDefault="00265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527EAC">
      <w:rPr>
        <w:b/>
        <w:noProof/>
        <w:sz w:val="18"/>
      </w:rPr>
      <w:t>2</w:t>
    </w:r>
    <w:r w:rsidRPr="00DA7745">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AF" w:rsidRPr="00AC3823" w:rsidRDefault="002650AF" w:rsidP="00AC3823">
      <w:pPr>
        <w:pStyle w:val="Footer"/>
        <w:tabs>
          <w:tab w:val="right" w:pos="2155"/>
        </w:tabs>
        <w:spacing w:after="80" w:line="240" w:lineRule="atLeast"/>
        <w:ind w:left="680"/>
        <w:rPr>
          <w:u w:val="single"/>
        </w:rPr>
      </w:pPr>
      <w:r>
        <w:rPr>
          <w:u w:val="single"/>
        </w:rPr>
        <w:tab/>
      </w:r>
    </w:p>
  </w:footnote>
  <w:footnote w:type="continuationSeparator" w:id="0">
    <w:p w:rsidR="002650AF" w:rsidRPr="00AC3823" w:rsidRDefault="002650AF" w:rsidP="00AC3823">
      <w:pPr>
        <w:pStyle w:val="Footer"/>
        <w:tabs>
          <w:tab w:val="right" w:pos="2155"/>
        </w:tabs>
        <w:spacing w:after="80" w:line="240" w:lineRule="atLeast"/>
        <w:ind w:left="680"/>
        <w:rPr>
          <w:u w:val="single"/>
        </w:rPr>
      </w:pPr>
      <w:r>
        <w:rPr>
          <w:u w:val="single"/>
        </w:rPr>
        <w:tab/>
      </w:r>
    </w:p>
  </w:footnote>
  <w:footnote w:type="continuationNotice" w:id="1">
    <w:p w:rsidR="002650AF" w:rsidRPr="00AC3823" w:rsidRDefault="002650AF">
      <w:pPr>
        <w:spacing w:line="240" w:lineRule="auto"/>
        <w:rPr>
          <w:sz w:val="2"/>
          <w:szCs w:val="2"/>
        </w:rPr>
      </w:pPr>
    </w:p>
  </w:footnote>
  <w:footnote w:id="2">
    <w:p w:rsidR="00D105AA" w:rsidRPr="00DD3512" w:rsidRDefault="00D105AA" w:rsidP="00D105AA">
      <w:pPr>
        <w:pStyle w:val="FootnoteText"/>
        <w:tabs>
          <w:tab w:val="clear" w:pos="1021"/>
        </w:tabs>
        <w:ind w:left="1418" w:hanging="284"/>
        <w:rPr>
          <w:lang w:val="fr-FR"/>
        </w:rPr>
      </w:pPr>
      <w:r>
        <w:rPr>
          <w:rStyle w:val="FootnoteReference"/>
        </w:rPr>
        <w:footnoteRef/>
      </w:r>
      <w:r>
        <w:t xml:space="preserve"> </w:t>
      </w:r>
      <w:r>
        <w:tab/>
      </w:r>
      <w:r w:rsidRPr="00DD3512">
        <w:rPr>
          <w:color w:val="000000"/>
          <w:shd w:val="clear" w:color="auto" w:fill="FFFFFF"/>
        </w:rPr>
        <w:t>Conformément au projet de programme de travail du Comité des Transports Intérieurs pour 2016- 2017, (ECE/TRANS/WP.15/2015/19 (9.2))</w:t>
      </w:r>
      <w:r>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pPr>
      <w:pStyle w:val="Header"/>
    </w:pPr>
    <w:r>
      <w:t>ECE/TRANS/WP.15/201</w:t>
    </w:r>
    <w:r w:rsidR="00E9755E">
      <w:t>6</w:t>
    </w:r>
    <w:r>
      <w:t>/</w:t>
    </w:r>
    <w:r w:rsidR="00E1615A">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rsidP="00DA7745">
    <w:pPr>
      <w:pStyle w:val="Header"/>
      <w:jc w:val="right"/>
    </w:pPr>
    <w:r>
      <w:t>ECE/TRANS/WP.15/201</w:t>
    </w:r>
    <w:r w:rsidR="00E9755E">
      <w:t>6</w:t>
    </w:r>
    <w:r>
      <w:t>/</w:t>
    </w:r>
    <w:r w:rsidR="00E1615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17F94"/>
    <w:rsid w:val="00023842"/>
    <w:rsid w:val="000334F9"/>
    <w:rsid w:val="0007796D"/>
    <w:rsid w:val="000B7790"/>
    <w:rsid w:val="000C376B"/>
    <w:rsid w:val="00111F2F"/>
    <w:rsid w:val="0014365E"/>
    <w:rsid w:val="00143C66"/>
    <w:rsid w:val="00176178"/>
    <w:rsid w:val="00185A1D"/>
    <w:rsid w:val="001F525A"/>
    <w:rsid w:val="00223272"/>
    <w:rsid w:val="0024779E"/>
    <w:rsid w:val="00251867"/>
    <w:rsid w:val="00257168"/>
    <w:rsid w:val="002650AF"/>
    <w:rsid w:val="002744B8"/>
    <w:rsid w:val="002832AC"/>
    <w:rsid w:val="002D7C93"/>
    <w:rsid w:val="002E3CDC"/>
    <w:rsid w:val="00305801"/>
    <w:rsid w:val="003916DE"/>
    <w:rsid w:val="00391929"/>
    <w:rsid w:val="003C17BE"/>
    <w:rsid w:val="004140B7"/>
    <w:rsid w:val="00427080"/>
    <w:rsid w:val="00441C3B"/>
    <w:rsid w:val="00446FE5"/>
    <w:rsid w:val="00452396"/>
    <w:rsid w:val="00460713"/>
    <w:rsid w:val="004837D8"/>
    <w:rsid w:val="004E468C"/>
    <w:rsid w:val="00527EAC"/>
    <w:rsid w:val="005505B7"/>
    <w:rsid w:val="00573BE5"/>
    <w:rsid w:val="00586ED3"/>
    <w:rsid w:val="00596AA9"/>
    <w:rsid w:val="0071601D"/>
    <w:rsid w:val="007643B0"/>
    <w:rsid w:val="007663BB"/>
    <w:rsid w:val="007A62E6"/>
    <w:rsid w:val="007C3E6F"/>
    <w:rsid w:val="007F20FA"/>
    <w:rsid w:val="0080684C"/>
    <w:rsid w:val="00806B9F"/>
    <w:rsid w:val="00871C75"/>
    <w:rsid w:val="008776DC"/>
    <w:rsid w:val="008C0D21"/>
    <w:rsid w:val="00922B83"/>
    <w:rsid w:val="009705C8"/>
    <w:rsid w:val="009C1CF4"/>
    <w:rsid w:val="009F6B74"/>
    <w:rsid w:val="00A20AFA"/>
    <w:rsid w:val="00A30353"/>
    <w:rsid w:val="00A42A4A"/>
    <w:rsid w:val="00AC3823"/>
    <w:rsid w:val="00AE323C"/>
    <w:rsid w:val="00AF0CB5"/>
    <w:rsid w:val="00B00181"/>
    <w:rsid w:val="00B00B0D"/>
    <w:rsid w:val="00B30539"/>
    <w:rsid w:val="00B725C1"/>
    <w:rsid w:val="00B765F7"/>
    <w:rsid w:val="00BA0CA9"/>
    <w:rsid w:val="00C02897"/>
    <w:rsid w:val="00D105AA"/>
    <w:rsid w:val="00D3439C"/>
    <w:rsid w:val="00DA7745"/>
    <w:rsid w:val="00DB1831"/>
    <w:rsid w:val="00DD3BFD"/>
    <w:rsid w:val="00DE69CC"/>
    <w:rsid w:val="00DF6678"/>
    <w:rsid w:val="00E1615A"/>
    <w:rsid w:val="00E77F73"/>
    <w:rsid w:val="00E85C74"/>
    <w:rsid w:val="00E9755E"/>
    <w:rsid w:val="00EA6547"/>
    <w:rsid w:val="00EB0173"/>
    <w:rsid w:val="00EC317B"/>
    <w:rsid w:val="00EF2E22"/>
    <w:rsid w:val="00F35BAF"/>
    <w:rsid w:val="00F660DF"/>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55FB-591A-4A48-ABC5-B985CEAF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1129</Words>
  <Characters>6439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7553</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barrio-champeau</cp:lastModifiedBy>
  <cp:revision>5</cp:revision>
  <cp:lastPrinted>2015-03-11T11:55:00Z</cp:lastPrinted>
  <dcterms:created xsi:type="dcterms:W3CDTF">2016-02-05T12:21:00Z</dcterms:created>
  <dcterms:modified xsi:type="dcterms:W3CDTF">2016-02-08T13:48:00Z</dcterms:modified>
</cp:coreProperties>
</file>