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9" w:rsidRPr="007D0C57" w:rsidRDefault="00536499" w:rsidP="00536499">
      <w:pPr>
        <w:suppressAutoHyphens w:val="0"/>
        <w:spacing w:line="240" w:lineRule="auto"/>
        <w:ind w:left="5387" w:right="-286"/>
        <w:outlineLvl w:val="0"/>
        <w:rPr>
          <w:rFonts w:ascii="Arial" w:hAnsi="Arial"/>
          <w:snapToGrid w:val="0"/>
        </w:rPr>
      </w:pPr>
      <w:bookmarkStart w:id="0" w:name="_GoBack"/>
      <w:bookmarkEnd w:id="0"/>
      <w:r w:rsidRPr="007D0C57">
        <w:rPr>
          <w:noProof/>
          <w:lang w:val="en-US" w:eastAsia="en-US" w:bidi="ar-SA"/>
        </w:rPr>
        <w:drawing>
          <wp:anchor distT="0" distB="0" distL="114300" distR="114300" simplePos="0" relativeHeight="251659264" behindDoc="0" locked="0" layoutInCell="1" allowOverlap="1" wp14:anchorId="79706D62" wp14:editId="69212F53">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0C57">
        <w:rPr>
          <w:rFonts w:ascii="Arial" w:hAnsi="Arial"/>
        </w:rPr>
        <w:t>CCNR-ZKR/ADN/38</w:t>
      </w:r>
    </w:p>
    <w:p w:rsidR="00536499" w:rsidRPr="007D0C57" w:rsidRDefault="00536499" w:rsidP="00536499">
      <w:pPr>
        <w:tabs>
          <w:tab w:val="left" w:pos="5670"/>
        </w:tabs>
        <w:suppressAutoHyphens w:val="0"/>
        <w:spacing w:line="240" w:lineRule="auto"/>
        <w:ind w:left="5387"/>
        <w:rPr>
          <w:rFonts w:ascii="Arial" w:hAnsi="Arial" w:cs="Arial"/>
          <w:sz w:val="16"/>
          <w:szCs w:val="24"/>
        </w:rPr>
      </w:pPr>
      <w:r w:rsidRPr="007D0C57">
        <w:rPr>
          <w:rFonts w:ascii="Arial" w:hAnsi="Arial"/>
          <w:sz w:val="16"/>
        </w:rPr>
        <w:t>Allgemeine Verteilung</w:t>
      </w:r>
    </w:p>
    <w:p w:rsidR="00536499" w:rsidRPr="007D0C57" w:rsidRDefault="00D4152B" w:rsidP="00536499">
      <w:pPr>
        <w:tabs>
          <w:tab w:val="right" w:pos="3856"/>
          <w:tab w:val="left" w:pos="5670"/>
        </w:tabs>
        <w:suppressAutoHyphens w:val="0"/>
        <w:spacing w:line="240" w:lineRule="auto"/>
        <w:ind w:left="5387"/>
        <w:rPr>
          <w:rFonts w:ascii="Arial" w:eastAsia="Arial" w:hAnsi="Arial" w:cs="Arial"/>
          <w:szCs w:val="24"/>
        </w:rPr>
      </w:pPr>
      <w:r w:rsidRPr="007D0C57">
        <w:rPr>
          <w:rFonts w:ascii="Arial" w:hAnsi="Arial"/>
        </w:rPr>
        <w:t>31. August 2016</w:t>
      </w:r>
    </w:p>
    <w:p w:rsidR="00536499" w:rsidRPr="007D0C57" w:rsidRDefault="00536499" w:rsidP="00536499">
      <w:pPr>
        <w:tabs>
          <w:tab w:val="right" w:pos="3856"/>
          <w:tab w:val="left" w:pos="5670"/>
        </w:tabs>
        <w:suppressAutoHyphens w:val="0"/>
        <w:spacing w:line="240" w:lineRule="auto"/>
        <w:ind w:left="5387" w:right="565"/>
        <w:rPr>
          <w:rFonts w:ascii="Arial" w:hAnsi="Arial" w:cs="Arial"/>
          <w:snapToGrid w:val="0"/>
          <w:kern w:val="1"/>
        </w:rPr>
      </w:pPr>
      <w:r w:rsidRPr="007D0C57">
        <w:rPr>
          <w:rFonts w:ascii="Arial" w:hAnsi="Arial"/>
          <w:sz w:val="16"/>
        </w:rPr>
        <w:t>Or. ENGLISCH</w:t>
      </w:r>
    </w:p>
    <w:p w:rsidR="00536499" w:rsidRPr="007D0C57" w:rsidRDefault="00536499" w:rsidP="00536499">
      <w:pPr>
        <w:suppressAutoHyphens w:val="0"/>
        <w:spacing w:line="240" w:lineRule="auto"/>
        <w:rPr>
          <w:rFonts w:ascii="Arial" w:hAnsi="Arial" w:cs="Arial"/>
          <w:sz w:val="16"/>
          <w:szCs w:val="24"/>
        </w:rPr>
      </w:pPr>
    </w:p>
    <w:p w:rsidR="00536499" w:rsidRPr="007D0C57" w:rsidRDefault="00536499" w:rsidP="00536499">
      <w:pPr>
        <w:suppressAutoHyphens w:val="0"/>
        <w:spacing w:line="240" w:lineRule="auto"/>
        <w:rPr>
          <w:rFonts w:ascii="Arial" w:hAnsi="Arial" w:cs="Arial"/>
          <w:sz w:val="16"/>
          <w:szCs w:val="24"/>
        </w:rPr>
      </w:pPr>
    </w:p>
    <w:p w:rsidR="00536499" w:rsidRPr="007D0C57" w:rsidRDefault="00536499" w:rsidP="00536499">
      <w:pPr>
        <w:tabs>
          <w:tab w:val="left" w:pos="2977"/>
        </w:tabs>
        <w:spacing w:line="240" w:lineRule="auto"/>
        <w:rPr>
          <w:rFonts w:ascii="Arial" w:hAnsi="Arial"/>
          <w:sz w:val="22"/>
          <w:szCs w:val="24"/>
        </w:rPr>
      </w:pPr>
    </w:p>
    <w:p w:rsidR="00536499" w:rsidRPr="007D0C57" w:rsidRDefault="00536499" w:rsidP="00536499">
      <w:pPr>
        <w:tabs>
          <w:tab w:val="left" w:pos="2977"/>
        </w:tabs>
        <w:spacing w:line="240" w:lineRule="auto"/>
        <w:ind w:left="3969"/>
        <w:jc w:val="both"/>
        <w:rPr>
          <w:rFonts w:ascii="Arial" w:hAnsi="Arial"/>
          <w:sz w:val="16"/>
          <w:szCs w:val="24"/>
        </w:rPr>
      </w:pPr>
      <w:r w:rsidRPr="007D0C57">
        <w:rPr>
          <w:rFonts w:ascii="Arial" w:hAnsi="Arial"/>
          <w:noProof/>
          <w:sz w:val="16"/>
        </w:rPr>
        <w:t>VERWALTUNGSAUSSCHUSS DES EUROPÄISCHEN</w:t>
      </w:r>
    </w:p>
    <w:p w:rsidR="00536499" w:rsidRPr="007D0C57" w:rsidRDefault="00536499" w:rsidP="00536499">
      <w:pPr>
        <w:tabs>
          <w:tab w:val="left" w:pos="2977"/>
        </w:tabs>
        <w:spacing w:line="240" w:lineRule="auto"/>
        <w:ind w:left="3969"/>
        <w:jc w:val="both"/>
        <w:rPr>
          <w:rFonts w:ascii="Arial" w:hAnsi="Arial"/>
          <w:sz w:val="16"/>
          <w:szCs w:val="24"/>
        </w:rPr>
      </w:pPr>
      <w:r w:rsidRPr="007D0C57">
        <w:rPr>
          <w:rFonts w:ascii="Arial" w:hAnsi="Arial"/>
          <w:noProof/>
          <w:sz w:val="16"/>
        </w:rPr>
        <w:t>ÜBEREINKOMMENS ÜBER DIE INTERNATIONALE BEFÖRDERUNG</w:t>
      </w:r>
    </w:p>
    <w:p w:rsidR="00536499" w:rsidRPr="007D0C57" w:rsidRDefault="00536499" w:rsidP="00536499">
      <w:pPr>
        <w:tabs>
          <w:tab w:val="left" w:pos="2977"/>
        </w:tabs>
        <w:spacing w:line="240" w:lineRule="auto"/>
        <w:ind w:left="3969"/>
        <w:rPr>
          <w:rFonts w:ascii="Arial" w:hAnsi="Arial"/>
          <w:sz w:val="16"/>
          <w:szCs w:val="24"/>
        </w:rPr>
      </w:pPr>
      <w:r w:rsidRPr="007D0C57">
        <w:rPr>
          <w:rFonts w:ascii="Arial" w:hAnsi="Arial"/>
          <w:noProof/>
          <w:sz w:val="16"/>
        </w:rPr>
        <w:t xml:space="preserve">VON GEFÄHRLICHEN GÜTERN AUF BINNENWASSERSTRASSEN </w:t>
      </w:r>
    </w:p>
    <w:p w:rsidR="00536499" w:rsidRPr="007D0C57" w:rsidRDefault="00536499" w:rsidP="00536499">
      <w:pPr>
        <w:tabs>
          <w:tab w:val="left" w:pos="2977"/>
        </w:tabs>
        <w:spacing w:line="240" w:lineRule="auto"/>
        <w:ind w:left="3969"/>
        <w:rPr>
          <w:rFonts w:ascii="Arial" w:hAnsi="Arial"/>
          <w:sz w:val="16"/>
          <w:szCs w:val="24"/>
        </w:rPr>
      </w:pPr>
      <w:r w:rsidRPr="007D0C57">
        <w:rPr>
          <w:rFonts w:ascii="Arial" w:hAnsi="Arial"/>
          <w:noProof/>
          <w:sz w:val="16"/>
        </w:rPr>
        <w:t>(ADN)</w:t>
      </w:r>
    </w:p>
    <w:p w:rsidR="00536499" w:rsidRPr="007D0C57" w:rsidRDefault="00536499" w:rsidP="00536499">
      <w:pPr>
        <w:tabs>
          <w:tab w:val="left" w:pos="2977"/>
        </w:tabs>
        <w:ind w:left="3969"/>
        <w:rPr>
          <w:rFonts w:ascii="Arial" w:hAnsi="Arial"/>
          <w:sz w:val="16"/>
          <w:szCs w:val="24"/>
        </w:rPr>
      </w:pPr>
      <w:r w:rsidRPr="007D0C57">
        <w:rPr>
          <w:rFonts w:ascii="Arial" w:hAnsi="Arial"/>
          <w:sz w:val="16"/>
        </w:rPr>
        <w:t>(17. Tagung, Genf, 26. August 2016)</w:t>
      </w:r>
    </w:p>
    <w:p w:rsidR="00536499" w:rsidRPr="007D0C57" w:rsidRDefault="00536499" w:rsidP="00536499">
      <w:pPr>
        <w:jc w:val="center"/>
        <w:rPr>
          <w:rFonts w:ascii="Arial" w:hAnsi="Arial"/>
          <w:szCs w:val="24"/>
        </w:rPr>
      </w:pPr>
    </w:p>
    <w:p w:rsidR="00536499" w:rsidRPr="007D0C57" w:rsidRDefault="00536499" w:rsidP="00536499">
      <w:pPr>
        <w:jc w:val="center"/>
        <w:rPr>
          <w:rFonts w:ascii="Arial" w:hAnsi="Arial"/>
          <w:szCs w:val="24"/>
        </w:rPr>
      </w:pPr>
    </w:p>
    <w:p w:rsidR="00536499" w:rsidRPr="007D0C57" w:rsidRDefault="00536499" w:rsidP="00536499">
      <w:pPr>
        <w:jc w:val="center"/>
        <w:rPr>
          <w:rFonts w:ascii="Arial" w:hAnsi="Arial"/>
          <w:szCs w:val="24"/>
        </w:rPr>
      </w:pPr>
    </w:p>
    <w:p w:rsidR="00536499" w:rsidRPr="007D0C57" w:rsidRDefault="00536499" w:rsidP="00536499">
      <w:pPr>
        <w:keepNext/>
        <w:keepLines/>
        <w:tabs>
          <w:tab w:val="right" w:pos="851"/>
        </w:tabs>
        <w:spacing w:before="360" w:after="240" w:line="300" w:lineRule="exact"/>
        <w:ind w:left="1134" w:right="1134" w:hanging="1134"/>
        <w:rPr>
          <w:rFonts w:ascii="Arial" w:hAnsi="Arial" w:cs="Arial"/>
          <w:bCs/>
          <w:sz w:val="22"/>
          <w:szCs w:val="22"/>
        </w:rPr>
      </w:pPr>
      <w:r w:rsidRPr="007D0C57">
        <w:tab/>
      </w:r>
      <w:r w:rsidRPr="007D0C57">
        <w:tab/>
      </w:r>
      <w:r w:rsidRPr="007D0C57">
        <w:rPr>
          <w:rFonts w:ascii="Arial" w:hAnsi="Arial"/>
          <w:sz w:val="22"/>
        </w:rPr>
        <w:t>PROTOKOLL DER SIEBZEHNTEN SITZUNG DES VERWALTUNGSAUSSCHUSSES DES EUROPÄISCHEN ÜBEREINKOMMENS ÜBER DIE INTERNATIONALE BEFÖRDERUNG VON GEFÄHRLICHEN GÜTERN AUF BINNENWASSERSTRASSEN</w:t>
      </w:r>
      <w:r w:rsidRPr="007D0C57">
        <w:rPr>
          <w:rFonts w:ascii="Arial" w:hAnsi="Arial"/>
          <w:sz w:val="22"/>
        </w:rPr>
        <w:footnoteReference w:customMarkFollows="1" w:id="2"/>
        <w:t>*</w:t>
      </w:r>
    </w:p>
    <w:p w:rsidR="00536499" w:rsidRPr="007D0C57" w:rsidRDefault="00536499" w:rsidP="00536499">
      <w:pPr>
        <w:spacing w:before="120"/>
        <w:rPr>
          <w:sz w:val="28"/>
        </w:rPr>
      </w:pPr>
      <w:r w:rsidRPr="007D0C57">
        <w:br w:type="page"/>
      </w:r>
    </w:p>
    <w:p w:rsidR="005413D0" w:rsidRPr="007D0C57" w:rsidRDefault="007B465E" w:rsidP="007B465E">
      <w:pPr>
        <w:spacing w:after="120" w:line="200" w:lineRule="atLeast"/>
        <w:rPr>
          <w:sz w:val="28"/>
        </w:rPr>
      </w:pPr>
      <w:r w:rsidRPr="007D0C57">
        <w:rPr>
          <w:sz w:val="28"/>
        </w:rPr>
        <w:lastRenderedPageBreak/>
        <w:t>Inhalt</w:t>
      </w:r>
    </w:p>
    <w:p w:rsidR="005413D0" w:rsidRPr="007D0C57" w:rsidRDefault="005413D0" w:rsidP="007B465E">
      <w:pPr>
        <w:tabs>
          <w:tab w:val="right" w:pos="8929"/>
          <w:tab w:val="right" w:pos="9638"/>
        </w:tabs>
        <w:spacing w:after="120"/>
        <w:ind w:left="283"/>
      </w:pPr>
      <w:r w:rsidRPr="007D0C57">
        <w:tab/>
      </w:r>
      <w:r w:rsidRPr="007D0C57">
        <w:rPr>
          <w:i/>
          <w:sz w:val="18"/>
        </w:rPr>
        <w:t>Absätze</w:t>
      </w:r>
      <w:r w:rsidRPr="007D0C57">
        <w:tab/>
      </w:r>
      <w:r w:rsidRPr="007D0C57">
        <w:rPr>
          <w:i/>
          <w:sz w:val="18"/>
        </w:rPr>
        <w:t>Seite</w:t>
      </w:r>
    </w:p>
    <w:p w:rsidR="005413D0" w:rsidRPr="007D0C57" w:rsidRDefault="00266FC6" w:rsidP="007B465E">
      <w:pPr>
        <w:tabs>
          <w:tab w:val="right" w:pos="850"/>
          <w:tab w:val="left" w:pos="1134"/>
          <w:tab w:val="left" w:pos="1559"/>
          <w:tab w:val="left" w:pos="1984"/>
          <w:tab w:val="left" w:leader="dot" w:pos="7654"/>
          <w:tab w:val="right" w:pos="8929"/>
          <w:tab w:val="right" w:pos="9638"/>
        </w:tabs>
        <w:spacing w:after="120"/>
      </w:pPr>
      <w:r w:rsidRPr="007D0C57">
        <w:tab/>
        <w:t>I.</w:t>
      </w:r>
      <w:r w:rsidRPr="007D0C57">
        <w:tab/>
        <w:t>Teilnehmer</w:t>
      </w:r>
      <w:r w:rsidRPr="007D0C57">
        <w:tab/>
      </w:r>
      <w:r w:rsidRPr="007D0C57">
        <w:tab/>
        <w:t>1-3</w:t>
      </w:r>
      <w:r w:rsidRPr="007D0C57">
        <w:tab/>
        <w:t>3</w:t>
      </w:r>
    </w:p>
    <w:p w:rsidR="00866275" w:rsidRPr="007D0C57" w:rsidRDefault="00266FC6" w:rsidP="007B465E">
      <w:pPr>
        <w:tabs>
          <w:tab w:val="right" w:pos="850"/>
          <w:tab w:val="left" w:pos="1134"/>
          <w:tab w:val="left" w:pos="1559"/>
          <w:tab w:val="left" w:pos="1984"/>
          <w:tab w:val="left" w:leader="dot" w:pos="7654"/>
          <w:tab w:val="right" w:pos="8929"/>
          <w:tab w:val="right" w:pos="9638"/>
        </w:tabs>
        <w:spacing w:after="120"/>
      </w:pPr>
      <w:r w:rsidRPr="007D0C57">
        <w:tab/>
        <w:t>II.</w:t>
      </w:r>
      <w:r w:rsidRPr="007D0C57">
        <w:tab/>
        <w:t>Genehmigung der Tagesordnung (TOP 1)</w:t>
      </w:r>
      <w:r w:rsidRPr="007D0C57">
        <w:tab/>
      </w:r>
      <w:r w:rsidRPr="007D0C57">
        <w:tab/>
        <w:t>4</w:t>
      </w:r>
      <w:r w:rsidRPr="007D0C57">
        <w:tab/>
        <w:t>3</w:t>
      </w:r>
    </w:p>
    <w:p w:rsidR="00BE2CB0" w:rsidRPr="007D0C57" w:rsidRDefault="00266FC6" w:rsidP="007B465E">
      <w:pPr>
        <w:tabs>
          <w:tab w:val="right" w:pos="850"/>
          <w:tab w:val="left" w:pos="1134"/>
          <w:tab w:val="left" w:pos="1559"/>
          <w:tab w:val="left" w:pos="1984"/>
          <w:tab w:val="left" w:leader="dot" w:pos="7654"/>
          <w:tab w:val="right" w:pos="8929"/>
          <w:tab w:val="right" w:pos="9638"/>
        </w:tabs>
        <w:spacing w:after="120"/>
        <w:rPr>
          <w:snapToGrid w:val="0"/>
        </w:rPr>
      </w:pPr>
      <w:r w:rsidRPr="007D0C57">
        <w:tab/>
        <w:t>III.</w:t>
      </w:r>
      <w:r w:rsidRPr="007D0C57">
        <w:tab/>
        <w:t xml:space="preserve">Stand des Europäischen Übereinkommens über die internationale Beförderung </w:t>
      </w:r>
      <w:r w:rsidRPr="007D0C57">
        <w:br/>
      </w:r>
      <w:r w:rsidRPr="007D0C57">
        <w:tab/>
      </w:r>
      <w:r w:rsidRPr="007D0C57">
        <w:tab/>
        <w:t>von gefährlichen Gütern auf Binnenwasserstraßen (ADN) (TOP 2)</w:t>
      </w:r>
      <w:r w:rsidRPr="007D0C57">
        <w:tab/>
      </w:r>
      <w:r w:rsidRPr="007D0C57">
        <w:tab/>
        <w:t>5</w:t>
      </w:r>
      <w:r w:rsidRPr="007D0C57">
        <w:tab/>
        <w:t>3</w:t>
      </w:r>
    </w:p>
    <w:p w:rsidR="00866275" w:rsidRPr="007D0C57" w:rsidRDefault="00266FC6" w:rsidP="007B465E">
      <w:pPr>
        <w:tabs>
          <w:tab w:val="right" w:pos="850"/>
          <w:tab w:val="left" w:pos="1134"/>
          <w:tab w:val="left" w:pos="1559"/>
          <w:tab w:val="left" w:pos="1984"/>
          <w:tab w:val="left" w:leader="dot" w:pos="7654"/>
          <w:tab w:val="right" w:pos="8929"/>
          <w:tab w:val="right" w:pos="9638"/>
        </w:tabs>
        <w:spacing w:after="120"/>
      </w:pPr>
      <w:r w:rsidRPr="007D0C57">
        <w:tab/>
        <w:t>IV.</w:t>
      </w:r>
      <w:r w:rsidRPr="007D0C57">
        <w:tab/>
        <w:t>Fragen betreffend die Umsetzung des ADN (TOP 3)</w:t>
      </w:r>
      <w:r w:rsidRPr="007D0C57">
        <w:tab/>
      </w:r>
      <w:r w:rsidRPr="007D0C57">
        <w:tab/>
        <w:t>7-10</w:t>
      </w:r>
      <w:r w:rsidRPr="007D0C57">
        <w:tab/>
        <w:t>3</w:t>
      </w:r>
    </w:p>
    <w:p w:rsidR="00E91B0A" w:rsidRPr="007D0C57" w:rsidRDefault="00E91B0A" w:rsidP="007B465E">
      <w:pPr>
        <w:tabs>
          <w:tab w:val="right" w:pos="850"/>
          <w:tab w:val="left" w:pos="1134"/>
          <w:tab w:val="left" w:pos="1559"/>
          <w:tab w:val="left" w:pos="1984"/>
          <w:tab w:val="left" w:leader="dot" w:pos="7654"/>
          <w:tab w:val="right" w:pos="8929"/>
          <w:tab w:val="right" w:pos="9638"/>
        </w:tabs>
        <w:spacing w:after="120"/>
      </w:pPr>
      <w:r w:rsidRPr="007D0C57">
        <w:tab/>
      </w:r>
      <w:r w:rsidRPr="007D0C57">
        <w:tab/>
        <w:t>A.</w:t>
      </w:r>
      <w:r w:rsidRPr="007D0C57">
        <w:tab/>
        <w:t>Anerkennung von Klassifikationsgesellschaften</w:t>
      </w:r>
      <w:r w:rsidRPr="007D0C57">
        <w:tab/>
      </w:r>
      <w:r w:rsidRPr="007D0C57">
        <w:tab/>
        <w:t>7</w:t>
      </w:r>
      <w:r w:rsidRPr="007D0C57">
        <w:tab/>
        <w:t>3</w:t>
      </w:r>
    </w:p>
    <w:p w:rsidR="00E91B0A" w:rsidRPr="007D0C57" w:rsidRDefault="00266FC6" w:rsidP="00E72C3F">
      <w:pPr>
        <w:tabs>
          <w:tab w:val="right" w:pos="850"/>
          <w:tab w:val="left" w:pos="1134"/>
          <w:tab w:val="left" w:pos="1559"/>
          <w:tab w:val="left" w:pos="1984"/>
          <w:tab w:val="left" w:leader="dot" w:pos="7654"/>
          <w:tab w:val="right" w:pos="8929"/>
          <w:tab w:val="right" w:pos="9638"/>
        </w:tabs>
        <w:spacing w:after="120"/>
      </w:pPr>
      <w:r w:rsidRPr="007D0C57">
        <w:tab/>
      </w:r>
      <w:r w:rsidRPr="007D0C57">
        <w:tab/>
        <w:t>B.</w:t>
      </w:r>
      <w:r w:rsidRPr="007D0C57">
        <w:tab/>
        <w:t>Ausnahmegenehmigungen, Abweichungen und Gleichwertigkeiten</w:t>
      </w:r>
      <w:r w:rsidRPr="007D0C57">
        <w:tab/>
      </w:r>
      <w:r w:rsidRPr="007D0C57">
        <w:tab/>
        <w:t>8-9</w:t>
      </w:r>
      <w:r w:rsidRPr="007D0C57">
        <w:tab/>
        <w:t>4</w:t>
      </w:r>
    </w:p>
    <w:p w:rsidR="00D4152B" w:rsidRPr="007D0C57" w:rsidRDefault="00D4152B" w:rsidP="00D4152B">
      <w:pPr>
        <w:tabs>
          <w:tab w:val="right" w:pos="850"/>
          <w:tab w:val="left" w:pos="1134"/>
          <w:tab w:val="left" w:pos="1559"/>
          <w:tab w:val="left" w:pos="1984"/>
          <w:tab w:val="left" w:leader="dot" w:pos="7654"/>
          <w:tab w:val="right" w:pos="8929"/>
          <w:tab w:val="right" w:pos="9638"/>
        </w:tabs>
        <w:spacing w:after="120"/>
      </w:pPr>
      <w:r w:rsidRPr="007D0C57">
        <w:tab/>
      </w:r>
      <w:r w:rsidRPr="007D0C57">
        <w:tab/>
      </w:r>
      <w:r w:rsidRPr="007D0C57">
        <w:tab/>
        <w:t>1.</w:t>
      </w:r>
      <w:r w:rsidRPr="007D0C57">
        <w:tab/>
        <w:t>Befristete Abweichung für das Schubschiff "Donau"</w:t>
      </w:r>
      <w:r w:rsidRPr="007D0C57">
        <w:tab/>
      </w:r>
      <w:r w:rsidRPr="007D0C57">
        <w:tab/>
        <w:t>8</w:t>
      </w:r>
      <w:r w:rsidRPr="007D0C57">
        <w:tab/>
        <w:t>3</w:t>
      </w:r>
    </w:p>
    <w:p w:rsidR="00D4152B" w:rsidRPr="007D0C57" w:rsidRDefault="00D4152B" w:rsidP="00D4152B">
      <w:pPr>
        <w:tabs>
          <w:tab w:val="right" w:pos="850"/>
          <w:tab w:val="left" w:pos="1134"/>
          <w:tab w:val="left" w:pos="1559"/>
          <w:tab w:val="left" w:pos="1984"/>
          <w:tab w:val="left" w:leader="dot" w:pos="7654"/>
          <w:tab w:val="right" w:pos="8929"/>
          <w:tab w:val="right" w:pos="9638"/>
        </w:tabs>
        <w:spacing w:after="120"/>
        <w:ind w:left="1980" w:hanging="1980"/>
      </w:pPr>
      <w:r w:rsidRPr="007D0C57">
        <w:tab/>
      </w:r>
      <w:r w:rsidRPr="007D0C57">
        <w:tab/>
      </w:r>
      <w:r w:rsidRPr="007D0C57">
        <w:tab/>
        <w:t>2.</w:t>
      </w:r>
      <w:r w:rsidRPr="007D0C57">
        <w:tab/>
        <w:t>Ausnahmegenehmigung für die Beförderung von Diacetonalkohol (UN-Nr. 1148) in Tankschiffen von Belgien nach den Niederlanden</w:t>
      </w:r>
      <w:r w:rsidRPr="007D0C57">
        <w:tab/>
      </w:r>
      <w:r w:rsidRPr="007D0C57">
        <w:tab/>
        <w:t>9</w:t>
      </w:r>
      <w:r w:rsidRPr="007D0C57">
        <w:tab/>
        <w:t>4</w:t>
      </w:r>
    </w:p>
    <w:p w:rsidR="00D4152B" w:rsidRPr="007D0C57" w:rsidRDefault="00D4152B" w:rsidP="00D4152B">
      <w:pPr>
        <w:tabs>
          <w:tab w:val="right" w:pos="850"/>
          <w:tab w:val="left" w:pos="1134"/>
          <w:tab w:val="left" w:pos="1559"/>
          <w:tab w:val="left" w:pos="1984"/>
          <w:tab w:val="left" w:leader="dot" w:pos="7654"/>
          <w:tab w:val="right" w:pos="8929"/>
          <w:tab w:val="right" w:pos="9638"/>
        </w:tabs>
        <w:spacing w:after="120"/>
      </w:pPr>
      <w:r w:rsidRPr="007D0C57">
        <w:tab/>
      </w:r>
      <w:r w:rsidRPr="007D0C57">
        <w:tab/>
        <w:t>C.</w:t>
      </w:r>
      <w:r w:rsidRPr="007D0C57">
        <w:tab/>
        <w:t>Verschiedene Mitteilungen</w:t>
      </w:r>
      <w:r w:rsidRPr="007D0C57">
        <w:tab/>
      </w:r>
      <w:r w:rsidRPr="007D0C57">
        <w:tab/>
        <w:t>10</w:t>
      </w:r>
      <w:r w:rsidRPr="007D0C57">
        <w:tab/>
        <w:t>4</w:t>
      </w:r>
    </w:p>
    <w:p w:rsidR="00E91B0A" w:rsidRPr="007D0C57" w:rsidRDefault="00266FC6" w:rsidP="00E72C3F">
      <w:pPr>
        <w:tabs>
          <w:tab w:val="right" w:pos="850"/>
          <w:tab w:val="left" w:pos="1134"/>
          <w:tab w:val="left" w:pos="1559"/>
          <w:tab w:val="left" w:pos="1984"/>
          <w:tab w:val="left" w:leader="dot" w:pos="7654"/>
          <w:tab w:val="right" w:pos="8929"/>
          <w:tab w:val="right" w:pos="9638"/>
        </w:tabs>
        <w:spacing w:after="120"/>
      </w:pPr>
      <w:r w:rsidRPr="007D0C57">
        <w:tab/>
        <w:t>V.</w:t>
      </w:r>
      <w:r w:rsidRPr="007D0C57">
        <w:tab/>
        <w:t>Arbeiten des Sicherheitsausschusses (TOP 4)</w:t>
      </w:r>
      <w:r w:rsidRPr="007D0C57">
        <w:tab/>
      </w:r>
      <w:r w:rsidRPr="007D0C57">
        <w:tab/>
        <w:t>11-12</w:t>
      </w:r>
      <w:r w:rsidRPr="007D0C57">
        <w:tab/>
        <w:t>4</w:t>
      </w:r>
    </w:p>
    <w:p w:rsidR="00E91B0A" w:rsidRPr="007D0C57" w:rsidRDefault="00266FC6" w:rsidP="00E72C3F">
      <w:pPr>
        <w:tabs>
          <w:tab w:val="right" w:pos="850"/>
          <w:tab w:val="left" w:pos="1134"/>
          <w:tab w:val="left" w:pos="1559"/>
          <w:tab w:val="left" w:pos="1984"/>
          <w:tab w:val="left" w:leader="dot" w:pos="7654"/>
          <w:tab w:val="right" w:pos="8929"/>
          <w:tab w:val="right" w:pos="9638"/>
        </w:tabs>
        <w:spacing w:after="120"/>
        <w:rPr>
          <w:snapToGrid w:val="0"/>
        </w:rPr>
      </w:pPr>
      <w:r w:rsidRPr="007D0C57">
        <w:tab/>
        <w:t>VI.</w:t>
      </w:r>
      <w:r w:rsidRPr="007D0C57">
        <w:tab/>
        <w:t>Arbeitsprogramm und Sitzungsplan (TOP 5)</w:t>
      </w:r>
      <w:r w:rsidRPr="007D0C57">
        <w:tab/>
      </w:r>
      <w:r w:rsidRPr="007D0C57">
        <w:tab/>
        <w:t>13</w:t>
      </w:r>
      <w:r w:rsidRPr="007D0C57">
        <w:tab/>
        <w:t>5</w:t>
      </w:r>
    </w:p>
    <w:p w:rsidR="00E91B0A" w:rsidRPr="007D0C57" w:rsidRDefault="00266FC6" w:rsidP="00E72C3F">
      <w:pPr>
        <w:tabs>
          <w:tab w:val="right" w:pos="850"/>
          <w:tab w:val="left" w:pos="1134"/>
          <w:tab w:val="left" w:pos="1559"/>
          <w:tab w:val="left" w:pos="1984"/>
          <w:tab w:val="left" w:leader="dot" w:pos="7654"/>
          <w:tab w:val="right" w:pos="8929"/>
          <w:tab w:val="right" w:pos="9638"/>
        </w:tabs>
        <w:spacing w:after="120"/>
        <w:rPr>
          <w:snapToGrid w:val="0"/>
        </w:rPr>
      </w:pPr>
      <w:r w:rsidRPr="007D0C57">
        <w:tab/>
        <w:t>VII.</w:t>
      </w:r>
      <w:r w:rsidRPr="007D0C57">
        <w:tab/>
        <w:t>Verschiedenes (TOP 6)</w:t>
      </w:r>
      <w:r w:rsidRPr="007D0C57">
        <w:tab/>
      </w:r>
      <w:r w:rsidRPr="007D0C57">
        <w:tab/>
        <w:t>14</w:t>
      </w:r>
      <w:r w:rsidRPr="007D0C57">
        <w:tab/>
        <w:t>5</w:t>
      </w:r>
    </w:p>
    <w:p w:rsidR="00266FC6" w:rsidRPr="007D0C57" w:rsidRDefault="009049AF" w:rsidP="00E72C3F">
      <w:pPr>
        <w:tabs>
          <w:tab w:val="right" w:pos="850"/>
          <w:tab w:val="left" w:pos="1134"/>
          <w:tab w:val="left" w:pos="1559"/>
          <w:tab w:val="left" w:pos="1984"/>
          <w:tab w:val="left" w:leader="dot" w:pos="7654"/>
          <w:tab w:val="right" w:pos="8929"/>
          <w:tab w:val="right" w:pos="9638"/>
        </w:tabs>
        <w:spacing w:after="120"/>
        <w:rPr>
          <w:snapToGrid w:val="0"/>
        </w:rPr>
      </w:pPr>
      <w:r w:rsidRPr="007D0C57">
        <w:tab/>
        <w:t>VIII.</w:t>
      </w:r>
      <w:r w:rsidRPr="007D0C57">
        <w:tab/>
        <w:t>Genehmigung des Sitzungsprotokolls (TOP 7)</w:t>
      </w:r>
      <w:r w:rsidRPr="007D0C57">
        <w:tab/>
      </w:r>
      <w:r w:rsidRPr="007D0C57">
        <w:tab/>
        <w:t>15</w:t>
      </w:r>
      <w:r w:rsidRPr="007D0C57">
        <w:tab/>
        <w:t>5</w:t>
      </w:r>
    </w:p>
    <w:p w:rsidR="003E1D2C" w:rsidRDefault="003E1D2C" w:rsidP="00E72C3F">
      <w:pPr>
        <w:tabs>
          <w:tab w:val="right" w:pos="850"/>
          <w:tab w:val="left" w:pos="1134"/>
          <w:tab w:val="left" w:pos="1559"/>
          <w:tab w:val="left" w:pos="1984"/>
          <w:tab w:val="left" w:leader="dot" w:pos="7654"/>
          <w:tab w:val="right" w:pos="8929"/>
          <w:tab w:val="right" w:pos="9638"/>
        </w:tabs>
        <w:spacing w:after="120"/>
      </w:pPr>
    </w:p>
    <w:p w:rsidR="00711563" w:rsidRPr="007D0C57" w:rsidRDefault="00E72C3F" w:rsidP="00E72C3F">
      <w:pPr>
        <w:tabs>
          <w:tab w:val="right" w:pos="850"/>
          <w:tab w:val="left" w:pos="1134"/>
          <w:tab w:val="left" w:pos="1559"/>
          <w:tab w:val="left" w:pos="1984"/>
          <w:tab w:val="left" w:leader="dot" w:pos="7654"/>
          <w:tab w:val="right" w:pos="8929"/>
          <w:tab w:val="right" w:pos="9638"/>
        </w:tabs>
        <w:spacing w:after="120"/>
        <w:rPr>
          <w:snapToGrid w:val="0"/>
        </w:rPr>
      </w:pPr>
      <w:r w:rsidRPr="007D0C57">
        <w:t>Anlage</w:t>
      </w:r>
    </w:p>
    <w:p w:rsidR="00711563" w:rsidRPr="007D0C57" w:rsidRDefault="00CC53BF" w:rsidP="000255DB">
      <w:pPr>
        <w:keepNext/>
        <w:keepLines/>
        <w:tabs>
          <w:tab w:val="right" w:pos="850"/>
          <w:tab w:val="left" w:pos="1134"/>
          <w:tab w:val="left" w:pos="1559"/>
          <w:tab w:val="left" w:pos="1984"/>
          <w:tab w:val="left" w:leader="dot" w:pos="8900"/>
          <w:tab w:val="right" w:pos="9638"/>
        </w:tabs>
        <w:spacing w:after="120"/>
        <w:ind w:left="1134" w:hanging="1134"/>
        <w:rPr>
          <w:snapToGrid w:val="0"/>
        </w:rPr>
      </w:pPr>
      <w:r w:rsidRPr="007D0C57">
        <w:tab/>
      </w:r>
      <w:r w:rsidRPr="007D0C57">
        <w:tab/>
        <w:t xml:space="preserve">Entscheidung des ADN-Verwaltungsausschusses bezüglich der Nutzung einer </w:t>
      </w:r>
      <w:r w:rsidRPr="007D0C57">
        <w:rPr>
          <w:color w:val="000000"/>
        </w:rPr>
        <w:t xml:space="preserve">Trockenaerosol </w:t>
      </w:r>
      <w:r w:rsidRPr="007D0C57">
        <w:rPr>
          <w:color w:val="000000"/>
        </w:rPr>
        <w:br/>
        <w:t xml:space="preserve">erzeugenden Feuerlöschanlage (Fire Pro) an Bord </w:t>
      </w:r>
      <w:r w:rsidRPr="007D0C57">
        <w:t>des Schubschiffs DONAU (06105358)</w:t>
      </w:r>
      <w:r w:rsidRPr="007D0C57">
        <w:tab/>
      </w:r>
      <w:r w:rsidRPr="007D0C57">
        <w:tab/>
        <w:t>6</w:t>
      </w:r>
    </w:p>
    <w:p w:rsidR="00711563" w:rsidRPr="007D0C57"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rsidR="00266FC6" w:rsidRPr="007D0C57" w:rsidRDefault="00C16BF1" w:rsidP="00191765">
      <w:pPr>
        <w:pStyle w:val="HChG"/>
        <w:spacing w:before="0"/>
        <w:ind w:hanging="567"/>
        <w:rPr>
          <w:snapToGrid w:val="0"/>
        </w:rPr>
      </w:pPr>
      <w:r w:rsidRPr="007D0C57">
        <w:br w:type="page"/>
      </w:r>
      <w:r w:rsidRPr="007D0C57">
        <w:lastRenderedPageBreak/>
        <w:t>I.</w:t>
      </w:r>
      <w:r w:rsidRPr="007D0C57">
        <w:tab/>
      </w:r>
      <w:r w:rsidRPr="007D0C57">
        <w:tab/>
        <w:t>Teilnehmer</w:t>
      </w:r>
    </w:p>
    <w:p w:rsidR="00266FC6" w:rsidRPr="007D0C57" w:rsidRDefault="00266FC6" w:rsidP="000255DB">
      <w:pPr>
        <w:pStyle w:val="SingleTxtG"/>
      </w:pPr>
      <w:r w:rsidRPr="007D0C57">
        <w:t>1.</w:t>
      </w:r>
      <w:r w:rsidRPr="007D0C57">
        <w:tab/>
        <w:t xml:space="preserve">Der Verwaltungsausschuss des Europäischen Übereinkommens über die Internationale Beförderung von Gefährlichen Gütern auf Binnenwasserstraßen (ADN) hielt am 26. August 2016 </w:t>
      </w:r>
      <w:r w:rsidRPr="007D0C57">
        <w:rPr>
          <w:color w:val="000000"/>
        </w:rPr>
        <w:t xml:space="preserve">unter dem Vorsitz von Herrn H. Rein (Deutschland) und dem stellvertretenden Vorsitz von Herrn B. </w:t>
      </w:r>
      <w:r w:rsidRPr="007D0C57">
        <w:t>Birklhuber (Österreich) in Genf seine siebzehnte Sitzung ab. An dieser Sitzung nahmen Vertreter folgender Vertragsparteien teil: Belgien, Bulgarien, Deutschland, Frankreich, Kroatien, Luxemburg, Niederlande, Österreich, Rumänien, Russische Föderation, Schweiz, Serbien und Ukraine.</w:t>
      </w:r>
    </w:p>
    <w:p w:rsidR="00266FC6" w:rsidRPr="007D0C57" w:rsidRDefault="00266FC6" w:rsidP="00922726">
      <w:pPr>
        <w:pStyle w:val="SingleTxtG"/>
        <w:rPr>
          <w:snapToGrid w:val="0"/>
        </w:rPr>
      </w:pPr>
      <w:r w:rsidRPr="007D0C57">
        <w:t>2.</w:t>
      </w:r>
      <w:r w:rsidRPr="007D0C57">
        <w:tab/>
        <w:t>Der Verwaltungsausschuss stellte die für die Beschlussfähigkeit erforderliche Anwesenheit von der Hälfte der Vertragsparteien fest.</w:t>
      </w:r>
    </w:p>
    <w:p w:rsidR="00266FC6" w:rsidRPr="007D0C57" w:rsidRDefault="00266FC6" w:rsidP="00922726">
      <w:pPr>
        <w:pStyle w:val="SingleTxtG"/>
        <w:rPr>
          <w:snapToGrid w:val="0"/>
        </w:rPr>
      </w:pPr>
      <w:r w:rsidRPr="007D0C57">
        <w:t>3.</w:t>
      </w:r>
      <w:r w:rsidRPr="007D0C57">
        <w:tab/>
        <w:t>Gemäß Artikel 17 Absatz 2 des ADN und einer Entscheidung des Ausschusses (ECE/ADN/2, Abs. 8) wohnte der Sitzung auch ein Vertreter der Zentralkommission für die Rheinschifffahrt (ZKR) als Beobachter bei.</w:t>
      </w:r>
    </w:p>
    <w:p w:rsidR="00266FC6" w:rsidRPr="007D0C57" w:rsidRDefault="00266FC6" w:rsidP="00922726">
      <w:pPr>
        <w:pStyle w:val="HChG"/>
        <w:rPr>
          <w:snapToGrid w:val="0"/>
        </w:rPr>
      </w:pPr>
      <w:r w:rsidRPr="007D0C57">
        <w:tab/>
        <w:t>II.</w:t>
      </w:r>
      <w:r w:rsidRPr="007D0C57">
        <w:tab/>
        <w:t>Genehmigung der Tagesordnung (TOP 1)</w:t>
      </w:r>
    </w:p>
    <w:p w:rsidR="00266FC6" w:rsidRPr="007D0C57" w:rsidRDefault="00922726" w:rsidP="00922726">
      <w:pPr>
        <w:pStyle w:val="SingleTxtG"/>
        <w:rPr>
          <w:snapToGrid w:val="0"/>
        </w:rPr>
      </w:pPr>
      <w:r w:rsidRPr="007D0C57">
        <w:rPr>
          <w:i/>
          <w:snapToGrid w:val="0"/>
        </w:rPr>
        <w:t xml:space="preserve">Dokumente: </w:t>
      </w:r>
      <w:r w:rsidRPr="007D0C57">
        <w:t>ECE/ADN/37 und Add.1</w:t>
      </w:r>
    </w:p>
    <w:p w:rsidR="00266FC6" w:rsidRPr="007D0C57" w:rsidRDefault="00266FC6" w:rsidP="00922726">
      <w:pPr>
        <w:pStyle w:val="SingleTxtG"/>
        <w:rPr>
          <w:snapToGrid w:val="0"/>
        </w:rPr>
      </w:pPr>
      <w:r w:rsidRPr="007D0C57">
        <w:t>4.</w:t>
      </w:r>
      <w:r w:rsidRPr="007D0C57">
        <w:tab/>
        <w:t>Der Verwaltungsausschuss genehmigte die vom Sekretariat vorbereitete Tagesordnung.</w:t>
      </w:r>
    </w:p>
    <w:p w:rsidR="00266FC6" w:rsidRPr="007D0C57" w:rsidRDefault="00C04DF6" w:rsidP="00922726">
      <w:pPr>
        <w:pStyle w:val="HChG"/>
        <w:rPr>
          <w:snapToGrid w:val="0"/>
        </w:rPr>
      </w:pPr>
      <w:r w:rsidRPr="007D0C57">
        <w:tab/>
        <w:t>III.</w:t>
      </w:r>
      <w:r w:rsidRPr="007D0C57">
        <w:tab/>
        <w:t>Stand des Europäischen Übereinkommens über die internationale Beförderung von gefährlichen Gütern auf Binnenwasserstraßen (ADN) (TOP 2)</w:t>
      </w:r>
    </w:p>
    <w:p w:rsidR="00266FC6" w:rsidRPr="007D0C57" w:rsidRDefault="00903349" w:rsidP="00922726">
      <w:pPr>
        <w:pStyle w:val="SingleTxtG"/>
        <w:rPr>
          <w:snapToGrid w:val="0"/>
        </w:rPr>
      </w:pPr>
      <w:r w:rsidRPr="007D0C57">
        <w:t>5.</w:t>
      </w:r>
      <w:r w:rsidRPr="007D0C57">
        <w:tab/>
      </w:r>
      <w:r w:rsidRPr="007D0C57">
        <w:rPr>
          <w:color w:val="000000"/>
        </w:rPr>
        <w:t>Der Verwaltungsausschuss stellte fest, dass die Anzahl der ADN-Vertragsparteien weiterhin achtzehn beträgt:</w:t>
      </w:r>
      <w:r w:rsidRPr="007D0C57">
        <w:t xml:space="preserve"> Belgien, Bulgarien, Deutschland, Frankreich, Kroatien, Luxemburg, Niederlande, Österreich, Polen, Republik Moldau, Rumänien, Russische Föderation, Schweiz, Serbien, Slowakei, Tschechische Republik, Ukraine und Ungarn.</w:t>
      </w:r>
    </w:p>
    <w:p w:rsidR="00266FC6" w:rsidRPr="007D0C57" w:rsidRDefault="00791BE4" w:rsidP="00922726">
      <w:pPr>
        <w:pStyle w:val="HChG"/>
        <w:rPr>
          <w:snapToGrid w:val="0"/>
        </w:rPr>
      </w:pPr>
      <w:r w:rsidRPr="007D0C57">
        <w:tab/>
        <w:t>IV.</w:t>
      </w:r>
      <w:r w:rsidRPr="007D0C57">
        <w:tab/>
        <w:t>Fragen betreffend die Umsetzung des ADN (TOP 3)</w:t>
      </w:r>
    </w:p>
    <w:p w:rsidR="00266FC6" w:rsidRPr="007D0C57" w:rsidRDefault="00266FC6" w:rsidP="00922726">
      <w:pPr>
        <w:pStyle w:val="H1G"/>
        <w:rPr>
          <w:snapToGrid w:val="0"/>
        </w:rPr>
      </w:pPr>
      <w:r w:rsidRPr="007D0C57">
        <w:tab/>
        <w:t>A.</w:t>
      </w:r>
      <w:r w:rsidRPr="007D0C57">
        <w:tab/>
        <w:t xml:space="preserve">Klassifikationsgesellschaften </w:t>
      </w:r>
    </w:p>
    <w:p w:rsidR="00903349" w:rsidRPr="007D0C57" w:rsidRDefault="003E1D2C" w:rsidP="00903349">
      <w:pPr>
        <w:pStyle w:val="SingleTxtG"/>
      </w:pPr>
      <w:r>
        <w:rPr>
          <w:snapToGrid w:val="0"/>
        </w:rPr>
        <w:t>6</w:t>
      </w:r>
      <w:r w:rsidR="00903349" w:rsidRPr="007D0C57">
        <w:rPr>
          <w:snapToGrid w:val="0"/>
        </w:rPr>
        <w:t>.</w:t>
      </w:r>
      <w:r w:rsidR="00903349" w:rsidRPr="007D0C57">
        <w:tab/>
      </w:r>
      <w:r w:rsidR="00903349" w:rsidRPr="007D0C57">
        <w:rPr>
          <w:snapToGrid w:val="0"/>
        </w:rPr>
        <w:t xml:space="preserve">Der Verwaltungsausschuss stellte fest, dass Bureau Veritas und Lloyds Register dem Sicherheitsausschuss Informationen bezüglich ihrer Akkreditierung nach ISO 17020:2012 bereitgestellt haben </w:t>
      </w:r>
      <w:r w:rsidR="00903349" w:rsidRPr="007D0C57">
        <w:t>(siehe ECE/TRANS/WP.15/AC.20, Nr. 21 und 22).</w:t>
      </w:r>
    </w:p>
    <w:p w:rsidR="00266FC6" w:rsidRPr="007D0C57" w:rsidRDefault="00266FC6" w:rsidP="00DE2F89">
      <w:pPr>
        <w:pStyle w:val="H1G"/>
        <w:spacing w:line="240" w:lineRule="auto"/>
        <w:rPr>
          <w:snapToGrid w:val="0"/>
        </w:rPr>
      </w:pPr>
      <w:r w:rsidRPr="007D0C57">
        <w:tab/>
        <w:t>B.</w:t>
      </w:r>
      <w:r w:rsidRPr="007D0C57">
        <w:tab/>
        <w:t>Ausnahmegenehmigungen, Abweichungen und Gleichwertigkeiten</w:t>
      </w:r>
    </w:p>
    <w:p w:rsidR="00903349" w:rsidRPr="007D0C57" w:rsidRDefault="00903349" w:rsidP="00903349">
      <w:pPr>
        <w:pStyle w:val="SingleTxtG"/>
        <w:spacing w:line="240" w:lineRule="auto"/>
        <w:rPr>
          <w:b/>
          <w:snapToGrid w:val="0"/>
        </w:rPr>
      </w:pPr>
      <w:r w:rsidRPr="007D0C57">
        <w:rPr>
          <w:b/>
          <w:snapToGrid w:val="0"/>
        </w:rPr>
        <w:t>1.</w:t>
      </w:r>
      <w:r w:rsidRPr="007D0C57">
        <w:tab/>
      </w:r>
      <w:r w:rsidRPr="007D0C57">
        <w:rPr>
          <w:b/>
          <w:snapToGrid w:val="0"/>
        </w:rPr>
        <w:t>Befristete Abweichung für das Schubschiff "Donau"</w:t>
      </w:r>
    </w:p>
    <w:p w:rsidR="00903349" w:rsidRPr="007D0C57" w:rsidRDefault="00903349" w:rsidP="00903349">
      <w:pPr>
        <w:pStyle w:val="SingleTxtG"/>
        <w:spacing w:line="240" w:lineRule="auto"/>
        <w:rPr>
          <w:snapToGrid w:val="0"/>
        </w:rPr>
      </w:pPr>
      <w:r w:rsidRPr="007D0C57">
        <w:rPr>
          <w:i/>
          <w:snapToGrid w:val="0"/>
        </w:rPr>
        <w:t>Dokument</w:t>
      </w:r>
      <w:r w:rsidRPr="007D0C57">
        <w:t xml:space="preserve">: </w:t>
      </w:r>
      <w:r w:rsidRPr="007D0C57">
        <w:tab/>
        <w:t xml:space="preserve">ECE/TRANS/WP.15/AC.2/2016/48 (Belgien) </w:t>
      </w:r>
    </w:p>
    <w:p w:rsidR="00F2267F" w:rsidRPr="007D0C57" w:rsidRDefault="003E1D2C" w:rsidP="00DE2F89">
      <w:pPr>
        <w:pStyle w:val="SingleTxtG"/>
        <w:spacing w:line="240" w:lineRule="auto"/>
        <w:rPr>
          <w:snapToGrid w:val="0"/>
        </w:rPr>
      </w:pPr>
      <w:r>
        <w:t>7</w:t>
      </w:r>
      <w:r w:rsidR="00903349" w:rsidRPr="007D0C57">
        <w:t>.</w:t>
      </w:r>
      <w:r w:rsidR="00903349" w:rsidRPr="007D0C57">
        <w:tab/>
        <w:t>Der Verwaltungsausschuss billigte die Empfehlung des Sicherheitsausschusses (ECE/TRANS/WP.15/AC.2/60, Abs. 8), mit der die zuständige Behörde von Belgien ermächtigt wird, gemäß Unterabschnitt 1.5.3.2 für das Schubschiffs „Donau“ eine befristete Abweichung zu bewilligen, die diesem die Nutzung einer Trockenaerosol erzeugenden Feuerlöschanlage gestattet (siehe Anlage).</w:t>
      </w:r>
    </w:p>
    <w:p w:rsidR="00903349" w:rsidRPr="007D0C57" w:rsidRDefault="00903349" w:rsidP="00DE2F89">
      <w:pPr>
        <w:pStyle w:val="SingleTxtG"/>
        <w:spacing w:line="240" w:lineRule="auto"/>
        <w:rPr>
          <w:snapToGrid w:val="0"/>
        </w:rPr>
      </w:pPr>
    </w:p>
    <w:p w:rsidR="00903349" w:rsidRPr="007D0C57" w:rsidRDefault="00903349" w:rsidP="00903349">
      <w:pPr>
        <w:pStyle w:val="SingleTxtG"/>
        <w:spacing w:line="240" w:lineRule="auto"/>
        <w:rPr>
          <w:b/>
        </w:rPr>
      </w:pPr>
      <w:r w:rsidRPr="007D0C57">
        <w:rPr>
          <w:b/>
        </w:rPr>
        <w:t>2.</w:t>
      </w:r>
      <w:r w:rsidRPr="007D0C57">
        <w:tab/>
      </w:r>
      <w:r w:rsidRPr="007D0C57">
        <w:rPr>
          <w:b/>
        </w:rPr>
        <w:t>Ausnahmegenehmigung für die Beförderung von Diacetonalkohol (UN-Nr. 1148) in Tankschiffen von Belgien nach den Niederlanden</w:t>
      </w:r>
    </w:p>
    <w:p w:rsidR="00903349" w:rsidRPr="007D0C57" w:rsidRDefault="00903349" w:rsidP="00903349">
      <w:pPr>
        <w:pStyle w:val="SingleTxtG"/>
        <w:spacing w:line="240" w:lineRule="auto"/>
      </w:pPr>
      <w:r w:rsidRPr="007D0C57">
        <w:rPr>
          <w:i/>
        </w:rPr>
        <w:t>Informelles Dokument</w:t>
      </w:r>
      <w:r w:rsidRPr="007D0C57">
        <w:t xml:space="preserve">: </w:t>
      </w:r>
      <w:r w:rsidRPr="007D0C57">
        <w:tab/>
        <w:t>INF.2 (Belgien)</w:t>
      </w:r>
    </w:p>
    <w:p w:rsidR="00903349" w:rsidRPr="007D0C57" w:rsidRDefault="003E1D2C" w:rsidP="00DE2F89">
      <w:pPr>
        <w:pStyle w:val="SingleTxtG"/>
        <w:spacing w:line="240" w:lineRule="auto"/>
      </w:pPr>
      <w:r>
        <w:t>8</w:t>
      </w:r>
      <w:r w:rsidR="00903349" w:rsidRPr="007D0C57">
        <w:t>.</w:t>
      </w:r>
      <w:r w:rsidR="00903349" w:rsidRPr="007D0C57">
        <w:tab/>
        <w:t>Der Verwaltungsausschuss stellte fest, dass die Regierungen Belgiens und der Niederlande dem Unternehmen „Monument Chemical“ die Beförderung von Diacetonalkohol in Tankschiffen in ihrem Hoheitsgebiet unter den im informellen Dokument INF. 2 aufgeführten Bedingungen gestattet haben (Ausnahmegenehmigung 2016/01). Der ADN-Sicherheitsausschuss hat diese Bedingungen zur Vorbereitung einer entsprechenden Änderung von Tabelle C der dem ADN beigefügten Verordnung an dessen Informelle Arbeitsgruppe „Stoffe“ weiterg</w:t>
      </w:r>
      <w:r w:rsidR="00DE1403" w:rsidRPr="007D0C57">
        <w:t>e</w:t>
      </w:r>
      <w:r w:rsidR="00903349" w:rsidRPr="007D0C57">
        <w:t>leitet.</w:t>
      </w:r>
    </w:p>
    <w:p w:rsidR="00266FC6" w:rsidRPr="007D0C57" w:rsidRDefault="00266FC6" w:rsidP="00DE2F89">
      <w:pPr>
        <w:pStyle w:val="H1G"/>
        <w:spacing w:line="240" w:lineRule="auto"/>
        <w:rPr>
          <w:snapToGrid w:val="0"/>
        </w:rPr>
      </w:pPr>
      <w:r w:rsidRPr="007D0C57">
        <w:tab/>
        <w:t>C.</w:t>
      </w:r>
      <w:r w:rsidRPr="007D0C57">
        <w:tab/>
        <w:t>Verschiedene Mitteilungen</w:t>
      </w:r>
    </w:p>
    <w:p w:rsidR="00903349" w:rsidRPr="007D0C57" w:rsidRDefault="00903349" w:rsidP="00903349">
      <w:pPr>
        <w:pStyle w:val="SingleTxtG"/>
      </w:pPr>
      <w:r w:rsidRPr="007D0C57">
        <w:rPr>
          <w:i/>
        </w:rPr>
        <w:t>Informelles Dokument</w:t>
      </w:r>
      <w:r w:rsidRPr="007D0C57">
        <w:t xml:space="preserve">: </w:t>
      </w:r>
      <w:r w:rsidRPr="007D0C57">
        <w:tab/>
        <w:t>INF.1 (Slowakei)</w:t>
      </w:r>
    </w:p>
    <w:p w:rsidR="00903349" w:rsidRPr="007D0C57" w:rsidRDefault="003E1D2C" w:rsidP="00903349">
      <w:pPr>
        <w:pStyle w:val="SingleTxtG"/>
        <w:rPr>
          <w:snapToGrid w:val="0"/>
        </w:rPr>
      </w:pPr>
      <w:r>
        <w:rPr>
          <w:snapToGrid w:val="0"/>
        </w:rPr>
        <w:t>9</w:t>
      </w:r>
      <w:r w:rsidR="00903349" w:rsidRPr="007D0C57">
        <w:rPr>
          <w:snapToGrid w:val="0"/>
        </w:rPr>
        <w:t>.</w:t>
      </w:r>
      <w:r w:rsidR="00903349" w:rsidRPr="007D0C57">
        <w:tab/>
      </w:r>
      <w:r w:rsidR="00903349" w:rsidRPr="007D0C57">
        <w:rPr>
          <w:snapToGrid w:val="0"/>
        </w:rPr>
        <w:t>Der Ausschuss stellte mit Befriedigung fest, dass die Regierung der Slowakei Informationen zu den Prüfungsstatistiken für 2014-2015 zur Verfügung gestellt hat, und beschloss, diese Statistiken an die Informelle Arbeitsgruppe „Sachkundigenausbildung“ des Sicherheitsausschusses weiterzuleiten. Der Ausschuss wurde des Weiteren darüber informiert, dass die Slowakei bislang noch keine Untersuchungsstelle nach Abschnitt 1.16.4 der dem ADN beigefügten Verordnung anerkannt hat.</w:t>
      </w:r>
      <w:r w:rsidR="00903349" w:rsidRPr="007D0C57">
        <w:t xml:space="preserve"> </w:t>
      </w:r>
    </w:p>
    <w:p w:rsidR="00266FC6" w:rsidRPr="007D0C57" w:rsidRDefault="000865FA" w:rsidP="00DE2F89">
      <w:pPr>
        <w:pStyle w:val="HChG"/>
        <w:spacing w:line="240" w:lineRule="auto"/>
        <w:rPr>
          <w:snapToGrid w:val="0"/>
        </w:rPr>
      </w:pPr>
      <w:r w:rsidRPr="007D0C57">
        <w:tab/>
        <w:t>V.</w:t>
      </w:r>
      <w:r w:rsidRPr="007D0C57">
        <w:tab/>
        <w:t>Arbeiten des Sicherheitsausschusses (TOP 4)</w:t>
      </w:r>
    </w:p>
    <w:p w:rsidR="003434FA" w:rsidRPr="007D0C57" w:rsidRDefault="003E1D2C" w:rsidP="003434FA">
      <w:pPr>
        <w:spacing w:after="200" w:line="220" w:lineRule="atLeast"/>
        <w:ind w:left="1134" w:right="1134"/>
        <w:jc w:val="both"/>
        <w:rPr>
          <w:snapToGrid w:val="0"/>
        </w:rPr>
      </w:pPr>
      <w:r>
        <w:t>10</w:t>
      </w:r>
      <w:r w:rsidR="003434FA" w:rsidRPr="007D0C57">
        <w:t>.</w:t>
      </w:r>
      <w:r w:rsidR="003434FA" w:rsidRPr="007D0C57">
        <w:tab/>
        <w:t>Der Ausschuss nahm das Protokoll über die neunundzwanzigste Sitzung des Sicherheitsausschusses (ECE/TRANS/WP.15/AC.2/60) zur Kenntnis und billigte:</w:t>
      </w:r>
    </w:p>
    <w:p w:rsidR="003434FA" w:rsidRPr="007D0C57" w:rsidRDefault="003434FA" w:rsidP="003434FA">
      <w:pPr>
        <w:spacing w:after="200" w:line="220" w:lineRule="atLeast"/>
        <w:ind w:left="1134" w:right="1134" w:firstLine="567"/>
        <w:jc w:val="both"/>
        <w:rPr>
          <w:szCs w:val="24"/>
        </w:rPr>
      </w:pPr>
      <w:r w:rsidRPr="007D0C57">
        <w:t>a)</w:t>
      </w:r>
      <w:r w:rsidRPr="007D0C57">
        <w:tab/>
        <w:t>die Änderungsvorschläge zur Ineinklangbringung der dem ADN beigefügten Verordnung mit den geänderten ADR- und RID-Fassungen, die ab 1. Januar 2017 gelten sollen (siehe ECE/TRANS/WP.15/AC.2/60, Anlage I). Das Sekretariat wurde gebeten, diese als Addendum zu Dokument ECE/ADN/36 (ECE/ADN/36/Add.1) zu veröffentlichen und sie den Vertragsparteien gemäß dem Verfahren nach Artikel 20 Absatz 5 Buchstabe a des ADN bis spätestens 1. September 2016 zuzuleiten, damit sie am 1. Januar 2017, d. h. einen Monat nach der Annahme durch die Vertragsparteien, in Kraft treten können,</w:t>
      </w:r>
    </w:p>
    <w:p w:rsidR="003434FA" w:rsidRPr="007D0C57" w:rsidRDefault="003434FA" w:rsidP="003434FA">
      <w:pPr>
        <w:spacing w:after="200" w:line="220" w:lineRule="atLeast"/>
        <w:ind w:left="1134" w:right="1134" w:firstLine="567"/>
        <w:jc w:val="both"/>
        <w:rPr>
          <w:szCs w:val="24"/>
        </w:rPr>
      </w:pPr>
      <w:r w:rsidRPr="007D0C57">
        <w:t>b)</w:t>
      </w:r>
      <w:r w:rsidRPr="007D0C57">
        <w:tab/>
        <w:t>alle Korrekturvorschläge zu den zuvor notifizierten Änderungen der dem ADN beigefügten Verordnung (ECE/ADN/36) (siehe ECE/TRANS/WP.15/AC.2/60, Anlage II). Da diese Korrekturen von der Annahme der in Dokument ECE/ADN/36 enthaltenen Änderungen abhängig sind, wurde das Sekretariat gebeten, sie als Korrigendum zu Dokument ECE/ADN/36 (ECE/ADN/36/Corr.1) zu veröffentlichen und sie den Vertragsparteien gemäß der üblichen Vorgehensweise für Korrekturen am 1. Oktober 2016 (dem voraussichtlichen Tag der Annahme der Änderungen) zur Annahme zuzuleiten, damit sie spätestens am 1. Januar 2017 wirksam werden können; und</w:t>
      </w:r>
    </w:p>
    <w:p w:rsidR="003434FA" w:rsidRPr="007D0C57" w:rsidRDefault="003434FA" w:rsidP="003434FA">
      <w:pPr>
        <w:spacing w:after="120"/>
        <w:ind w:left="1134" w:right="1134"/>
        <w:jc w:val="both"/>
        <w:rPr>
          <w:szCs w:val="24"/>
        </w:rPr>
      </w:pPr>
      <w:r w:rsidRPr="007D0C57">
        <w:tab/>
        <w:t>c)</w:t>
      </w:r>
      <w:r w:rsidRPr="007D0C57">
        <w:tab/>
        <w:t>alle in Dokument ECE/TRANS/WP.15/AC.2/60, Anlage III, enthaltenen Korrekturvorschläge zur dem ADN beigefügten Verordnung. Das Sekretariat wurde gebeten, diese den Vertragsparteien gemäß der üblichen Vorgehensweise für Korrekturen bis spätestens 1. Oktober 2016 zur Annahme zuzuleiten, damit sie spätestens am 1. Januar 2017 wirksam werden können.</w:t>
      </w:r>
    </w:p>
    <w:p w:rsidR="00191765" w:rsidRPr="007D0C57" w:rsidRDefault="00191765">
      <w:pPr>
        <w:suppressAutoHyphens w:val="0"/>
        <w:spacing w:line="240" w:lineRule="auto"/>
      </w:pPr>
      <w:r w:rsidRPr="007D0C57">
        <w:br w:type="page"/>
      </w:r>
    </w:p>
    <w:p w:rsidR="00856711" w:rsidRPr="007D0C57" w:rsidRDefault="003434FA" w:rsidP="00856711">
      <w:pPr>
        <w:pStyle w:val="SingleTxtG"/>
      </w:pPr>
      <w:r w:rsidRPr="007D0C57">
        <w:lastRenderedPageBreak/>
        <w:t>1</w:t>
      </w:r>
      <w:r w:rsidR="003E1D2C">
        <w:t>1</w:t>
      </w:r>
      <w:r w:rsidRPr="007D0C57">
        <w:t>.</w:t>
      </w:r>
      <w:r w:rsidRPr="007D0C57">
        <w:tab/>
        <w:t xml:space="preserve">Der Ausschuss stellte fest, dass der ADN-Sicherheitsausschuss Änderungen der dem ADN beigefügten Verordnung angenommen hat, die am 1. Januar 2019 in Kraft treten sollen (ECE/TRANS/WP.15/AC.2/60, Anlage IV). </w:t>
      </w:r>
      <w:r w:rsidRPr="007D0C57">
        <w:rPr>
          <w:snapToGrid w:val="0"/>
        </w:rPr>
        <w:t>Da der Sicherheitsausschuss in seinen künftigen Sitzungen voraussichtlich weitere Änderungen annehmen wird, die am 1.</w:t>
      </w:r>
      <w:r w:rsidR="00BE42E4">
        <w:rPr>
          <w:snapToGrid w:val="0"/>
        </w:rPr>
        <w:t> </w:t>
      </w:r>
      <w:r w:rsidRPr="007D0C57">
        <w:rPr>
          <w:snapToGrid w:val="0"/>
        </w:rPr>
        <w:t>Januar</w:t>
      </w:r>
      <w:r w:rsidR="00BE42E4">
        <w:rPr>
          <w:snapToGrid w:val="0"/>
        </w:rPr>
        <w:t> </w:t>
      </w:r>
      <w:r w:rsidRPr="007D0C57">
        <w:rPr>
          <w:snapToGrid w:val="0"/>
        </w:rPr>
        <w:t>2019 in Kraft treten sollen, beschloss der Ausschuss, diese zu einem späteren Zeitpunkt zu prüfen.</w:t>
      </w:r>
    </w:p>
    <w:p w:rsidR="00266FC6" w:rsidRPr="007D0C57" w:rsidRDefault="00791BE4" w:rsidP="00423059">
      <w:pPr>
        <w:pStyle w:val="HChG"/>
        <w:rPr>
          <w:snapToGrid w:val="0"/>
        </w:rPr>
      </w:pPr>
      <w:r w:rsidRPr="007D0C57">
        <w:tab/>
        <w:t>VI.</w:t>
      </w:r>
      <w:r w:rsidRPr="007D0C57">
        <w:tab/>
        <w:t>Arbeitsprogramm und Sitzungsplan (TOP 5)</w:t>
      </w:r>
    </w:p>
    <w:p w:rsidR="00E32E85" w:rsidRPr="007D0C57" w:rsidRDefault="00B46865" w:rsidP="00E32E85">
      <w:pPr>
        <w:spacing w:after="120"/>
        <w:ind w:left="1134" w:right="1134"/>
        <w:jc w:val="both"/>
        <w:rPr>
          <w:snapToGrid w:val="0"/>
        </w:rPr>
      </w:pPr>
      <w:r w:rsidRPr="007D0C57">
        <w:t>1</w:t>
      </w:r>
      <w:r w:rsidR="003E1D2C">
        <w:t>2</w:t>
      </w:r>
      <w:r w:rsidRPr="007D0C57">
        <w:t>.</w:t>
      </w:r>
      <w:r w:rsidRPr="007D0C57">
        <w:tab/>
        <w:t>Der Ausschuss stellte fest, dass seine nächste Sitzung für den 27. Januar 2017, 12.00</w:t>
      </w:r>
      <w:r w:rsidR="00BE42E4">
        <w:t> </w:t>
      </w:r>
      <w:r w:rsidRPr="007D0C57">
        <w:t xml:space="preserve">Uhr, geplant ist. Letzter Termin für die Einreichung von Dokumenten für diese Sitzung ist der 28. Oktober 2016. </w:t>
      </w:r>
      <w:r w:rsidRPr="007D0C57">
        <w:rPr>
          <w:snapToGrid w:val="0"/>
        </w:rPr>
        <w:t>Die Sommersitzung ist für den 31. August 201</w:t>
      </w:r>
      <w:r w:rsidR="006F4E10" w:rsidRPr="007D0C57">
        <w:rPr>
          <w:snapToGrid w:val="0"/>
        </w:rPr>
        <w:t>7</w:t>
      </w:r>
      <w:r w:rsidRPr="007D0C57">
        <w:rPr>
          <w:snapToGrid w:val="0"/>
        </w:rPr>
        <w:t xml:space="preserve"> geplant.</w:t>
      </w:r>
    </w:p>
    <w:p w:rsidR="00266FC6" w:rsidRPr="007D0C57" w:rsidRDefault="00791BE4" w:rsidP="002315D3">
      <w:pPr>
        <w:pStyle w:val="HChG"/>
        <w:rPr>
          <w:snapToGrid w:val="0"/>
        </w:rPr>
      </w:pPr>
      <w:r w:rsidRPr="007D0C57">
        <w:tab/>
        <w:t>VII.</w:t>
      </w:r>
      <w:r w:rsidRPr="007D0C57">
        <w:tab/>
        <w:t>Verschiedenes (TOP 6)</w:t>
      </w:r>
    </w:p>
    <w:p w:rsidR="00EC014D" w:rsidRPr="007D0C57" w:rsidRDefault="0038163B" w:rsidP="00EC014D">
      <w:pPr>
        <w:pStyle w:val="SingleTxtG"/>
        <w:spacing w:after="200" w:line="220" w:lineRule="atLeast"/>
        <w:rPr>
          <w:szCs w:val="24"/>
        </w:rPr>
      </w:pPr>
      <w:r w:rsidRPr="007D0C57">
        <w:t>1</w:t>
      </w:r>
      <w:r w:rsidR="003E1D2C">
        <w:t>3</w:t>
      </w:r>
      <w:r w:rsidRPr="007D0C57">
        <w:t>.</w:t>
      </w:r>
      <w:r w:rsidRPr="007D0C57">
        <w:tab/>
        <w:t>Der Ausschuss forderte das Sekretariat auf, alle in der Sitzung angenommenen Korrekturen und relevanten Änderungen im neuen konsolidierten ADN 2017, das sich derzeit in Ausarbeitung befindet, zu berücksichtigen.</w:t>
      </w:r>
    </w:p>
    <w:p w:rsidR="00266FC6" w:rsidRPr="007D0C57" w:rsidRDefault="003C2398" w:rsidP="002315D3">
      <w:pPr>
        <w:pStyle w:val="HChG"/>
        <w:rPr>
          <w:snapToGrid w:val="0"/>
        </w:rPr>
      </w:pPr>
      <w:r w:rsidRPr="007D0C57">
        <w:tab/>
        <w:t>VIII.</w:t>
      </w:r>
      <w:r w:rsidRPr="007D0C57">
        <w:tab/>
        <w:t>Genehmigung des Sitzungsprotokolls (TOP 7)</w:t>
      </w:r>
    </w:p>
    <w:p w:rsidR="00756D5E" w:rsidRPr="007D0C57" w:rsidRDefault="001E2C0E" w:rsidP="002315D3">
      <w:pPr>
        <w:pStyle w:val="SingleTxtG"/>
        <w:rPr>
          <w:snapToGrid w:val="0"/>
        </w:rPr>
      </w:pPr>
      <w:r w:rsidRPr="007D0C57">
        <w:t>1</w:t>
      </w:r>
      <w:r w:rsidR="003E1D2C">
        <w:t>4</w:t>
      </w:r>
      <w:r w:rsidRPr="007D0C57">
        <w:t>.</w:t>
      </w:r>
      <w:r w:rsidRPr="007D0C57">
        <w:tab/>
        <w:t>Der Verwaltungsausschuss billigte das Protokoll über seine siebzehnte Sitzung auf der Grundlage eines Sekretariatsentwurfs, der den Delegationen nach der Sitzung zur Genehmigung per E-Mail zugestellt wurde.</w:t>
      </w:r>
    </w:p>
    <w:p w:rsidR="00D4152B" w:rsidRPr="007D0C57" w:rsidRDefault="00F2267F" w:rsidP="008D59D5">
      <w:pPr>
        <w:pStyle w:val="HChG"/>
        <w:rPr>
          <w:rFonts w:eastAsia="Calibri"/>
        </w:rPr>
      </w:pPr>
      <w:r w:rsidRPr="007D0C57">
        <w:br w:type="page"/>
      </w:r>
      <w:r w:rsidRPr="007D0C57">
        <w:lastRenderedPageBreak/>
        <w:t xml:space="preserve"> </w:t>
      </w:r>
    </w:p>
    <w:p w:rsidR="008D59D5" w:rsidRPr="007D0C57" w:rsidRDefault="008D59D5" w:rsidP="008D59D5">
      <w:pPr>
        <w:keepNext/>
        <w:keepLines/>
        <w:tabs>
          <w:tab w:val="right" w:pos="851"/>
        </w:tabs>
        <w:spacing w:before="360" w:after="240" w:line="300" w:lineRule="exact"/>
        <w:ind w:left="1134" w:right="1134" w:hanging="1134"/>
        <w:rPr>
          <w:b/>
          <w:sz w:val="28"/>
        </w:rPr>
      </w:pPr>
      <w:r w:rsidRPr="007D0C57">
        <w:rPr>
          <w:b/>
          <w:sz w:val="28"/>
        </w:rPr>
        <w:t>Anlage</w:t>
      </w:r>
    </w:p>
    <w:p w:rsidR="008D59D5" w:rsidRPr="007D0C57" w:rsidRDefault="008D59D5" w:rsidP="008D59D5">
      <w:pPr>
        <w:keepNext/>
        <w:keepLines/>
        <w:tabs>
          <w:tab w:val="right" w:pos="851"/>
        </w:tabs>
        <w:spacing w:before="360" w:after="240" w:line="300" w:lineRule="exact"/>
        <w:ind w:left="1134" w:right="1134" w:hanging="1134"/>
        <w:jc w:val="both"/>
        <w:rPr>
          <w:b/>
          <w:sz w:val="28"/>
        </w:rPr>
      </w:pPr>
      <w:r w:rsidRPr="007D0C57">
        <w:tab/>
      </w:r>
      <w:r w:rsidRPr="007D0C57">
        <w:tab/>
      </w:r>
      <w:r w:rsidRPr="007D0C57">
        <w:rPr>
          <w:b/>
          <w:sz w:val="28"/>
        </w:rPr>
        <w:t>Entscheidung des ADN-Verwaltungsausschusses bezüg</w:t>
      </w:r>
      <w:r w:rsidRPr="007D0C57">
        <w:softHyphen/>
      </w:r>
      <w:r w:rsidRPr="007D0C57">
        <w:rPr>
          <w:b/>
          <w:sz w:val="28"/>
        </w:rPr>
        <w:t>lich der Nutzung einer Trockenaerosol erzeugenden Feuerlöschanlage (Fire Pro) an Bord des Schubschiffs DONAU (06105358)</w:t>
      </w:r>
    </w:p>
    <w:p w:rsidR="008D59D5" w:rsidRPr="007D0C57" w:rsidRDefault="008D59D5" w:rsidP="008D59D5">
      <w:pPr>
        <w:keepNext/>
        <w:keepLines/>
        <w:tabs>
          <w:tab w:val="right" w:pos="851"/>
        </w:tabs>
        <w:spacing w:before="360" w:after="240" w:line="270" w:lineRule="exact"/>
        <w:ind w:left="1134" w:right="1134" w:hanging="1134"/>
        <w:rPr>
          <w:b/>
        </w:rPr>
      </w:pPr>
      <w:r w:rsidRPr="007D0C57">
        <w:tab/>
      </w:r>
      <w:r w:rsidRPr="007D0C57">
        <w:tab/>
      </w:r>
      <w:r w:rsidRPr="007D0C57">
        <w:rPr>
          <w:b/>
        </w:rPr>
        <w:t>Abweichung Nr. 2/2016 vom 26. August 2016</w:t>
      </w:r>
    </w:p>
    <w:p w:rsidR="008D59D5" w:rsidRPr="007D0C57" w:rsidRDefault="008D59D5" w:rsidP="008D59D5">
      <w:pPr>
        <w:spacing w:after="120"/>
        <w:ind w:left="1134" w:right="1134"/>
        <w:jc w:val="both"/>
        <w:rPr>
          <w:rFonts w:eastAsia="SimSun"/>
        </w:rPr>
      </w:pPr>
      <w:r w:rsidRPr="007D0C57">
        <w:t>Die zuständige Behörde Belgiens wird ermächtigt, dem Schubschiff DONAU (06105358) eine Ergänzung zu dem erteilten Zulassungszeugnis für die Nutzung einer Trockenaerosol erzeugenden Feuerlöschanlage (Fire Pro) auszustellen.</w:t>
      </w:r>
    </w:p>
    <w:p w:rsidR="008D59D5" w:rsidRPr="007D0C57" w:rsidRDefault="008D59D5" w:rsidP="008D59D5">
      <w:pPr>
        <w:spacing w:after="120"/>
        <w:ind w:left="1134" w:right="1134"/>
        <w:jc w:val="both"/>
        <w:rPr>
          <w:rFonts w:eastAsia="SimSun"/>
        </w:rPr>
      </w:pPr>
      <w:r w:rsidRPr="007D0C57">
        <w:t>Gemäß Unterabschnitt 1.5.3.2 der dem ADN beigefügten Verordnung ist für dieses Schiff bis 31. Dezember 2018 eine Abweichung von den Anforderungen des Absatzes 9.1.0.40.2.1 (Löschmittel) zulässig. Das betreffende Löschmittel ist in diesem Absatz nicht aufgeführt. Das Schiff ist mit einem fest eingebauten Feuerlöschmittel der Trockenaerosol erzeugenden Feuerlöschanlage (Fire Pro) versehen.</w:t>
      </w:r>
    </w:p>
    <w:p w:rsidR="008D59D5" w:rsidRPr="007D0C57" w:rsidRDefault="008D59D5" w:rsidP="008D59D5">
      <w:pPr>
        <w:spacing w:after="120"/>
        <w:ind w:left="1134" w:right="1134"/>
        <w:jc w:val="both"/>
        <w:rPr>
          <w:rFonts w:eastAsia="SimSun"/>
        </w:rPr>
      </w:pPr>
      <w:r w:rsidRPr="007D0C57">
        <w:t>Der Verwaltungsausschuss hat entschieden, dass die Nutzung dieser Trockenaerosol erzeugenden Feuerlöschanlage hinreichend sicher ist, wenn die von der Zentralkommission für die Rheinschifffahrt (ZKR) festgelegten Bedingungen</w:t>
      </w:r>
      <w:r w:rsidRPr="007D0C57">
        <w:rPr>
          <w:sz w:val="18"/>
          <w:vertAlign w:val="superscript"/>
        </w:rPr>
        <w:footnoteReference w:id="3"/>
      </w:r>
      <w:r w:rsidRPr="007D0C57">
        <w:t xml:space="preserve"> zu jeder Zeit erfüllt sind.</w:t>
      </w:r>
    </w:p>
    <w:p w:rsidR="008D59D5" w:rsidRPr="007D0C57" w:rsidRDefault="008D59D5" w:rsidP="008D59D5">
      <w:pPr>
        <w:spacing w:after="120"/>
        <w:ind w:left="1134" w:right="1134"/>
        <w:jc w:val="both"/>
        <w:rPr>
          <w:rFonts w:eastAsia="SimSun"/>
        </w:rPr>
      </w:pPr>
      <w:r w:rsidRPr="007D0C57">
        <w:t>Zusätzlich gelten folgende Bedingungen:</w:t>
      </w:r>
    </w:p>
    <w:p w:rsidR="008D59D5" w:rsidRPr="007D0C57" w:rsidRDefault="008D59D5" w:rsidP="008D59D5">
      <w:pPr>
        <w:tabs>
          <w:tab w:val="left" w:pos="1701"/>
        </w:tabs>
        <w:spacing w:after="120"/>
        <w:ind w:left="1134" w:right="1134"/>
        <w:jc w:val="both"/>
        <w:rPr>
          <w:rFonts w:eastAsia="SimSun"/>
        </w:rPr>
      </w:pPr>
      <w:r w:rsidRPr="007D0C57">
        <w:t>1.</w:t>
      </w:r>
      <w:r w:rsidRPr="007D0C57">
        <w:tab/>
        <w:t>Alle Daten zum Einsatz der Trockenaerosol erzeugenden Feuerlöschanlage (Fire Pro) sind vom Betreiber zu erfassen. Die Daten sind der zuständigen Behörde auf Anfrage zu übermitteln.</w:t>
      </w:r>
    </w:p>
    <w:p w:rsidR="008D59D5" w:rsidRPr="007D0C57" w:rsidRDefault="008D59D5" w:rsidP="008D59D5">
      <w:pPr>
        <w:tabs>
          <w:tab w:val="left" w:pos="1701"/>
        </w:tabs>
        <w:spacing w:after="120"/>
        <w:ind w:left="1134" w:right="1134"/>
        <w:jc w:val="both"/>
        <w:rPr>
          <w:rFonts w:eastAsia="SimSun"/>
        </w:rPr>
      </w:pPr>
      <w:r w:rsidRPr="007D0C57">
        <w:t>2.</w:t>
      </w:r>
      <w:r w:rsidRPr="007D0C57">
        <w:tab/>
        <w:t>Nach Einsatz des fest eingebauten Feuerlöschmittels ist an das UN-ECE-Sekretariat zur Information des Verwaltungsausschusses ein Auswertungsbericht einschließlich der Betriebsdaten und des Prüfberichts der Klassifikationsgesellschaft, die die Klassifizierung des Schiffes vorgenommen hat, zu senden.</w:t>
      </w:r>
    </w:p>
    <w:p w:rsidR="008D59D5" w:rsidRPr="007D0C57" w:rsidRDefault="008D59D5" w:rsidP="008D59D5">
      <w:pPr>
        <w:suppressAutoHyphens w:val="0"/>
        <w:spacing w:line="240" w:lineRule="auto"/>
        <w:jc w:val="center"/>
        <w:rPr>
          <w:rFonts w:eastAsia="Calibri"/>
        </w:rPr>
      </w:pPr>
    </w:p>
    <w:p w:rsidR="008D59D5" w:rsidRPr="008D59D5" w:rsidRDefault="008D59D5" w:rsidP="008D59D5">
      <w:pPr>
        <w:suppressAutoHyphens w:val="0"/>
        <w:spacing w:line="240" w:lineRule="auto"/>
        <w:jc w:val="center"/>
        <w:rPr>
          <w:rFonts w:eastAsia="Calibri"/>
        </w:rPr>
      </w:pPr>
      <w:r w:rsidRPr="007D0C57">
        <w:t>***</w:t>
      </w:r>
    </w:p>
    <w:sectPr w:rsidR="008D59D5" w:rsidRPr="008D59D5" w:rsidSect="00994A7C">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CD" w:rsidRDefault="002963CD"/>
  </w:endnote>
  <w:endnote w:type="continuationSeparator" w:id="0">
    <w:p w:rsidR="002963CD" w:rsidRDefault="002963CD"/>
  </w:endnote>
  <w:endnote w:type="continuationNotice" w:id="1">
    <w:p w:rsidR="002963CD" w:rsidRDefault="00296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9" w:rsidRPr="00536499" w:rsidRDefault="00191765" w:rsidP="00536499">
    <w:pPr>
      <w:spacing w:line="240" w:lineRule="auto"/>
      <w:jc w:val="right"/>
      <w:rPr>
        <w:sz w:val="16"/>
      </w:rPr>
    </w:pPr>
    <w:r>
      <w:rPr>
        <w:rFonts w:ascii="Arial" w:hAnsi="Arial"/>
        <w:noProof/>
        <w:sz w:val="12"/>
      </w:rPr>
      <w:t>Extern/hartmann_</w:t>
    </w:r>
    <w:r w:rsidR="00536499">
      <w:rPr>
        <w:rFonts w:ascii="Arial" w:hAnsi="Arial"/>
        <w:noProof/>
        <w:sz w:val="12"/>
      </w:rPr>
      <w:t>mm/adn_38de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16" w:rsidRPr="00536499" w:rsidRDefault="00274016" w:rsidP="00274016">
    <w:pPr>
      <w:spacing w:line="240" w:lineRule="auto"/>
      <w:jc w:val="right"/>
      <w:rPr>
        <w:sz w:val="16"/>
      </w:rPr>
    </w:pPr>
    <w:r>
      <w:rPr>
        <w:rFonts w:ascii="Arial" w:hAnsi="Arial"/>
        <w:noProof/>
        <w:sz w:val="12"/>
      </w:rPr>
      <w:t>Extern/hartmann_mm/adn_38de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CD" w:rsidRPr="000B175B" w:rsidRDefault="002963CD" w:rsidP="000B175B">
      <w:pPr>
        <w:tabs>
          <w:tab w:val="right" w:pos="2155"/>
        </w:tabs>
        <w:spacing w:after="80"/>
        <w:ind w:left="680"/>
        <w:rPr>
          <w:u w:val="single"/>
        </w:rPr>
      </w:pPr>
      <w:r>
        <w:rPr>
          <w:u w:val="single"/>
        </w:rPr>
        <w:tab/>
      </w:r>
    </w:p>
  </w:footnote>
  <w:footnote w:type="continuationSeparator" w:id="0">
    <w:p w:rsidR="002963CD" w:rsidRPr="00FC68B7" w:rsidRDefault="002963CD" w:rsidP="00FC68B7">
      <w:pPr>
        <w:tabs>
          <w:tab w:val="left" w:pos="2155"/>
        </w:tabs>
        <w:spacing w:after="80"/>
        <w:ind w:left="680"/>
        <w:rPr>
          <w:u w:val="single"/>
        </w:rPr>
      </w:pPr>
      <w:r>
        <w:rPr>
          <w:u w:val="single"/>
        </w:rPr>
        <w:tab/>
      </w:r>
    </w:p>
  </w:footnote>
  <w:footnote w:type="continuationNotice" w:id="1">
    <w:p w:rsidR="002963CD" w:rsidRDefault="002963CD"/>
  </w:footnote>
  <w:footnote w:id="2">
    <w:p w:rsidR="00536499" w:rsidRPr="008D0F84" w:rsidRDefault="00536499" w:rsidP="00536499">
      <w:pPr>
        <w:pStyle w:val="FootnoteText"/>
        <w:spacing w:line="200" w:lineRule="exact"/>
      </w:pPr>
      <w:r>
        <w:tab/>
      </w:r>
      <w:r>
        <w:rPr>
          <w:rStyle w:val="FootnoteReference"/>
          <w:sz w:val="20"/>
          <w:vertAlign w:val="baseline"/>
        </w:rPr>
        <w:t>*</w:t>
      </w:r>
      <w:r>
        <w:tab/>
        <w:t>Von der UN-ECE in Englisch, Französisch und Russisch unter dem Aktenzeichen CCNR-ZKR/ADN/38 verteilt.</w:t>
      </w:r>
    </w:p>
  </w:footnote>
  <w:footnote w:id="3">
    <w:p w:rsidR="008D59D5" w:rsidRPr="00C75055" w:rsidRDefault="008D59D5" w:rsidP="008D59D5">
      <w:pPr>
        <w:pStyle w:val="FootnoteText"/>
        <w:tabs>
          <w:tab w:val="clear" w:pos="1021"/>
          <w:tab w:val="left" w:pos="284"/>
        </w:tabs>
        <w:ind w:left="284" w:hanging="284"/>
        <w:jc w:val="both"/>
        <w:rPr>
          <w:sz w:val="16"/>
          <w:szCs w:val="16"/>
        </w:rPr>
      </w:pPr>
      <w:r>
        <w:rPr>
          <w:rStyle w:val="FootnoteReference"/>
        </w:rPr>
        <w:footnoteRef/>
      </w:r>
      <w:r>
        <w:t xml:space="preserve"> </w:t>
      </w:r>
      <w:r>
        <w:tab/>
      </w:r>
      <w:r>
        <w:rPr>
          <w:sz w:val="16"/>
        </w:rPr>
        <w:t xml:space="preserve">Siehe informelles Dokument INF.3, eingereicht in der 28. Sitzung des ADN-Sicherheitsausschusses, unter: </w:t>
      </w:r>
      <w:hyperlink r:id="rId1" w:history="1">
        <w:r>
          <w:rPr>
            <w:rStyle w:val="Hyperlink"/>
            <w:sz w:val="16"/>
          </w:rPr>
          <w:t>http://www.unece.org/fileadmin/DAM/trans/doc/2016/dgwp15ac2/WP15-AC2-28-inf03e.pdf</w:t>
        </w:r>
      </w:hyperlink>
      <w:r>
        <w:rPr>
          <w:rStyle w:val="Hyperlink"/>
          <w:sz w:val="16"/>
        </w:rPr>
        <w:t xml:space="preserve"> und INF.30 </w:t>
      </w:r>
      <w:r>
        <w:rPr>
          <w:sz w:val="16"/>
        </w:rPr>
        <w:t>eingereicht in der 29.</w:t>
      </w:r>
      <w:r w:rsidR="002B23DB">
        <w:rPr>
          <w:sz w:val="16"/>
        </w:rPr>
        <w:t> </w:t>
      </w:r>
      <w:r>
        <w:rPr>
          <w:sz w:val="16"/>
        </w:rPr>
        <w:t>Sitzung des ADN-Sicherheitsausschusses, unter</w:t>
      </w:r>
      <w:r>
        <w:rPr>
          <w:rStyle w:val="Hyperlink"/>
          <w:sz w:val="16"/>
        </w:rPr>
        <w:t>: http://www.unece.org/fileadmin/DAM/trans/doc/2016/dgwp15ac2/WP15-AC2-29-inf30e.pdf.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9" w:rsidRPr="00536499" w:rsidRDefault="00536499" w:rsidP="00536499">
    <w:pPr>
      <w:spacing w:line="240" w:lineRule="auto"/>
      <w:rPr>
        <w:rFonts w:ascii="Arial" w:hAnsi="Arial"/>
        <w:snapToGrid w:val="0"/>
        <w:sz w:val="16"/>
        <w:szCs w:val="16"/>
      </w:rPr>
    </w:pPr>
    <w:r>
      <w:rPr>
        <w:rFonts w:ascii="Arial" w:hAnsi="Arial"/>
        <w:snapToGrid w:val="0"/>
        <w:sz w:val="16"/>
      </w:rPr>
      <w:t>CCNR-ZKR/ADN/38</w:t>
    </w:r>
  </w:p>
  <w:p w:rsidR="00536499" w:rsidRPr="00536499" w:rsidRDefault="00536499" w:rsidP="00536499">
    <w:pPr>
      <w:spacing w:line="240" w:lineRule="auto"/>
    </w:pPr>
    <w:r>
      <w:rPr>
        <w:rFonts w:ascii="Arial" w:hAnsi="Arial"/>
        <w:snapToGrid w:val="0"/>
        <w:sz w:val="16"/>
      </w:rPr>
      <w:t xml:space="preserve">Seite </w:t>
    </w:r>
    <w:r w:rsidRPr="00536499">
      <w:rPr>
        <w:rFonts w:ascii="Arial" w:hAnsi="Arial"/>
        <w:snapToGrid w:val="0"/>
        <w:sz w:val="16"/>
        <w:szCs w:val="16"/>
      </w:rPr>
      <w:fldChar w:fldCharType="begin"/>
    </w:r>
    <w:r w:rsidRPr="00536499">
      <w:rPr>
        <w:rFonts w:ascii="Arial" w:hAnsi="Arial"/>
        <w:snapToGrid w:val="0"/>
        <w:sz w:val="16"/>
        <w:szCs w:val="16"/>
      </w:rPr>
      <w:instrText xml:space="preserve"> PAGE  \* MERGEFORMAT </w:instrText>
    </w:r>
    <w:r w:rsidRPr="00536499">
      <w:rPr>
        <w:rFonts w:ascii="Arial" w:hAnsi="Arial"/>
        <w:snapToGrid w:val="0"/>
        <w:sz w:val="16"/>
        <w:szCs w:val="16"/>
      </w:rPr>
      <w:fldChar w:fldCharType="separate"/>
    </w:r>
    <w:r w:rsidR="002C79D4">
      <w:rPr>
        <w:rFonts w:ascii="Arial" w:hAnsi="Arial"/>
        <w:noProof/>
        <w:snapToGrid w:val="0"/>
        <w:sz w:val="16"/>
        <w:szCs w:val="16"/>
      </w:rPr>
      <w:t>2</w:t>
    </w:r>
    <w:r w:rsidRPr="0053649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9" w:rsidRPr="00536499" w:rsidRDefault="00D4152B" w:rsidP="00B6684E">
    <w:pPr>
      <w:spacing w:line="240" w:lineRule="auto"/>
      <w:jc w:val="right"/>
      <w:rPr>
        <w:rFonts w:ascii="Arial" w:hAnsi="Arial"/>
        <w:snapToGrid w:val="0"/>
        <w:sz w:val="16"/>
        <w:szCs w:val="16"/>
      </w:rPr>
    </w:pPr>
    <w:r>
      <w:rPr>
        <w:rFonts w:ascii="Arial" w:hAnsi="Arial"/>
        <w:snapToGrid w:val="0"/>
        <w:sz w:val="16"/>
      </w:rPr>
      <w:t>CCNR-ZKR/ADN/38</w:t>
    </w:r>
  </w:p>
  <w:p w:rsidR="00536499" w:rsidRPr="00536499" w:rsidRDefault="00536499" w:rsidP="00B6684E">
    <w:pPr>
      <w:spacing w:line="240" w:lineRule="auto"/>
      <w:jc w:val="right"/>
    </w:pPr>
    <w:r>
      <w:rPr>
        <w:rFonts w:ascii="Arial" w:hAnsi="Arial"/>
        <w:snapToGrid w:val="0"/>
        <w:sz w:val="16"/>
      </w:rPr>
      <w:t xml:space="preserve">Seite </w:t>
    </w:r>
    <w:r w:rsidRPr="00536499">
      <w:rPr>
        <w:rFonts w:ascii="Arial" w:hAnsi="Arial"/>
        <w:snapToGrid w:val="0"/>
        <w:sz w:val="16"/>
        <w:szCs w:val="16"/>
      </w:rPr>
      <w:fldChar w:fldCharType="begin"/>
    </w:r>
    <w:r w:rsidRPr="00536499">
      <w:rPr>
        <w:rFonts w:ascii="Arial" w:hAnsi="Arial"/>
        <w:snapToGrid w:val="0"/>
        <w:sz w:val="16"/>
        <w:szCs w:val="16"/>
      </w:rPr>
      <w:instrText xml:space="preserve"> PAGE  \* MERGEFORMAT </w:instrText>
    </w:r>
    <w:r w:rsidRPr="00536499">
      <w:rPr>
        <w:rFonts w:ascii="Arial" w:hAnsi="Arial"/>
        <w:snapToGrid w:val="0"/>
        <w:sz w:val="16"/>
        <w:szCs w:val="16"/>
      </w:rPr>
      <w:fldChar w:fldCharType="separate"/>
    </w:r>
    <w:r w:rsidR="002C79D4">
      <w:rPr>
        <w:rFonts w:ascii="Arial" w:hAnsi="Arial"/>
        <w:noProof/>
        <w:snapToGrid w:val="0"/>
        <w:sz w:val="16"/>
        <w:szCs w:val="16"/>
      </w:rPr>
      <w:t>5</w:t>
    </w:r>
    <w:r w:rsidRPr="0053649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unter" w:val="Vs104_x0009_7559_x0009_0_x0009_0_x0009_0_x0009_0_x0009_0_x0009_0_x0009_0_x0009_"/>
    <w:docVar w:name="WfGraphics" w:val="X"/>
    <w:docVar w:name="WfID" w:val="14641022"/>
    <w:docVar w:name="WfLastSegment" w:val="17225 n"/>
    <w:docVar w:name="WfMT" w:val="0"/>
    <w:docVar w:name="WfProtection" w:val="1"/>
    <w:docVar w:name="WfSegPar" w:val="10000 -1 0 0 6"/>
    <w:docVar w:name="WfSetup" w:val="C:\users\b.achhammer\appdata\roaming\microsoft\word\startup\Wordfast.ini"/>
    <w:docVar w:name="WfStyles" w:val=" 280   no"/>
    <w:docVar w:name="WfWarned" w:val="X"/>
  </w:docVars>
  <w:rsids>
    <w:rsidRoot w:val="00C629A0"/>
    <w:rsid w:val="0000704F"/>
    <w:rsid w:val="000114D5"/>
    <w:rsid w:val="00016FC9"/>
    <w:rsid w:val="00022DD9"/>
    <w:rsid w:val="000255DB"/>
    <w:rsid w:val="00026C8B"/>
    <w:rsid w:val="00033590"/>
    <w:rsid w:val="000428CD"/>
    <w:rsid w:val="00045CAB"/>
    <w:rsid w:val="0004607B"/>
    <w:rsid w:val="00046B1F"/>
    <w:rsid w:val="00050F6B"/>
    <w:rsid w:val="00057E97"/>
    <w:rsid w:val="00072C8C"/>
    <w:rsid w:val="000733B5"/>
    <w:rsid w:val="00081815"/>
    <w:rsid w:val="00083C0A"/>
    <w:rsid w:val="000865FA"/>
    <w:rsid w:val="0008673F"/>
    <w:rsid w:val="000931C0"/>
    <w:rsid w:val="000B0595"/>
    <w:rsid w:val="000B175B"/>
    <w:rsid w:val="000B1B56"/>
    <w:rsid w:val="000B3A0F"/>
    <w:rsid w:val="000B4CB8"/>
    <w:rsid w:val="000B4EF7"/>
    <w:rsid w:val="000B5848"/>
    <w:rsid w:val="000C2C03"/>
    <w:rsid w:val="000C2D2E"/>
    <w:rsid w:val="000C4B5C"/>
    <w:rsid w:val="000C7C49"/>
    <w:rsid w:val="000D01E6"/>
    <w:rsid w:val="000E0415"/>
    <w:rsid w:val="000E0CB4"/>
    <w:rsid w:val="000F3EBA"/>
    <w:rsid w:val="000F5DC5"/>
    <w:rsid w:val="001103AA"/>
    <w:rsid w:val="0011666B"/>
    <w:rsid w:val="001300E9"/>
    <w:rsid w:val="001619C3"/>
    <w:rsid w:val="00165F3A"/>
    <w:rsid w:val="001704E8"/>
    <w:rsid w:val="001903A2"/>
    <w:rsid w:val="00191765"/>
    <w:rsid w:val="001A6079"/>
    <w:rsid w:val="001B4B04"/>
    <w:rsid w:val="001C6663"/>
    <w:rsid w:val="001C7895"/>
    <w:rsid w:val="001D0C8C"/>
    <w:rsid w:val="001D1419"/>
    <w:rsid w:val="001D26DF"/>
    <w:rsid w:val="001D2A5B"/>
    <w:rsid w:val="001D3A03"/>
    <w:rsid w:val="001D7539"/>
    <w:rsid w:val="001E2C0E"/>
    <w:rsid w:val="001E7B67"/>
    <w:rsid w:val="00202DA8"/>
    <w:rsid w:val="0020650B"/>
    <w:rsid w:val="00211E0B"/>
    <w:rsid w:val="00217DA2"/>
    <w:rsid w:val="002315D3"/>
    <w:rsid w:val="00233D31"/>
    <w:rsid w:val="00234F46"/>
    <w:rsid w:val="00245230"/>
    <w:rsid w:val="002468C2"/>
    <w:rsid w:val="0024772E"/>
    <w:rsid w:val="002533CB"/>
    <w:rsid w:val="002637FF"/>
    <w:rsid w:val="00265FC3"/>
    <w:rsid w:val="00266FC6"/>
    <w:rsid w:val="00267F5F"/>
    <w:rsid w:val="00272268"/>
    <w:rsid w:val="00274016"/>
    <w:rsid w:val="002802A6"/>
    <w:rsid w:val="002848A3"/>
    <w:rsid w:val="00286B4D"/>
    <w:rsid w:val="002963CD"/>
    <w:rsid w:val="002A3F9D"/>
    <w:rsid w:val="002A6922"/>
    <w:rsid w:val="002A75EB"/>
    <w:rsid w:val="002B23DB"/>
    <w:rsid w:val="002B3A75"/>
    <w:rsid w:val="002B558A"/>
    <w:rsid w:val="002C6EC6"/>
    <w:rsid w:val="002C79D4"/>
    <w:rsid w:val="002D0464"/>
    <w:rsid w:val="002D4643"/>
    <w:rsid w:val="002E64C8"/>
    <w:rsid w:val="002F175C"/>
    <w:rsid w:val="00301AA8"/>
    <w:rsid w:val="00302E18"/>
    <w:rsid w:val="00320B63"/>
    <w:rsid w:val="00320D37"/>
    <w:rsid w:val="003229D8"/>
    <w:rsid w:val="003300CF"/>
    <w:rsid w:val="003338E1"/>
    <w:rsid w:val="003340FA"/>
    <w:rsid w:val="003402A6"/>
    <w:rsid w:val="003434FA"/>
    <w:rsid w:val="00352709"/>
    <w:rsid w:val="00355149"/>
    <w:rsid w:val="00356807"/>
    <w:rsid w:val="003611EC"/>
    <w:rsid w:val="003619B5"/>
    <w:rsid w:val="00365763"/>
    <w:rsid w:val="003679F1"/>
    <w:rsid w:val="00371178"/>
    <w:rsid w:val="0038163B"/>
    <w:rsid w:val="00390588"/>
    <w:rsid w:val="00392E47"/>
    <w:rsid w:val="00395554"/>
    <w:rsid w:val="00395F5F"/>
    <w:rsid w:val="003A6810"/>
    <w:rsid w:val="003B2689"/>
    <w:rsid w:val="003C120B"/>
    <w:rsid w:val="003C2398"/>
    <w:rsid w:val="003C2CC4"/>
    <w:rsid w:val="003C740B"/>
    <w:rsid w:val="003D4000"/>
    <w:rsid w:val="003D4B23"/>
    <w:rsid w:val="003E15FD"/>
    <w:rsid w:val="003E1D2C"/>
    <w:rsid w:val="003E2515"/>
    <w:rsid w:val="003F7C88"/>
    <w:rsid w:val="00402817"/>
    <w:rsid w:val="00410C89"/>
    <w:rsid w:val="00412E56"/>
    <w:rsid w:val="00422E03"/>
    <w:rsid w:val="00423059"/>
    <w:rsid w:val="0042500C"/>
    <w:rsid w:val="00426B9B"/>
    <w:rsid w:val="004313C6"/>
    <w:rsid w:val="00431ABC"/>
    <w:rsid w:val="004325CB"/>
    <w:rsid w:val="00436F31"/>
    <w:rsid w:val="00442A83"/>
    <w:rsid w:val="00445375"/>
    <w:rsid w:val="00445B90"/>
    <w:rsid w:val="0045495B"/>
    <w:rsid w:val="00464ED2"/>
    <w:rsid w:val="004663A4"/>
    <w:rsid w:val="0048397A"/>
    <w:rsid w:val="00484D01"/>
    <w:rsid w:val="00485CBB"/>
    <w:rsid w:val="004861F3"/>
    <w:rsid w:val="004866B7"/>
    <w:rsid w:val="004B22E3"/>
    <w:rsid w:val="004C0276"/>
    <w:rsid w:val="004C1DF0"/>
    <w:rsid w:val="004C2461"/>
    <w:rsid w:val="004C7462"/>
    <w:rsid w:val="004D02BA"/>
    <w:rsid w:val="004D60CC"/>
    <w:rsid w:val="004E76CE"/>
    <w:rsid w:val="004E76EC"/>
    <w:rsid w:val="004E77B2"/>
    <w:rsid w:val="004F5ACD"/>
    <w:rsid w:val="00504B2D"/>
    <w:rsid w:val="00510B81"/>
    <w:rsid w:val="0052136D"/>
    <w:rsid w:val="0052775E"/>
    <w:rsid w:val="00536499"/>
    <w:rsid w:val="005413D0"/>
    <w:rsid w:val="005420F2"/>
    <w:rsid w:val="005566B9"/>
    <w:rsid w:val="005628B6"/>
    <w:rsid w:val="0057272F"/>
    <w:rsid w:val="005736A9"/>
    <w:rsid w:val="0058071B"/>
    <w:rsid w:val="0058432E"/>
    <w:rsid w:val="0058795F"/>
    <w:rsid w:val="00590F02"/>
    <w:rsid w:val="005941EC"/>
    <w:rsid w:val="0059724D"/>
    <w:rsid w:val="005A1518"/>
    <w:rsid w:val="005A17C1"/>
    <w:rsid w:val="005A75BB"/>
    <w:rsid w:val="005B0E8B"/>
    <w:rsid w:val="005B0F71"/>
    <w:rsid w:val="005B3DB3"/>
    <w:rsid w:val="005B4E13"/>
    <w:rsid w:val="005C342F"/>
    <w:rsid w:val="005C5B3C"/>
    <w:rsid w:val="005D1D18"/>
    <w:rsid w:val="005E13B9"/>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2530"/>
    <w:rsid w:val="006A513D"/>
    <w:rsid w:val="006B60AB"/>
    <w:rsid w:val="006C058B"/>
    <w:rsid w:val="006C3589"/>
    <w:rsid w:val="006C7EA4"/>
    <w:rsid w:val="006D2474"/>
    <w:rsid w:val="006D3588"/>
    <w:rsid w:val="006D37AF"/>
    <w:rsid w:val="006D51D0"/>
    <w:rsid w:val="006D58B2"/>
    <w:rsid w:val="006D5FB9"/>
    <w:rsid w:val="006E564B"/>
    <w:rsid w:val="006E6875"/>
    <w:rsid w:val="006E7191"/>
    <w:rsid w:val="006E7DCE"/>
    <w:rsid w:val="006F4E10"/>
    <w:rsid w:val="006F5874"/>
    <w:rsid w:val="0070240C"/>
    <w:rsid w:val="00703577"/>
    <w:rsid w:val="00705894"/>
    <w:rsid w:val="00711563"/>
    <w:rsid w:val="007155A8"/>
    <w:rsid w:val="00723D14"/>
    <w:rsid w:val="0072632A"/>
    <w:rsid w:val="007327D5"/>
    <w:rsid w:val="00746DB8"/>
    <w:rsid w:val="00747974"/>
    <w:rsid w:val="007511BB"/>
    <w:rsid w:val="00753FFB"/>
    <w:rsid w:val="00756D5E"/>
    <w:rsid w:val="007576BD"/>
    <w:rsid w:val="007629C8"/>
    <w:rsid w:val="0077047D"/>
    <w:rsid w:val="0078160F"/>
    <w:rsid w:val="00783E69"/>
    <w:rsid w:val="00791BE4"/>
    <w:rsid w:val="007930FC"/>
    <w:rsid w:val="007937DE"/>
    <w:rsid w:val="007A29A2"/>
    <w:rsid w:val="007A3583"/>
    <w:rsid w:val="007B0DC8"/>
    <w:rsid w:val="007B465E"/>
    <w:rsid w:val="007B6BA5"/>
    <w:rsid w:val="007B73C2"/>
    <w:rsid w:val="007C3390"/>
    <w:rsid w:val="007C4F4B"/>
    <w:rsid w:val="007D0C57"/>
    <w:rsid w:val="007D17E4"/>
    <w:rsid w:val="007E01E9"/>
    <w:rsid w:val="007E63F3"/>
    <w:rsid w:val="007E7E29"/>
    <w:rsid w:val="007F5373"/>
    <w:rsid w:val="007F6611"/>
    <w:rsid w:val="00807AB0"/>
    <w:rsid w:val="00811920"/>
    <w:rsid w:val="0081206C"/>
    <w:rsid w:val="00813140"/>
    <w:rsid w:val="00815AD0"/>
    <w:rsid w:val="0082249A"/>
    <w:rsid w:val="008242D7"/>
    <w:rsid w:val="008257B1"/>
    <w:rsid w:val="00832334"/>
    <w:rsid w:val="00835054"/>
    <w:rsid w:val="008378F6"/>
    <w:rsid w:val="00841860"/>
    <w:rsid w:val="00843767"/>
    <w:rsid w:val="00843FAC"/>
    <w:rsid w:val="00852F2B"/>
    <w:rsid w:val="0085481A"/>
    <w:rsid w:val="00856711"/>
    <w:rsid w:val="00857753"/>
    <w:rsid w:val="00857B4B"/>
    <w:rsid w:val="00866275"/>
    <w:rsid w:val="008679D9"/>
    <w:rsid w:val="00872519"/>
    <w:rsid w:val="008878DE"/>
    <w:rsid w:val="008920AD"/>
    <w:rsid w:val="00895AC5"/>
    <w:rsid w:val="0089757F"/>
    <w:rsid w:val="008979B1"/>
    <w:rsid w:val="008A1500"/>
    <w:rsid w:val="008A3219"/>
    <w:rsid w:val="008A6B25"/>
    <w:rsid w:val="008A6C4F"/>
    <w:rsid w:val="008B2335"/>
    <w:rsid w:val="008B54CF"/>
    <w:rsid w:val="008B7C1C"/>
    <w:rsid w:val="008D4AF2"/>
    <w:rsid w:val="008D59D5"/>
    <w:rsid w:val="008E0678"/>
    <w:rsid w:val="008E54BF"/>
    <w:rsid w:val="008E7CAA"/>
    <w:rsid w:val="008F31D2"/>
    <w:rsid w:val="00902008"/>
    <w:rsid w:val="00903349"/>
    <w:rsid w:val="009040F0"/>
    <w:rsid w:val="009049AF"/>
    <w:rsid w:val="00904D53"/>
    <w:rsid w:val="009223CA"/>
    <w:rsid w:val="00922726"/>
    <w:rsid w:val="00926E31"/>
    <w:rsid w:val="00940F93"/>
    <w:rsid w:val="00946CE5"/>
    <w:rsid w:val="0095086B"/>
    <w:rsid w:val="00970296"/>
    <w:rsid w:val="00973BB5"/>
    <w:rsid w:val="009760F3"/>
    <w:rsid w:val="00976CFB"/>
    <w:rsid w:val="009856EB"/>
    <w:rsid w:val="00991A70"/>
    <w:rsid w:val="009922A5"/>
    <w:rsid w:val="00994A7C"/>
    <w:rsid w:val="00997BA9"/>
    <w:rsid w:val="009A0830"/>
    <w:rsid w:val="009A0E8D"/>
    <w:rsid w:val="009B19C0"/>
    <w:rsid w:val="009B26E7"/>
    <w:rsid w:val="009B4184"/>
    <w:rsid w:val="009C6860"/>
    <w:rsid w:val="009C6FE7"/>
    <w:rsid w:val="009D391F"/>
    <w:rsid w:val="00A00697"/>
    <w:rsid w:val="00A00A3F"/>
    <w:rsid w:val="00A01489"/>
    <w:rsid w:val="00A21F62"/>
    <w:rsid w:val="00A3026E"/>
    <w:rsid w:val="00A338F1"/>
    <w:rsid w:val="00A35BE0"/>
    <w:rsid w:val="00A56D0E"/>
    <w:rsid w:val="00A72F22"/>
    <w:rsid w:val="00A7360F"/>
    <w:rsid w:val="00A742FB"/>
    <w:rsid w:val="00A748A6"/>
    <w:rsid w:val="00A769F4"/>
    <w:rsid w:val="00A776B4"/>
    <w:rsid w:val="00A80B52"/>
    <w:rsid w:val="00A9032A"/>
    <w:rsid w:val="00A94361"/>
    <w:rsid w:val="00AA293C"/>
    <w:rsid w:val="00AB25FB"/>
    <w:rsid w:val="00AC6192"/>
    <w:rsid w:val="00AD2A8F"/>
    <w:rsid w:val="00AE51B7"/>
    <w:rsid w:val="00AF3335"/>
    <w:rsid w:val="00AF7EF5"/>
    <w:rsid w:val="00B00142"/>
    <w:rsid w:val="00B049CB"/>
    <w:rsid w:val="00B157BB"/>
    <w:rsid w:val="00B2157F"/>
    <w:rsid w:val="00B221CB"/>
    <w:rsid w:val="00B2324F"/>
    <w:rsid w:val="00B30179"/>
    <w:rsid w:val="00B421C1"/>
    <w:rsid w:val="00B44010"/>
    <w:rsid w:val="00B46789"/>
    <w:rsid w:val="00B46865"/>
    <w:rsid w:val="00B55C71"/>
    <w:rsid w:val="00B56E4A"/>
    <w:rsid w:val="00B56E9C"/>
    <w:rsid w:val="00B646FB"/>
    <w:rsid w:val="00B64B1F"/>
    <w:rsid w:val="00B6553F"/>
    <w:rsid w:val="00B6684E"/>
    <w:rsid w:val="00B71FD8"/>
    <w:rsid w:val="00B77D05"/>
    <w:rsid w:val="00B81206"/>
    <w:rsid w:val="00B81E12"/>
    <w:rsid w:val="00B87D39"/>
    <w:rsid w:val="00B925A4"/>
    <w:rsid w:val="00BA2F41"/>
    <w:rsid w:val="00BB2C2B"/>
    <w:rsid w:val="00BC0545"/>
    <w:rsid w:val="00BC15E4"/>
    <w:rsid w:val="00BC3FA0"/>
    <w:rsid w:val="00BC74E9"/>
    <w:rsid w:val="00BD7C20"/>
    <w:rsid w:val="00BE00DC"/>
    <w:rsid w:val="00BE2CB0"/>
    <w:rsid w:val="00BE42E4"/>
    <w:rsid w:val="00BF0341"/>
    <w:rsid w:val="00BF30E9"/>
    <w:rsid w:val="00BF5B43"/>
    <w:rsid w:val="00BF68A8"/>
    <w:rsid w:val="00C0328C"/>
    <w:rsid w:val="00C04DF6"/>
    <w:rsid w:val="00C11A03"/>
    <w:rsid w:val="00C1280C"/>
    <w:rsid w:val="00C16BF1"/>
    <w:rsid w:val="00C22870"/>
    <w:rsid w:val="00C22C0C"/>
    <w:rsid w:val="00C2541D"/>
    <w:rsid w:val="00C37D26"/>
    <w:rsid w:val="00C4527F"/>
    <w:rsid w:val="00C463DD"/>
    <w:rsid w:val="00C4724C"/>
    <w:rsid w:val="00C52C6A"/>
    <w:rsid w:val="00C629A0"/>
    <w:rsid w:val="00C62BAA"/>
    <w:rsid w:val="00C62CB8"/>
    <w:rsid w:val="00C62D04"/>
    <w:rsid w:val="00C64629"/>
    <w:rsid w:val="00C70AAF"/>
    <w:rsid w:val="00C745C3"/>
    <w:rsid w:val="00C75055"/>
    <w:rsid w:val="00C76E57"/>
    <w:rsid w:val="00C81C32"/>
    <w:rsid w:val="00C84455"/>
    <w:rsid w:val="00C96DF2"/>
    <w:rsid w:val="00CA36EF"/>
    <w:rsid w:val="00CB3E03"/>
    <w:rsid w:val="00CC53BF"/>
    <w:rsid w:val="00CD210A"/>
    <w:rsid w:val="00CD4AA6"/>
    <w:rsid w:val="00CE18F1"/>
    <w:rsid w:val="00CE4A8F"/>
    <w:rsid w:val="00CE7052"/>
    <w:rsid w:val="00CF0BA3"/>
    <w:rsid w:val="00CF1164"/>
    <w:rsid w:val="00CF1AF3"/>
    <w:rsid w:val="00CF36A4"/>
    <w:rsid w:val="00D07AA4"/>
    <w:rsid w:val="00D2031B"/>
    <w:rsid w:val="00D248B6"/>
    <w:rsid w:val="00D25FE2"/>
    <w:rsid w:val="00D4152B"/>
    <w:rsid w:val="00D43252"/>
    <w:rsid w:val="00D43882"/>
    <w:rsid w:val="00D47EEA"/>
    <w:rsid w:val="00D54124"/>
    <w:rsid w:val="00D573ED"/>
    <w:rsid w:val="00D704F0"/>
    <w:rsid w:val="00D73F51"/>
    <w:rsid w:val="00D76943"/>
    <w:rsid w:val="00D773DF"/>
    <w:rsid w:val="00D95303"/>
    <w:rsid w:val="00D978C6"/>
    <w:rsid w:val="00D97FF2"/>
    <w:rsid w:val="00DA3C1C"/>
    <w:rsid w:val="00DC05E9"/>
    <w:rsid w:val="00DC4B67"/>
    <w:rsid w:val="00DD0829"/>
    <w:rsid w:val="00DD50C9"/>
    <w:rsid w:val="00DE1403"/>
    <w:rsid w:val="00DE2F89"/>
    <w:rsid w:val="00DE5D7A"/>
    <w:rsid w:val="00DF3659"/>
    <w:rsid w:val="00E0415B"/>
    <w:rsid w:val="00E046DF"/>
    <w:rsid w:val="00E25EE3"/>
    <w:rsid w:val="00E27346"/>
    <w:rsid w:val="00E278A9"/>
    <w:rsid w:val="00E32B26"/>
    <w:rsid w:val="00E32E85"/>
    <w:rsid w:val="00E42722"/>
    <w:rsid w:val="00E44450"/>
    <w:rsid w:val="00E44BB2"/>
    <w:rsid w:val="00E71BC8"/>
    <w:rsid w:val="00E7260F"/>
    <w:rsid w:val="00E72C3F"/>
    <w:rsid w:val="00E73BA9"/>
    <w:rsid w:val="00E73F5D"/>
    <w:rsid w:val="00E74505"/>
    <w:rsid w:val="00E77E4E"/>
    <w:rsid w:val="00E91B0A"/>
    <w:rsid w:val="00E96630"/>
    <w:rsid w:val="00EC014D"/>
    <w:rsid w:val="00ED486D"/>
    <w:rsid w:val="00ED658A"/>
    <w:rsid w:val="00ED7A2A"/>
    <w:rsid w:val="00EE1CA2"/>
    <w:rsid w:val="00EE388F"/>
    <w:rsid w:val="00EE3A2E"/>
    <w:rsid w:val="00EF1D7F"/>
    <w:rsid w:val="00EF6151"/>
    <w:rsid w:val="00EF7446"/>
    <w:rsid w:val="00F02135"/>
    <w:rsid w:val="00F06C95"/>
    <w:rsid w:val="00F2267F"/>
    <w:rsid w:val="00F31E5F"/>
    <w:rsid w:val="00F35FB5"/>
    <w:rsid w:val="00F36F9F"/>
    <w:rsid w:val="00F47865"/>
    <w:rsid w:val="00F56EC3"/>
    <w:rsid w:val="00F6100A"/>
    <w:rsid w:val="00F71CF4"/>
    <w:rsid w:val="00F77AC5"/>
    <w:rsid w:val="00F829EF"/>
    <w:rsid w:val="00F8329C"/>
    <w:rsid w:val="00F834AC"/>
    <w:rsid w:val="00F852E9"/>
    <w:rsid w:val="00F860EE"/>
    <w:rsid w:val="00F93781"/>
    <w:rsid w:val="00FA6DE6"/>
    <w:rsid w:val="00FB3B4C"/>
    <w:rsid w:val="00FB613B"/>
    <w:rsid w:val="00FC68B7"/>
    <w:rsid w:val="00FC68FA"/>
    <w:rsid w:val="00FD3F98"/>
    <w:rsid w:val="00FD5AED"/>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B9A8F6-C82B-43E9-BCDD-C90BC38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65"/>
    <w:pPr>
      <w:suppressAutoHyphens/>
      <w:spacing w:line="240" w:lineRule="atLeast"/>
    </w:p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de-DE" w:eastAsia="de-DE" w:bidi="de-DE"/>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de-DE" w:eastAsia="de-DE" w:bidi="de-DE"/>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de-DE"/>
    </w:rPr>
  </w:style>
  <w:style w:type="character" w:customStyle="1" w:styleId="FootnoteTextChar">
    <w:name w:val="Footnote Text Char"/>
    <w:aliases w:val="5_G Char"/>
    <w:link w:val="FootnoteText"/>
    <w:rsid w:val="00F2267F"/>
    <w:rPr>
      <w:sz w:val="18"/>
      <w:lang w:eastAsia="de-DE"/>
    </w:rPr>
  </w:style>
  <w:style w:type="character" w:customStyle="1" w:styleId="H1GChar">
    <w:name w:val="_ H_1_G Char"/>
    <w:link w:val="H1G"/>
    <w:rsid w:val="00F2267F"/>
    <w:rPr>
      <w:b/>
      <w:sz w:val="24"/>
      <w:lang w:eastAsia="de-DE"/>
    </w:rPr>
  </w:style>
  <w:style w:type="character" w:customStyle="1" w:styleId="tw4winMark">
    <w:name w:val="tw4winMark"/>
    <w:basedOn w:val="DefaultParagraphFont"/>
    <w:rsid w:val="007B465E"/>
    <w:rPr>
      <w:rFonts w:ascii="Courier New" w:hAnsi="Courier New" w:cs="Courier New"/>
      <w:b w:val="0"/>
      <w:i w:val="0"/>
      <w:dstrike w:val="0"/>
      <w:noProof/>
      <w:vanish/>
      <w:color w:val="800080"/>
      <w:spacing w:val="0"/>
      <w:kern w:val="30"/>
      <w:sz w:val="18"/>
      <w:effect w:val="none"/>
      <w:vertAlign w:val="sub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wp15ac2/WP15-AC2-28-inf0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0079-B52D-4B99-9168-66D10F05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8289</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9724</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Caillot</cp:lastModifiedBy>
  <cp:revision>2</cp:revision>
  <cp:lastPrinted>2016-09-15T09:58:00Z</cp:lastPrinted>
  <dcterms:created xsi:type="dcterms:W3CDTF">2016-09-16T07:53:00Z</dcterms:created>
  <dcterms:modified xsi:type="dcterms:W3CDTF">2016-09-16T07:53:00Z</dcterms:modified>
</cp:coreProperties>
</file>