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26228A">
              <w:fldChar w:fldCharType="begin"/>
            </w:r>
            <w:r w:rsidR="0026228A">
              <w:instrText xml:space="preserve"> FILLIN  "Введите символ после ЕCE/"  \* MERGEFORMAT </w:instrText>
            </w:r>
            <w:r w:rsidR="0026228A">
              <w:fldChar w:fldCharType="separate"/>
            </w:r>
            <w:r w:rsidR="00A01962">
              <w:t>ADN/36/Add.1</w:t>
            </w:r>
            <w:r w:rsidR="0026228A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356029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356029" w:rsidRDefault="00A658DB" w:rsidP="007B199D">
            <w:pPr>
              <w:spacing w:before="240"/>
              <w:rPr>
                <w:lang w:val="en-US"/>
              </w:rPr>
            </w:pPr>
            <w:r w:rsidRPr="00356029">
              <w:rPr>
                <w:lang w:val="en-US"/>
              </w:rPr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356029">
              <w:rPr>
                <w:lang w:val="en-US"/>
              </w:rPr>
              <w:instrText xml:space="preserve"> FORMDROPDOWN </w:instrText>
            </w:r>
            <w:r w:rsidR="0026228A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356029" w:rsidRDefault="00A658DB" w:rsidP="007B199D">
            <w:pPr>
              <w:rPr>
                <w:lang w:val="en-US"/>
              </w:rPr>
            </w:pPr>
            <w:r w:rsidRPr="00245892">
              <w:fldChar w:fldCharType="begin"/>
            </w:r>
            <w:r w:rsidRPr="00356029">
              <w:rPr>
                <w:lang w:val="en-US"/>
              </w:rPr>
              <w:instrText xml:space="preserve"> FILLIN  "</w:instrText>
            </w:r>
            <w:r w:rsidRPr="00245892">
              <w:instrText>Введите</w:instrText>
            </w:r>
            <w:r w:rsidRPr="00356029">
              <w:rPr>
                <w:lang w:val="en-US"/>
              </w:rPr>
              <w:instrText xml:space="preserve"> </w:instrText>
            </w:r>
            <w:r w:rsidRPr="00245892">
              <w:instrText>дату</w:instrText>
            </w:r>
            <w:r w:rsidRPr="00356029">
              <w:rPr>
                <w:lang w:val="en-US"/>
              </w:rPr>
              <w:instrText xml:space="preserve"> </w:instrText>
            </w:r>
            <w:r w:rsidRPr="00245892">
              <w:instrText>документа</w:instrText>
            </w:r>
            <w:r w:rsidRPr="00356029">
              <w:rPr>
                <w:lang w:val="en-US"/>
              </w:rPr>
              <w:instrText xml:space="preserve">" \* MERGEFORMAT </w:instrText>
            </w:r>
            <w:r w:rsidRPr="00245892">
              <w:fldChar w:fldCharType="separate"/>
            </w:r>
            <w:r w:rsidR="00A01962">
              <w:rPr>
                <w:lang w:val="en-US"/>
              </w:rPr>
              <w:t>30 August 2016</w:t>
            </w:r>
            <w:r w:rsidRPr="00245892">
              <w:fldChar w:fldCharType="end"/>
            </w:r>
          </w:p>
          <w:p w:rsidR="00A658DB" w:rsidRPr="00356029" w:rsidRDefault="00A658DB" w:rsidP="007B199D">
            <w:pPr>
              <w:rPr>
                <w:lang w:val="en-US"/>
              </w:rPr>
            </w:pPr>
            <w:r w:rsidRPr="00356029">
              <w:rPr>
                <w:lang w:val="en-US"/>
              </w:rPr>
              <w:t>Russian</w:t>
            </w:r>
          </w:p>
          <w:p w:rsidR="00A658DB" w:rsidRPr="00356029" w:rsidRDefault="00A658DB" w:rsidP="007B199D">
            <w:pPr>
              <w:rPr>
                <w:lang w:val="en-US"/>
              </w:rPr>
            </w:pPr>
            <w:r w:rsidRPr="00356029">
              <w:rPr>
                <w:lang w:val="en-US"/>
              </w:rPr>
              <w:t xml:space="preserve">Original: </w:t>
            </w:r>
            <w:bookmarkStart w:id="2" w:name="ПолеСоСписком2"/>
            <w:r w:rsidRPr="00356029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356029">
              <w:rPr>
                <w:lang w:val="en-US"/>
              </w:rPr>
              <w:instrText xml:space="preserve"> FORMDROPDOWN </w:instrText>
            </w:r>
            <w:r w:rsidR="0026228A">
              <w:fldChar w:fldCharType="separate"/>
            </w:r>
            <w:r w:rsidRPr="00356029">
              <w:fldChar w:fldCharType="end"/>
            </w:r>
            <w:bookmarkEnd w:id="2"/>
            <w:r w:rsidR="00356029" w:rsidRPr="00356029">
              <w:rPr>
                <w:lang w:val="en-US"/>
              </w:rPr>
              <w:t xml:space="preserve"> </w:t>
            </w:r>
            <w:r w:rsidR="00356029">
              <w:rPr>
                <w:lang w:val="en-US"/>
              </w:rPr>
              <w:t>and French</w:t>
            </w:r>
          </w:p>
          <w:p w:rsidR="00A658DB" w:rsidRPr="00356029" w:rsidRDefault="00A658DB" w:rsidP="007B199D">
            <w:pPr>
              <w:rPr>
                <w:lang w:val="en-US"/>
              </w:rPr>
            </w:pPr>
          </w:p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658DB" w:rsidRDefault="00C701DA" w:rsidP="00C701DA">
      <w:pPr>
        <w:spacing w:before="120" w:line="240" w:lineRule="auto"/>
        <w:rPr>
          <w:b/>
          <w:lang w:val="en-US"/>
        </w:rPr>
      </w:pPr>
      <w:r w:rsidRPr="00C701DA">
        <w:rPr>
          <w:b/>
        </w:rPr>
        <w:t>Админи</w:t>
      </w:r>
      <w:r>
        <w:rPr>
          <w:b/>
        </w:rPr>
        <w:t>стративный комитет Европейского</w:t>
      </w:r>
      <w:r w:rsidRPr="00C701DA">
        <w:rPr>
          <w:b/>
        </w:rPr>
        <w:t xml:space="preserve"> соглашения</w:t>
      </w:r>
      <w:r w:rsidRPr="00C701DA">
        <w:rPr>
          <w:b/>
        </w:rPr>
        <w:br/>
        <w:t>о международной перевозке опасных гру</w:t>
      </w:r>
      <w:r>
        <w:rPr>
          <w:b/>
        </w:rPr>
        <w:t>зов</w:t>
      </w:r>
      <w:r w:rsidRPr="00C701DA">
        <w:rPr>
          <w:b/>
        </w:rPr>
        <w:br/>
        <w:t>по внутренним водным путям (ВОПОГ)</w:t>
      </w:r>
    </w:p>
    <w:p w:rsidR="00C701DA" w:rsidRPr="00C701DA" w:rsidRDefault="00C701DA" w:rsidP="00C701DA">
      <w:pPr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b/>
          <w:sz w:val="28"/>
          <w:lang w:eastAsia="ru-RU"/>
        </w:rPr>
      </w:pPr>
      <w:r w:rsidRPr="00C701DA">
        <w:rPr>
          <w:b/>
          <w:sz w:val="28"/>
          <w:lang w:eastAsia="ru-RU"/>
        </w:rPr>
        <w:tab/>
      </w:r>
      <w:r w:rsidRPr="00C701DA">
        <w:rPr>
          <w:b/>
          <w:sz w:val="28"/>
          <w:lang w:eastAsia="ru-RU"/>
        </w:rPr>
        <w:tab/>
        <w:t>Европей</w:t>
      </w:r>
      <w:r>
        <w:rPr>
          <w:b/>
          <w:sz w:val="28"/>
          <w:lang w:eastAsia="ru-RU"/>
        </w:rPr>
        <w:t>ское соглашение о международной</w:t>
      </w:r>
      <w:r w:rsidRPr="00C701DA">
        <w:rPr>
          <w:b/>
          <w:sz w:val="28"/>
          <w:lang w:eastAsia="ru-RU"/>
        </w:rPr>
        <w:br/>
        <w:t>перевоз</w:t>
      </w:r>
      <w:r>
        <w:rPr>
          <w:b/>
          <w:sz w:val="28"/>
          <w:lang w:eastAsia="ru-RU"/>
        </w:rPr>
        <w:t>ке опасных грузов по внутренним</w:t>
      </w:r>
      <w:r w:rsidRPr="00C701DA">
        <w:rPr>
          <w:b/>
          <w:sz w:val="28"/>
          <w:lang w:eastAsia="ru-RU"/>
        </w:rPr>
        <w:br/>
        <w:t>водным путям (ВОПОГ)</w:t>
      </w:r>
      <w:r w:rsidRPr="00C701DA">
        <w:rPr>
          <w:position w:val="6"/>
          <w:sz w:val="18"/>
          <w:szCs w:val="18"/>
          <w:vertAlign w:val="superscript"/>
          <w:lang w:val="en-GB" w:eastAsia="ru-RU"/>
        </w:rPr>
        <w:footnoteReference w:id="1"/>
      </w:r>
    </w:p>
    <w:p w:rsidR="00C701DA" w:rsidRPr="00C701DA" w:rsidRDefault="00C701DA" w:rsidP="0007261A">
      <w:pPr>
        <w:pStyle w:val="H1GR"/>
      </w:pPr>
      <w:r w:rsidRPr="00C701DA">
        <w:tab/>
      </w:r>
      <w:r w:rsidRPr="00C701DA">
        <w:tab/>
        <w:t>Проекты п</w:t>
      </w:r>
      <w:r>
        <w:t>оправок к Правилам, прилагаемым</w:t>
      </w:r>
      <w:r w:rsidR="0007261A">
        <w:t xml:space="preserve"> </w:t>
      </w:r>
      <w:r w:rsidRPr="00C701DA">
        <w:t>к ВОПОГ</w:t>
      </w:r>
    </w:p>
    <w:p w:rsidR="00C701DA" w:rsidRPr="00C701DA" w:rsidRDefault="00C701DA" w:rsidP="00C701DA">
      <w:pPr>
        <w:pStyle w:val="H23GR"/>
      </w:pPr>
      <w:r w:rsidRPr="00C701DA">
        <w:tab/>
      </w:r>
      <w:r w:rsidRPr="00C701DA">
        <w:tab/>
        <w:t>Добавление</w:t>
      </w:r>
    </w:p>
    <w:p w:rsidR="00C701DA" w:rsidRPr="00C701DA" w:rsidRDefault="00C701DA" w:rsidP="00C701DA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C701DA">
        <w:t>Глава 1.1</w:t>
      </w:r>
    </w:p>
    <w:p w:rsidR="00C701DA" w:rsidRPr="00C701DA" w:rsidRDefault="00C701DA" w:rsidP="007F5F53">
      <w:pPr>
        <w:pStyle w:val="SingleTxtGR"/>
        <w:rPr>
          <w:lang w:bidi="ru-RU"/>
        </w:rPr>
      </w:pPr>
      <w:r w:rsidRPr="00C701DA">
        <w:rPr>
          <w:lang w:bidi="ru-RU"/>
        </w:rPr>
        <w:t>1.1.3.10 b)</w:t>
      </w:r>
      <w:r w:rsidRPr="00C701DA">
        <w:rPr>
          <w:lang w:bidi="ru-RU"/>
        </w:rPr>
        <w:tab/>
        <w:t>В примечании после подпун</w:t>
      </w:r>
      <w:r>
        <w:rPr>
          <w:lang w:bidi="ru-RU"/>
        </w:rPr>
        <w:t>кта i) заменить «ISO 9001:2008»</w:t>
      </w:r>
      <w:r w:rsidRPr="00C701DA">
        <w:rPr>
          <w:lang w:bidi="ru-RU"/>
        </w:rPr>
        <w:br/>
        <w:t>на «ISO 9001».</w:t>
      </w:r>
    </w:p>
    <w:p w:rsidR="00C701DA" w:rsidRPr="00C701DA" w:rsidRDefault="00C701DA" w:rsidP="00C701DA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C701DA">
        <w:t>Глава 1.2</w:t>
      </w:r>
    </w:p>
    <w:p w:rsidR="00C701DA" w:rsidRPr="00C701DA" w:rsidRDefault="00C701DA" w:rsidP="007F5F53">
      <w:pPr>
        <w:pStyle w:val="SingleTxtGR"/>
      </w:pPr>
      <w:r w:rsidRPr="00C701DA">
        <w:t>1.2.1</w:t>
      </w:r>
      <w:r w:rsidRPr="00C701DA">
        <w:tab/>
        <w:t>В поправке к определению «Аэрозоль или аэрозольный распыли</w:t>
      </w:r>
      <w:r>
        <w:t>тель»</w:t>
      </w:r>
      <w:r w:rsidRPr="00C701DA">
        <w:br/>
        <w:t xml:space="preserve">в документе ECE/ADN/36 исключить </w:t>
      </w:r>
      <w:r>
        <w:t>«а также заменить "6.2.6 ДОПОГ"</w:t>
      </w:r>
      <w:r w:rsidRPr="00C701DA">
        <w:br/>
        <w:t>на "6.2.4 ДОПОГ"».</w:t>
      </w:r>
    </w:p>
    <w:p w:rsidR="00C701DA" w:rsidRPr="00C701DA" w:rsidRDefault="00C701DA" w:rsidP="007F5F53">
      <w:pPr>
        <w:pStyle w:val="SingleTxtGR"/>
        <w:rPr>
          <w:lang w:bidi="ru-RU"/>
        </w:rPr>
      </w:pPr>
      <w:r>
        <w:rPr>
          <w:lang w:bidi="ru-RU"/>
        </w:rPr>
        <w:t>1.2.1</w:t>
      </w:r>
      <w:r>
        <w:rPr>
          <w:lang w:bidi="ru-RU"/>
        </w:rPr>
        <w:tab/>
      </w:r>
      <w:r w:rsidRPr="00C701DA">
        <w:rPr>
          <w:lang w:bidi="ru-RU"/>
        </w:rPr>
        <w:t>Поправка к определению «Повторно используемая пластмасса» не относится к тексту на русском языке.</w:t>
      </w:r>
    </w:p>
    <w:p w:rsidR="00C701DA" w:rsidRPr="00C701DA" w:rsidRDefault="00C701DA" w:rsidP="00612741">
      <w:pPr>
        <w:pStyle w:val="SingleTxtGR"/>
      </w:pPr>
      <w:r w:rsidRPr="00C701DA">
        <w:t>1.2.1</w:t>
      </w:r>
      <w:r w:rsidRPr="00C701DA">
        <w:tab/>
        <w:t>В определении «Типы защи</w:t>
      </w:r>
      <w:r>
        <w:t>ты» заменить «IEC 60079-7:2006»</w:t>
      </w:r>
      <w:r w:rsidRPr="00C701DA">
        <w:br/>
        <w:t>на «IEC 60079-7:2015».</w:t>
      </w:r>
    </w:p>
    <w:p w:rsidR="00C701DA" w:rsidRPr="00C701DA" w:rsidRDefault="00C701DA" w:rsidP="00356029">
      <w:pPr>
        <w:pStyle w:val="H23GR"/>
        <w:keepNext w:val="0"/>
        <w:keepLines w:val="0"/>
      </w:pPr>
      <w:r w:rsidRPr="0026228A">
        <w:tab/>
      </w:r>
      <w:r w:rsidRPr="0026228A">
        <w:tab/>
      </w:r>
      <w:r w:rsidRPr="00C701DA">
        <w:t>Глава 1.6</w:t>
      </w:r>
    </w:p>
    <w:p w:rsidR="00C701DA" w:rsidRPr="00C701DA" w:rsidRDefault="00C701DA" w:rsidP="00356029">
      <w:pPr>
        <w:pStyle w:val="SingleTxtGR"/>
        <w:rPr>
          <w:lang w:bidi="ru-RU"/>
        </w:rPr>
      </w:pPr>
      <w:r w:rsidRPr="00C701DA">
        <w:rPr>
          <w:lang w:bidi="ru-RU"/>
        </w:rPr>
        <w:t>1.6.1.30</w:t>
      </w:r>
      <w:r w:rsidRPr="00C701DA">
        <w:rPr>
          <w:lang w:bidi="ru-RU"/>
        </w:rPr>
        <w:tab/>
        <w:t>Изменить следующим образом:</w:t>
      </w:r>
    </w:p>
    <w:p w:rsidR="00C701DA" w:rsidRPr="00C701DA" w:rsidRDefault="00C701DA" w:rsidP="00356029">
      <w:pPr>
        <w:pStyle w:val="SingleTxtGR"/>
      </w:pPr>
      <w:r w:rsidRPr="00C701DA">
        <w:t>«</w:t>
      </w:r>
      <w:r w:rsidRPr="00C701DA">
        <w:rPr>
          <w:lang w:bidi="ru-RU"/>
        </w:rPr>
        <w:t>1.6.1.30</w:t>
      </w:r>
      <w:r w:rsidRPr="00C701DA">
        <w:rPr>
          <w:lang w:bidi="ru-RU"/>
        </w:rPr>
        <w:tab/>
      </w:r>
      <w:r w:rsidRPr="00C701DA">
        <w:t>Знаки, отвечающие требованиям пункта 5.2.2.2.1.1, применяемым до 31 декабря 2014 года, могут по-прежнему исполь</w:t>
      </w:r>
      <w:r w:rsidR="0061409B">
        <w:t>зоваться до 30 июня</w:t>
      </w:r>
      <w:r w:rsidR="0061409B" w:rsidRPr="0061409B">
        <w:br/>
      </w:r>
      <w:r w:rsidRPr="00C701DA">
        <w:t>2019 года».</w:t>
      </w:r>
    </w:p>
    <w:p w:rsidR="00C701DA" w:rsidRPr="00C701DA" w:rsidRDefault="00C701DA" w:rsidP="00356029">
      <w:pPr>
        <w:pStyle w:val="SingleTxtGR"/>
        <w:tabs>
          <w:tab w:val="clear" w:pos="1701"/>
          <w:tab w:val="left" w:pos="1843"/>
        </w:tabs>
      </w:pPr>
      <w:r w:rsidRPr="00C701DA">
        <w:lastRenderedPageBreak/>
        <w:t>1.6.1</w:t>
      </w:r>
      <w:r w:rsidRPr="00C701DA">
        <w:tab/>
        <w:t>Включить переходную меру следующего содержания:</w:t>
      </w:r>
    </w:p>
    <w:p w:rsidR="00C701DA" w:rsidRPr="00C701DA" w:rsidRDefault="007F5F53" w:rsidP="00612741">
      <w:pPr>
        <w:pStyle w:val="SingleTxtGR"/>
      </w:pPr>
      <w:r>
        <w:t>«1.6.1.43</w:t>
      </w:r>
      <w:r w:rsidRPr="007F5F53">
        <w:tab/>
      </w:r>
      <w:r w:rsidR="00C701DA" w:rsidRPr="00C701DA">
        <w:t>Транспортные средства, зарегистрированные или введенные в эксплуатацию до 1 июля 2017 года, определенные в специальных положениях 240, 385 и 669 главы 3.3, и их оборудование, предназначенное для использования во время перевозки, которые соответствуют требованиям ВОПОГ, применяемым до 31 декабря 2016 года, но содержат литиевые элементы и батареи, не соответствующие требованию пункта 2.2.9.1.7,</w:t>
      </w:r>
      <w:r w:rsidR="0061409B">
        <w:t xml:space="preserve"> могут по-прежнему перевозиться</w:t>
      </w:r>
      <w:r w:rsidR="0061409B" w:rsidRPr="0061409B">
        <w:br/>
      </w:r>
      <w:r w:rsidR="00C701DA" w:rsidRPr="00C701DA">
        <w:t>в качестве груза в соответствии с требованиями специального положения 666 главы 3.3».</w:t>
      </w:r>
    </w:p>
    <w:p w:rsidR="00C701DA" w:rsidRPr="00C701DA" w:rsidRDefault="0061409B" w:rsidP="0061409B">
      <w:pPr>
        <w:pStyle w:val="H23GR"/>
      </w:pPr>
      <w:r w:rsidRPr="007F5F53">
        <w:tab/>
      </w:r>
      <w:r w:rsidRPr="007F5F53">
        <w:tab/>
      </w:r>
      <w:r w:rsidR="00C701DA" w:rsidRPr="00C701DA">
        <w:t>Глава 2.1</w:t>
      </w:r>
    </w:p>
    <w:p w:rsidR="00C701DA" w:rsidRPr="00C701DA" w:rsidRDefault="00C701DA" w:rsidP="007F5F53">
      <w:pPr>
        <w:pStyle w:val="SingleTxtGR"/>
        <w:rPr>
          <w:lang w:bidi="ru-RU"/>
        </w:rPr>
      </w:pPr>
      <w:r w:rsidRPr="00C701DA">
        <w:rPr>
          <w:lang w:bidi="ru-RU"/>
        </w:rPr>
        <w:t>2.1.1.2</w:t>
      </w:r>
      <w:r w:rsidRPr="00C701DA">
        <w:rPr>
          <w:lang w:bidi="ru-RU"/>
        </w:rPr>
        <w:tab/>
        <w:t>Данная поправка не касается текста на русском языке.</w:t>
      </w:r>
    </w:p>
    <w:p w:rsidR="00C701DA" w:rsidRPr="00C701DA" w:rsidRDefault="00C701DA" w:rsidP="007F5F53">
      <w:pPr>
        <w:pStyle w:val="SingleTxtGR"/>
        <w:rPr>
          <w:lang w:bidi="ru-RU"/>
        </w:rPr>
      </w:pPr>
      <w:r w:rsidRPr="00C701DA">
        <w:rPr>
          <w:lang w:bidi="ru-RU"/>
        </w:rPr>
        <w:t>2.1.4.2 e)</w:t>
      </w:r>
      <w:r w:rsidRPr="00C701DA">
        <w:rPr>
          <w:lang w:bidi="ru-RU"/>
        </w:rPr>
        <w:tab/>
        <w:t>Данная поправка не касается текста на русском языке.</w:t>
      </w:r>
    </w:p>
    <w:p w:rsidR="00C701DA" w:rsidRPr="00C701DA" w:rsidRDefault="0061409B" w:rsidP="0061409B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C701DA" w:rsidRPr="00C701DA">
        <w:t>Глава 2.2</w:t>
      </w:r>
    </w:p>
    <w:p w:rsidR="00C701DA" w:rsidRPr="00C701DA" w:rsidRDefault="00C701DA" w:rsidP="007F5F53">
      <w:pPr>
        <w:pStyle w:val="SingleTxtGR"/>
        <w:rPr>
          <w:lang w:bidi="ru-RU"/>
        </w:rPr>
      </w:pPr>
      <w:r w:rsidRPr="00C701DA">
        <w:t>2.2.1.1.5</w:t>
      </w:r>
      <w:r w:rsidRPr="00C701DA">
        <w:tab/>
        <w:t>Данная поправка не касается текста на русском языке.</w:t>
      </w:r>
    </w:p>
    <w:p w:rsidR="00C701DA" w:rsidRPr="00C701DA" w:rsidRDefault="00C701DA" w:rsidP="007F5F53">
      <w:pPr>
        <w:pStyle w:val="SingleTxtGR"/>
      </w:pPr>
      <w:r w:rsidRPr="00C701DA">
        <w:t>2.2.1.4</w:t>
      </w:r>
      <w:r w:rsidRPr="00C701DA">
        <w:tab/>
        <w:t>Данные поправки не касаются текста на русском языке.</w:t>
      </w:r>
    </w:p>
    <w:p w:rsidR="00C701DA" w:rsidRPr="00C701DA" w:rsidRDefault="00C701DA" w:rsidP="007F5F53">
      <w:pPr>
        <w:pStyle w:val="SingleTxtGR"/>
      </w:pPr>
      <w:r w:rsidRPr="00C701DA">
        <w:t>2.2.2.1.7 c) и d)</w:t>
      </w:r>
      <w:r w:rsidRPr="00C701DA">
        <w:tab/>
        <w:t>Данная поправка не касается текста на русском языке.</w:t>
      </w:r>
    </w:p>
    <w:p w:rsidR="00C701DA" w:rsidRPr="00C701DA" w:rsidRDefault="00C701DA" w:rsidP="007F5F53">
      <w:pPr>
        <w:pStyle w:val="SingleTxtGR"/>
        <w:spacing w:after="240"/>
      </w:pPr>
      <w:r w:rsidRPr="00C701DA">
        <w:t>2.2.2.3</w:t>
      </w:r>
      <w:r w:rsidRPr="00C701DA">
        <w:tab/>
        <w:t>В таблице «Другие изделия, содержащие газ под давлением» добавить в графу 6F следующие новые строки:</w:t>
      </w:r>
    </w:p>
    <w:tbl>
      <w:tblPr>
        <w:tblW w:w="0" w:type="auto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0"/>
        <w:gridCol w:w="708"/>
        <w:gridCol w:w="6411"/>
      </w:tblGrid>
      <w:tr w:rsidR="00C701DA" w:rsidRPr="00C701DA" w:rsidTr="00C229D7">
        <w:trPr>
          <w:cantSplit/>
          <w:trHeight w:val="40"/>
        </w:trPr>
        <w:tc>
          <w:tcPr>
            <w:tcW w:w="440" w:type="dxa"/>
          </w:tcPr>
          <w:p w:rsidR="00C701DA" w:rsidRPr="00C701DA" w:rsidRDefault="00C701DA" w:rsidP="0061409B">
            <w:pPr>
              <w:spacing w:before="60" w:after="60" w:line="22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701DA" w:rsidRPr="00C701DA" w:rsidRDefault="00C701DA" w:rsidP="0061409B">
            <w:pPr>
              <w:spacing w:before="60" w:after="60" w:line="220" w:lineRule="atLeast"/>
              <w:rPr>
                <w:sz w:val="18"/>
                <w:szCs w:val="18"/>
              </w:rPr>
            </w:pPr>
            <w:r w:rsidRPr="00C701DA">
              <w:rPr>
                <w:sz w:val="18"/>
                <w:szCs w:val="18"/>
              </w:rPr>
              <w:t>3529</w:t>
            </w:r>
          </w:p>
        </w:tc>
        <w:tc>
          <w:tcPr>
            <w:tcW w:w="6411" w:type="dxa"/>
          </w:tcPr>
          <w:p w:rsidR="00C701DA" w:rsidRPr="00C701DA" w:rsidRDefault="00C701DA" w:rsidP="0061409B">
            <w:pPr>
              <w:spacing w:before="60" w:after="60" w:line="220" w:lineRule="atLeast"/>
              <w:rPr>
                <w:sz w:val="18"/>
                <w:szCs w:val="18"/>
              </w:rPr>
            </w:pPr>
            <w:r w:rsidRPr="00C701DA">
              <w:rPr>
                <w:sz w:val="18"/>
                <w:szCs w:val="18"/>
              </w:rPr>
              <w:t>ДВИГАТЕЛЬ В</w:t>
            </w:r>
            <w:r w:rsidR="0061409B">
              <w:rPr>
                <w:sz w:val="18"/>
                <w:szCs w:val="18"/>
              </w:rPr>
              <w:t>НУТРЕННЕГО СГОРАНИЯ, РАБОТАЮЩИЙ</w:t>
            </w:r>
            <w:r w:rsidR="0061409B" w:rsidRPr="0061409B">
              <w:rPr>
                <w:sz w:val="18"/>
                <w:szCs w:val="18"/>
              </w:rPr>
              <w:br/>
            </w:r>
            <w:r w:rsidRPr="00C701DA">
              <w:rPr>
                <w:sz w:val="18"/>
                <w:szCs w:val="18"/>
              </w:rPr>
              <w:t>НА ЛЕГКОВОСПЛАМЕНЯЮЩЕМСЯ ГАЗЕ</w:t>
            </w:r>
          </w:p>
        </w:tc>
      </w:tr>
      <w:tr w:rsidR="00C701DA" w:rsidRPr="00C701DA" w:rsidTr="00C229D7">
        <w:trPr>
          <w:cantSplit/>
          <w:trHeight w:val="40"/>
        </w:trPr>
        <w:tc>
          <w:tcPr>
            <w:tcW w:w="440" w:type="dxa"/>
          </w:tcPr>
          <w:p w:rsidR="00C701DA" w:rsidRPr="00C701DA" w:rsidRDefault="00C701DA" w:rsidP="0061409B">
            <w:pPr>
              <w:spacing w:before="60" w:after="60" w:line="22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701DA" w:rsidRPr="00C701DA" w:rsidRDefault="00C701DA" w:rsidP="0061409B">
            <w:pPr>
              <w:spacing w:before="60" w:after="60" w:line="220" w:lineRule="atLeast"/>
              <w:rPr>
                <w:sz w:val="18"/>
                <w:szCs w:val="18"/>
              </w:rPr>
            </w:pPr>
            <w:r w:rsidRPr="00C701DA">
              <w:rPr>
                <w:sz w:val="18"/>
                <w:szCs w:val="18"/>
              </w:rPr>
              <w:t>3529</w:t>
            </w:r>
          </w:p>
        </w:tc>
        <w:tc>
          <w:tcPr>
            <w:tcW w:w="6411" w:type="dxa"/>
          </w:tcPr>
          <w:p w:rsidR="00C701DA" w:rsidRPr="00C701DA" w:rsidRDefault="00C701DA" w:rsidP="0061409B">
            <w:pPr>
              <w:spacing w:before="60" w:after="60" w:line="220" w:lineRule="atLeast"/>
              <w:rPr>
                <w:sz w:val="18"/>
                <w:szCs w:val="18"/>
              </w:rPr>
            </w:pPr>
            <w:r w:rsidRPr="00C701DA">
              <w:rPr>
                <w:sz w:val="18"/>
                <w:szCs w:val="18"/>
              </w:rPr>
              <w:t>ДВИГАТЕЛЬ, РАБОТАЮЩИЙ НА ТОПЛИВНЫХ ЭЛЕМЕНТАХ, СОДЕРЖАЩИХ ЛЕГКОВОСПЛАМЕНЯЮЩИЙСЯ ГАЗ</w:t>
            </w:r>
          </w:p>
        </w:tc>
      </w:tr>
      <w:tr w:rsidR="00C701DA" w:rsidRPr="00C701DA" w:rsidTr="00C229D7">
        <w:trPr>
          <w:cantSplit/>
          <w:trHeight w:val="40"/>
        </w:trPr>
        <w:tc>
          <w:tcPr>
            <w:tcW w:w="440" w:type="dxa"/>
          </w:tcPr>
          <w:p w:rsidR="00C701DA" w:rsidRPr="00C701DA" w:rsidRDefault="00C701DA" w:rsidP="0061409B">
            <w:pPr>
              <w:spacing w:before="60" w:after="60" w:line="22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701DA" w:rsidRPr="00C701DA" w:rsidRDefault="00C701DA" w:rsidP="0061409B">
            <w:pPr>
              <w:spacing w:before="60" w:after="60" w:line="220" w:lineRule="atLeast"/>
              <w:rPr>
                <w:sz w:val="18"/>
                <w:szCs w:val="18"/>
              </w:rPr>
            </w:pPr>
            <w:r w:rsidRPr="00C701DA">
              <w:rPr>
                <w:sz w:val="18"/>
                <w:szCs w:val="18"/>
              </w:rPr>
              <w:t>3529</w:t>
            </w:r>
          </w:p>
        </w:tc>
        <w:tc>
          <w:tcPr>
            <w:tcW w:w="6411" w:type="dxa"/>
          </w:tcPr>
          <w:p w:rsidR="00C701DA" w:rsidRPr="00C701DA" w:rsidRDefault="00C701DA" w:rsidP="0061409B">
            <w:pPr>
              <w:spacing w:before="60" w:after="60" w:line="220" w:lineRule="atLeast"/>
              <w:rPr>
                <w:sz w:val="18"/>
                <w:szCs w:val="18"/>
              </w:rPr>
            </w:pPr>
            <w:r w:rsidRPr="00C701DA">
              <w:rPr>
                <w:sz w:val="18"/>
                <w:szCs w:val="18"/>
              </w:rPr>
              <w:t>МАШИНА С ДВИГАТЕЛЕМ ВНУТРЕННЕГО СГОРАНИЯ, РАБОТАЮЩИМ НА ЛЕГКОВОСПЛАМЕНЯЮЩЕМСЯ ГАЗЕ</w:t>
            </w:r>
          </w:p>
        </w:tc>
      </w:tr>
      <w:tr w:rsidR="00C701DA" w:rsidRPr="00C701DA" w:rsidTr="00C229D7">
        <w:trPr>
          <w:cantSplit/>
          <w:trHeight w:val="40"/>
        </w:trPr>
        <w:tc>
          <w:tcPr>
            <w:tcW w:w="440" w:type="dxa"/>
          </w:tcPr>
          <w:p w:rsidR="00C701DA" w:rsidRPr="00C701DA" w:rsidRDefault="00C701DA" w:rsidP="0061409B">
            <w:pPr>
              <w:spacing w:before="60" w:after="60" w:line="22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701DA" w:rsidRPr="00C701DA" w:rsidRDefault="00C701DA" w:rsidP="0061409B">
            <w:pPr>
              <w:spacing w:before="60" w:after="60" w:line="220" w:lineRule="atLeast"/>
              <w:rPr>
                <w:sz w:val="18"/>
                <w:szCs w:val="18"/>
              </w:rPr>
            </w:pPr>
            <w:r w:rsidRPr="00C701DA">
              <w:rPr>
                <w:sz w:val="18"/>
                <w:szCs w:val="18"/>
              </w:rPr>
              <w:t>3529</w:t>
            </w:r>
          </w:p>
        </w:tc>
        <w:tc>
          <w:tcPr>
            <w:tcW w:w="6411" w:type="dxa"/>
          </w:tcPr>
          <w:p w:rsidR="00C701DA" w:rsidRPr="00C701DA" w:rsidRDefault="00C701DA" w:rsidP="0061409B">
            <w:pPr>
              <w:spacing w:before="60" w:after="60" w:line="220" w:lineRule="atLeast"/>
              <w:rPr>
                <w:sz w:val="18"/>
                <w:szCs w:val="18"/>
              </w:rPr>
            </w:pPr>
            <w:r w:rsidRPr="00C701DA">
              <w:rPr>
                <w:sz w:val="18"/>
                <w:szCs w:val="18"/>
              </w:rPr>
              <w:t>МАШИНА, РАБОТАЮЩАЯ НА ТОПЛИВНЫХ ЭЛЕМЕНТАХ, СОДЕРЖАЩИХ ЛЕГКОВОСПЛАМЕНЯЮЩИЙСЯ ГАЗ</w:t>
            </w:r>
          </w:p>
        </w:tc>
      </w:tr>
    </w:tbl>
    <w:p w:rsidR="00C701DA" w:rsidRPr="00C701DA" w:rsidRDefault="00C701DA" w:rsidP="007F5F53">
      <w:pPr>
        <w:pStyle w:val="SingleTxtGR"/>
        <w:spacing w:before="240"/>
      </w:pPr>
      <w:r w:rsidRPr="00C701DA">
        <w:t>2.2.3.3 В разделе «изделия F3» в конце добавить следующие новые позиции:</w:t>
      </w:r>
    </w:p>
    <w:p w:rsidR="00C701DA" w:rsidRPr="00C701DA" w:rsidRDefault="00B25812" w:rsidP="007F5F53">
      <w:pPr>
        <w:pStyle w:val="SingleTxtGR"/>
        <w:tabs>
          <w:tab w:val="clear" w:pos="1701"/>
          <w:tab w:val="left" w:pos="1843"/>
        </w:tabs>
      </w:pPr>
      <w:r>
        <w:t>«3528</w:t>
      </w:r>
      <w:r w:rsidRPr="00B25812">
        <w:tab/>
      </w:r>
      <w:r w:rsidR="00C701DA" w:rsidRPr="00C701DA">
        <w:t>ДВИГАТЕЛЬ ВНУТРЕННЕГО СГОРАНИЯ, РАБОТАЮЩИЙ НА ЛЕГ</w:t>
      </w:r>
      <w:r w:rsidR="00612741">
        <w:t>-</w:t>
      </w:r>
      <w:r w:rsidR="00C701DA" w:rsidRPr="00C701DA">
        <w:t>КОВОСПЛАМЕНЯЮЩЕЙСЯ ЖИДКОСТИ, или</w:t>
      </w:r>
    </w:p>
    <w:p w:rsidR="00C701DA" w:rsidRPr="00C701DA" w:rsidRDefault="00B25812" w:rsidP="007F5F53">
      <w:pPr>
        <w:pStyle w:val="SingleTxtGR"/>
        <w:tabs>
          <w:tab w:val="clear" w:pos="1701"/>
          <w:tab w:val="left" w:pos="1843"/>
        </w:tabs>
      </w:pPr>
      <w:r>
        <w:t>3528</w:t>
      </w:r>
      <w:r w:rsidRPr="00B25812">
        <w:tab/>
      </w:r>
      <w:r w:rsidR="00C701DA" w:rsidRPr="00C701DA">
        <w:t>ДВИГАТЕЛЬ, РАБОТАЮЩИЙ НА ТОПЛИВНЫХ ЭЛЕМЕНТАХ, СО</w:t>
      </w:r>
      <w:r w:rsidR="00612741">
        <w:t>-</w:t>
      </w:r>
      <w:r w:rsidR="00C701DA" w:rsidRPr="00C701DA">
        <w:t>ДЕР</w:t>
      </w:r>
      <w:r w:rsidR="0007261A">
        <w:t>-</w:t>
      </w:r>
      <w:r w:rsidR="00C701DA" w:rsidRPr="00C701DA">
        <w:t>ЖАЩИХ ЛЕГКОВОСПЛАМЕНЯЮЩУЮСЯ ЖИДКОСТЬ, или</w:t>
      </w:r>
    </w:p>
    <w:p w:rsidR="00C701DA" w:rsidRPr="00C701DA" w:rsidRDefault="00B25812" w:rsidP="007F5F53">
      <w:pPr>
        <w:pStyle w:val="SingleTxtGR"/>
        <w:tabs>
          <w:tab w:val="clear" w:pos="1701"/>
          <w:tab w:val="left" w:pos="1843"/>
        </w:tabs>
      </w:pPr>
      <w:r>
        <w:t>3528</w:t>
      </w:r>
      <w:r w:rsidRPr="00B25812">
        <w:tab/>
      </w:r>
      <w:r w:rsidR="00C701DA" w:rsidRPr="00C701DA">
        <w:t>МАШИНА С ДВИГАТЕЛЕМ ВНУТРЕННЕГО СГОРАНИЯ, РАБО</w:t>
      </w:r>
      <w:r w:rsidR="00612741">
        <w:t>-</w:t>
      </w:r>
      <w:r w:rsidR="00C701DA" w:rsidRPr="00C701DA">
        <w:t>ТАЮЩИМ НА ЛЕГКОВОСПЛАМЕНЯЮЩЕЙСЯ ЖИДКОСТИ, или</w:t>
      </w:r>
    </w:p>
    <w:p w:rsidR="00C701DA" w:rsidRPr="00C701DA" w:rsidRDefault="00C701DA" w:rsidP="007F5F53">
      <w:pPr>
        <w:pStyle w:val="SingleTxtGR"/>
        <w:tabs>
          <w:tab w:val="clear" w:pos="1701"/>
          <w:tab w:val="left" w:pos="1843"/>
        </w:tabs>
      </w:pPr>
      <w:r w:rsidRPr="00C701DA">
        <w:t>3528</w:t>
      </w:r>
      <w:r w:rsidR="00B25812" w:rsidRPr="00B25812">
        <w:tab/>
      </w:r>
      <w:r w:rsidRPr="00C701DA">
        <w:t>МАШИНА, РАБОТАЮЩАЯ НА ТОПЛИВНЫХ ЭЛЕМЕНТАХ, СО</w:t>
      </w:r>
      <w:r w:rsidR="00612741">
        <w:t>-</w:t>
      </w:r>
      <w:r w:rsidRPr="00C701DA">
        <w:t>ДЕРЖАЩИХ ЛЕГКОВОСПЛАМЕНЯЮЩУЮСЯ ЖИДКОСТЬ».</w:t>
      </w:r>
    </w:p>
    <w:p w:rsidR="00C701DA" w:rsidRPr="00C701DA" w:rsidRDefault="00C701DA" w:rsidP="00612741">
      <w:pPr>
        <w:pStyle w:val="SingleTxtGR"/>
      </w:pPr>
      <w:r w:rsidRPr="00C701DA">
        <w:t>2.2.43.1.2</w:t>
      </w:r>
      <w:r w:rsidRPr="00C701DA">
        <w:tab/>
        <w:t>Данная поправка не касается текста на русском языке.</w:t>
      </w:r>
    </w:p>
    <w:p w:rsidR="00C701DA" w:rsidRPr="00C701DA" w:rsidRDefault="00C701DA" w:rsidP="00612741">
      <w:pPr>
        <w:pStyle w:val="SingleTxtGR"/>
      </w:pPr>
      <w:r w:rsidRPr="00C701DA">
        <w:t>2.2.52.1.6</w:t>
      </w:r>
      <w:r w:rsidRPr="00C701DA">
        <w:tab/>
        <w:t>В третьем предложении заменить «на единицу тары» на «на одну упаковку».</w:t>
      </w:r>
    </w:p>
    <w:p w:rsidR="00C701DA" w:rsidRPr="00C701DA" w:rsidRDefault="00C701DA" w:rsidP="00EF1F32">
      <w:pPr>
        <w:pStyle w:val="SingleTxtGR"/>
        <w:keepNext/>
        <w:spacing w:after="112"/>
      </w:pPr>
      <w:r w:rsidRPr="00C701DA">
        <w:lastRenderedPageBreak/>
        <w:t>2.2.61.1.14</w:t>
      </w:r>
      <w:r w:rsidRPr="00C701DA">
        <w:tab/>
        <w:t>Изменить следующим образом:</w:t>
      </w:r>
    </w:p>
    <w:p w:rsidR="00C701DA" w:rsidRPr="00356029" w:rsidRDefault="00C701DA" w:rsidP="00EF1F32">
      <w:pPr>
        <w:pStyle w:val="SingleTxtGR"/>
        <w:keepNext/>
        <w:tabs>
          <w:tab w:val="clear" w:pos="2268"/>
          <w:tab w:val="left" w:pos="2410"/>
        </w:tabs>
        <w:spacing w:after="112"/>
      </w:pPr>
      <w:r w:rsidRPr="00C701DA">
        <w:t>«</w:t>
      </w:r>
      <w:r w:rsidRPr="00356029">
        <w:t>2.2.61.1.14</w:t>
      </w:r>
      <w:r w:rsidR="00356029" w:rsidRPr="00356029">
        <w:tab/>
      </w:r>
      <w:r w:rsidRPr="00C701DA">
        <w:t>Вещества, растворы и смеси, за исключением веществ и препаратов, используемых в качестве пестицидов, которые не отнесены к катего</w:t>
      </w:r>
      <w:r w:rsidR="00356029" w:rsidRPr="00356029">
        <w:t>-</w:t>
      </w:r>
      <w:r w:rsidR="00356029" w:rsidRPr="00356029">
        <w:br/>
      </w:r>
      <w:r w:rsidRPr="00C701DA">
        <w:t>рии острой токсичности 1, 2 или</w:t>
      </w:r>
      <w:r w:rsidR="00356029">
        <w:t xml:space="preserve"> 3 в соответствии с Регламентом</w:t>
      </w:r>
      <w:r w:rsidR="00356029">
        <w:rPr>
          <w:lang w:val="en-US"/>
        </w:rPr>
        <w:t> </w:t>
      </w:r>
      <w:r w:rsidR="00356029">
        <w:t>(EC)</w:t>
      </w:r>
      <w:r w:rsidR="00356029">
        <w:rPr>
          <w:lang w:val="en-US"/>
        </w:rPr>
        <w:t> </w:t>
      </w:r>
      <w:r w:rsidR="00356029">
        <w:t>№</w:t>
      </w:r>
      <w:r w:rsidR="00356029">
        <w:rPr>
          <w:lang w:val="en-US"/>
        </w:rPr>
        <w:t> </w:t>
      </w:r>
      <w:r w:rsidRPr="00C701DA">
        <w:t>1272/2008</w:t>
      </w:r>
      <w:r w:rsidRPr="00C701DA">
        <w:rPr>
          <w:sz w:val="18"/>
          <w:szCs w:val="18"/>
          <w:vertAlign w:val="superscript"/>
        </w:rPr>
        <w:t>3</w:t>
      </w:r>
      <w:r w:rsidRPr="00C701DA">
        <w:t>, могут рассматриваться как вещества, не принадлежа</w:t>
      </w:r>
      <w:r w:rsidR="00356029">
        <w:t>щие к классу 6.1</w:t>
      </w:r>
      <w:r w:rsidRPr="00C701DA">
        <w:t>»</w:t>
      </w:r>
      <w:r w:rsidR="00356029">
        <w:t>.</w:t>
      </w:r>
    </w:p>
    <w:p w:rsidR="00C701DA" w:rsidRPr="00C701DA" w:rsidRDefault="00C701DA" w:rsidP="00EF1F32">
      <w:pPr>
        <w:suppressAutoHyphens/>
        <w:spacing w:after="112"/>
        <w:ind w:left="1134" w:right="1134"/>
        <w:jc w:val="both"/>
        <w:rPr>
          <w:spacing w:val="0"/>
          <w:w w:val="100"/>
          <w:kern w:val="0"/>
        </w:rPr>
      </w:pPr>
      <w:r w:rsidRPr="00C701DA">
        <w:rPr>
          <w:spacing w:val="0"/>
          <w:w w:val="100"/>
          <w:kern w:val="0"/>
        </w:rPr>
        <w:t>________</w:t>
      </w:r>
    </w:p>
    <w:p w:rsidR="00C701DA" w:rsidRPr="007F5F53" w:rsidRDefault="00C701DA" w:rsidP="00EF1F32">
      <w:pPr>
        <w:pStyle w:val="SingleTxtGR"/>
        <w:spacing w:after="112"/>
        <w:rPr>
          <w:i/>
        </w:rPr>
      </w:pPr>
      <w:r w:rsidRPr="007F5F53">
        <w:rPr>
          <w:i/>
          <w:vertAlign w:val="superscript"/>
        </w:rPr>
        <w:t>3</w:t>
      </w:r>
      <w:r w:rsidRPr="007F5F53">
        <w:rPr>
          <w:i/>
          <w:vertAlign w:val="superscript"/>
        </w:rPr>
        <w:tab/>
      </w:r>
      <w:r w:rsidRPr="007F5F53">
        <w:rPr>
          <w:i/>
        </w:rPr>
        <w:t>Регламент (EC) № 1272/2008 Европейского парламента и Совета от 16 декабря 2008 года по классификации, маркировке и упаковке веществ и смесей, изменяющий и отменяющий директивы 67/548/EEC и 1999/45/EC и изменяющий Регламент (EC) № 1907/2006, опубликованный в Official Journal of the European Unio</w:t>
      </w:r>
      <w:r w:rsidR="00356029">
        <w:rPr>
          <w:i/>
        </w:rPr>
        <w:t>n, L 353, 31 December 2008, p 1–</w:t>
      </w:r>
      <w:r w:rsidRPr="007F5F53">
        <w:rPr>
          <w:i/>
        </w:rPr>
        <w:t>1355.</w:t>
      </w:r>
    </w:p>
    <w:p w:rsidR="00C701DA" w:rsidRPr="00C701DA" w:rsidRDefault="00C701DA" w:rsidP="00EF1F32">
      <w:pPr>
        <w:pStyle w:val="SingleTxtGR"/>
        <w:spacing w:after="112"/>
      </w:pPr>
      <w:r w:rsidRPr="00C701DA">
        <w:t>Исключить сноску 4. Соответствующим образом перенумеровать последующие сноски.</w:t>
      </w:r>
    </w:p>
    <w:p w:rsidR="00C701DA" w:rsidRPr="00C701DA" w:rsidRDefault="00C701DA" w:rsidP="00EF1F32">
      <w:pPr>
        <w:pStyle w:val="SingleTxtGR"/>
        <w:spacing w:after="112"/>
      </w:pPr>
      <w:r w:rsidRPr="00C701DA">
        <w:t>2.2.7.2.4.1.5 b) Заменить «2.2.7.2.4.5.1» на «2.2.7.2.4.5.2».</w:t>
      </w:r>
    </w:p>
    <w:p w:rsidR="00C701DA" w:rsidRPr="00C701DA" w:rsidRDefault="00C701DA" w:rsidP="00EF1F32">
      <w:pPr>
        <w:pStyle w:val="SingleTxtGR"/>
        <w:spacing w:after="112"/>
      </w:pPr>
      <w:r w:rsidRPr="00C701DA">
        <w:t>2.2.8.1.9</w:t>
      </w:r>
      <w:r w:rsidRPr="00C701DA">
        <w:tab/>
        <w:t>Изменить следующим образом:</w:t>
      </w:r>
    </w:p>
    <w:p w:rsidR="00C701DA" w:rsidRPr="00C701DA" w:rsidRDefault="00C701DA" w:rsidP="00EF1F32">
      <w:pPr>
        <w:pStyle w:val="SingleTxtGR"/>
        <w:spacing w:after="112"/>
      </w:pPr>
      <w:r w:rsidRPr="00C701DA">
        <w:t>«2.2.8.1.9</w:t>
      </w:r>
      <w:r w:rsidRPr="00C701DA">
        <w:tab/>
        <w:t>Вещества, растворы и смеси, ко</w:t>
      </w:r>
      <w:r w:rsidR="003561B6">
        <w:t>торые не отнесены к категории 1</w:t>
      </w:r>
      <w:r w:rsidR="003561B6">
        <w:br/>
      </w:r>
      <w:r w:rsidRPr="00C701DA">
        <w:t>в отношении разъедания кожи или коррозионного воздействия на металл в соответствии с Регламентом (EC) № 1272/2008</w:t>
      </w:r>
      <w:r w:rsidRPr="00C701DA">
        <w:rPr>
          <w:vertAlign w:val="superscript"/>
        </w:rPr>
        <w:t>3</w:t>
      </w:r>
      <w:r w:rsidRPr="00C701DA">
        <w:t>, могут рассматриваться как вещества, не принадлежащие к классу 8».</w:t>
      </w:r>
    </w:p>
    <w:p w:rsidR="00C701DA" w:rsidRPr="00C701DA" w:rsidRDefault="00C701DA" w:rsidP="00EF1F32">
      <w:pPr>
        <w:pStyle w:val="SingleTxtGR"/>
        <w:spacing w:after="112"/>
      </w:pPr>
      <w:r w:rsidRPr="00C701DA">
        <w:t>Примечание остается без изменений.</w:t>
      </w:r>
    </w:p>
    <w:p w:rsidR="00C701DA" w:rsidRPr="00C701DA" w:rsidRDefault="00C701DA" w:rsidP="00EF1F32">
      <w:pPr>
        <w:suppressAutoHyphens/>
        <w:spacing w:after="112"/>
        <w:ind w:left="1134" w:right="1134"/>
        <w:jc w:val="both"/>
        <w:rPr>
          <w:spacing w:val="0"/>
          <w:w w:val="100"/>
          <w:kern w:val="0"/>
        </w:rPr>
      </w:pPr>
      <w:r w:rsidRPr="00C701DA">
        <w:rPr>
          <w:spacing w:val="0"/>
          <w:w w:val="100"/>
          <w:kern w:val="0"/>
        </w:rPr>
        <w:t>________</w:t>
      </w:r>
    </w:p>
    <w:p w:rsidR="00C701DA" w:rsidRPr="00C701DA" w:rsidRDefault="00C701DA" w:rsidP="00EF1F32">
      <w:pPr>
        <w:pStyle w:val="SingleTxtGR"/>
        <w:spacing w:after="112"/>
      </w:pPr>
      <w:r w:rsidRPr="00B06765">
        <w:rPr>
          <w:i/>
          <w:vertAlign w:val="superscript"/>
        </w:rPr>
        <w:t>3</w:t>
      </w:r>
      <w:r w:rsidRPr="00B06765">
        <w:rPr>
          <w:i/>
          <w:vertAlign w:val="superscript"/>
        </w:rPr>
        <w:tab/>
      </w:r>
      <w:r w:rsidRPr="00B06765">
        <w:rPr>
          <w:i/>
        </w:rPr>
        <w:t>Регламент (EC) № 1272/2008 Европейского парламента и Совета от 16 декабря 2008 года по классификации, маркировке и упаковке веществ и смесей, изменяющий и отменяющий директивы 67/548/EEC и 1999/45/EC и изменяющий Регламент (EC) № 1907/2006, опубликованный в Official Journal of the European Unio</w:t>
      </w:r>
      <w:r w:rsidR="00356029">
        <w:rPr>
          <w:i/>
        </w:rPr>
        <w:t>n, L 353, 31 December 2008, p 1–</w:t>
      </w:r>
      <w:r w:rsidRPr="00B06765">
        <w:rPr>
          <w:i/>
        </w:rPr>
        <w:t>1355</w:t>
      </w:r>
      <w:r w:rsidRPr="00C701DA">
        <w:t>.</w:t>
      </w:r>
    </w:p>
    <w:p w:rsidR="00C701DA" w:rsidRPr="00C701DA" w:rsidRDefault="00C701DA" w:rsidP="00EF1F32">
      <w:pPr>
        <w:pStyle w:val="SingleTxtGR"/>
        <w:spacing w:after="112"/>
      </w:pPr>
      <w:r w:rsidRPr="00C701DA">
        <w:t>2.2.9.1.2</w:t>
      </w:r>
      <w:r w:rsidRPr="00C701DA">
        <w:tab/>
        <w:t>В подразделе M11 добавить «и изделия» после «вещества».</w:t>
      </w:r>
    </w:p>
    <w:p w:rsidR="00C701DA" w:rsidRPr="00C701DA" w:rsidRDefault="00C701DA" w:rsidP="00EF1F32">
      <w:pPr>
        <w:pStyle w:val="SingleTxtGR"/>
        <w:spacing w:after="112"/>
      </w:pPr>
      <w:r w:rsidRPr="00C701DA">
        <w:t>2.2.9.1.10.</w:t>
      </w:r>
      <w:r w:rsidR="00B54B48">
        <w:t>3</w:t>
      </w:r>
      <w:r w:rsidR="00B54B48" w:rsidRPr="00B54B48">
        <w:tab/>
      </w:r>
      <w:r w:rsidRPr="00C701DA">
        <w:t xml:space="preserve">В заголовке и подпункте a) перенумеровать знак сноски после «1272/2008/EC» на 3. Сноску 3 читать </w:t>
      </w:r>
      <w:r w:rsidRPr="00B06765">
        <w:t>следующим</w:t>
      </w:r>
      <w:r w:rsidRPr="00C701DA">
        <w:t xml:space="preserve"> образом:</w:t>
      </w:r>
    </w:p>
    <w:p w:rsidR="00C701DA" w:rsidRPr="00B06765" w:rsidRDefault="00C701DA" w:rsidP="00EF1F32">
      <w:pPr>
        <w:pStyle w:val="SingleTxtGR"/>
        <w:spacing w:after="112"/>
        <w:rPr>
          <w:i/>
        </w:rPr>
      </w:pPr>
      <w:r w:rsidRPr="00B06765">
        <w:t>«</w:t>
      </w:r>
      <w:r w:rsidRPr="00B06765">
        <w:rPr>
          <w:i/>
          <w:vertAlign w:val="superscript"/>
        </w:rPr>
        <w:t>3</w:t>
      </w:r>
      <w:r w:rsidRPr="00B06765">
        <w:rPr>
          <w:i/>
        </w:rPr>
        <w:tab/>
        <w:t>Регламент (ЕС) № 1272/2008 Евро</w:t>
      </w:r>
      <w:r w:rsidR="003561B6">
        <w:rPr>
          <w:i/>
        </w:rPr>
        <w:t>пейского парламента и Совета от</w:t>
      </w:r>
      <w:r w:rsidR="003561B6">
        <w:rPr>
          <w:i/>
        </w:rPr>
        <w:br/>
      </w:r>
      <w:r w:rsidRPr="00B06765">
        <w:rPr>
          <w:i/>
        </w:rPr>
        <w:t>16 декабря 2008 года по классификации, маркировке и упаковке веществ и смесей, изменяющий и отменяющий директивы 67/548/ЕЕС и 1999/45/ЕС и изменяющий Регламент (ЕС) № 1907/2006, опубликованный в Official Journal of the European Union, L 353, от 31 декабря 2008 года, p. 1–1355</w:t>
      </w:r>
      <w:r w:rsidRPr="00B06765">
        <w:t>».</w:t>
      </w:r>
    </w:p>
    <w:p w:rsidR="00C701DA" w:rsidRPr="00C701DA" w:rsidRDefault="00C701DA" w:rsidP="00EF1F32">
      <w:pPr>
        <w:pStyle w:val="SingleTxtGR"/>
        <w:spacing w:after="112"/>
      </w:pPr>
      <w:r w:rsidRPr="00C701DA">
        <w:t>В конце подпункта а) исключить: «или, если это по-прежнему уместно в соответствии с указанным Регламентом, – к кла</w:t>
      </w:r>
      <w:r w:rsidR="00B54B48">
        <w:t>ссу (классам) риска R50, R50/53</w:t>
      </w:r>
      <w:r w:rsidR="00B54B48" w:rsidRPr="00B54B48">
        <w:br/>
      </w:r>
      <w:r w:rsidRPr="00C701DA">
        <w:t>или R51/53 в соответствии с директивами 67/548/ЕЕС</w:t>
      </w:r>
      <w:r w:rsidRPr="00356029">
        <w:rPr>
          <w:sz w:val="18"/>
          <w:szCs w:val="18"/>
          <w:vertAlign w:val="superscript"/>
        </w:rPr>
        <w:t>3</w:t>
      </w:r>
      <w:r w:rsidRPr="00C701DA">
        <w:t xml:space="preserve"> или 1999/45/ЕС</w:t>
      </w:r>
      <w:r w:rsidRPr="00356029">
        <w:rPr>
          <w:sz w:val="18"/>
          <w:szCs w:val="18"/>
          <w:vertAlign w:val="superscript"/>
        </w:rPr>
        <w:t>4</w:t>
      </w:r>
      <w:r w:rsidRPr="00C701DA">
        <w:t>».</w:t>
      </w:r>
    </w:p>
    <w:p w:rsidR="00C701DA" w:rsidRPr="00C701DA" w:rsidRDefault="00C701DA" w:rsidP="00EF1F32">
      <w:pPr>
        <w:pStyle w:val="SingleTxtGR"/>
        <w:spacing w:after="112"/>
      </w:pPr>
      <w:r w:rsidRPr="00C701DA">
        <w:t>2.2.9.1.10.3 b)</w:t>
      </w:r>
      <w:r w:rsidRPr="00C701DA">
        <w:tab/>
        <w:t>Изменить конец следующим образом: «…если они не должны быть отнесены к такой категории в соответствии с указанным Регламентом».</w:t>
      </w:r>
    </w:p>
    <w:p w:rsidR="00C701DA" w:rsidRPr="00C701DA" w:rsidRDefault="00C701DA" w:rsidP="00EF1F32">
      <w:pPr>
        <w:pStyle w:val="SingleTxtGR"/>
        <w:spacing w:after="112"/>
      </w:pPr>
      <w:r w:rsidRPr="00C701DA">
        <w:t>2.2.9.3</w:t>
      </w:r>
      <w:r w:rsidRPr="00C701DA">
        <w:tab/>
        <w:t>В графе «М11» заменить «вещества или изделия» на «вещества и изделия». Во вступительном предложении в рамке справа добавить «и изделия» после «только на следующие вещества». Добавить следующие новые позиции:</w:t>
      </w:r>
    </w:p>
    <w:p w:rsidR="00C701DA" w:rsidRPr="00C701DA" w:rsidRDefault="00356029" w:rsidP="00EF1F32">
      <w:pPr>
        <w:pStyle w:val="SingleTxtGR"/>
        <w:keepNext/>
        <w:tabs>
          <w:tab w:val="clear" w:pos="1701"/>
          <w:tab w:val="left" w:pos="1722"/>
        </w:tabs>
        <w:spacing w:after="112"/>
      </w:pPr>
      <w:r>
        <w:t>«3530</w:t>
      </w:r>
      <w:r>
        <w:tab/>
      </w:r>
      <w:r w:rsidR="00C701DA" w:rsidRPr="00C701DA">
        <w:t>ДВИГАТЕЛЬ ВНУТРЕННЕГО СГОРАНИЯ или</w:t>
      </w:r>
    </w:p>
    <w:p w:rsidR="00C701DA" w:rsidRPr="00C701DA" w:rsidRDefault="00356029" w:rsidP="00EF1F32">
      <w:pPr>
        <w:pStyle w:val="SingleTxtGR"/>
        <w:tabs>
          <w:tab w:val="clear" w:pos="1701"/>
          <w:tab w:val="left" w:pos="1722"/>
        </w:tabs>
        <w:spacing w:after="112"/>
      </w:pPr>
      <w:r>
        <w:t>3530</w:t>
      </w:r>
      <w:r>
        <w:tab/>
      </w:r>
      <w:r w:rsidR="00C701DA" w:rsidRPr="00C701DA">
        <w:t>МАШИНА С ДВИГАТЕЛЕМ ВНУТРЕННЕГО СГОРАНИЯ».</w:t>
      </w:r>
    </w:p>
    <w:p w:rsidR="00C701DA" w:rsidRPr="00C701DA" w:rsidRDefault="00B54B48" w:rsidP="00EF1F32">
      <w:pPr>
        <w:pStyle w:val="H23GR"/>
        <w:keepNext w:val="0"/>
        <w:keepLines w:val="0"/>
      </w:pPr>
      <w:r w:rsidRPr="00356029">
        <w:lastRenderedPageBreak/>
        <w:tab/>
      </w:r>
      <w:r w:rsidRPr="00356029">
        <w:tab/>
      </w:r>
      <w:r w:rsidR="00C701DA" w:rsidRPr="00C701DA">
        <w:t>Глава 2.3</w:t>
      </w:r>
    </w:p>
    <w:p w:rsidR="00C701DA" w:rsidRPr="00C701DA" w:rsidRDefault="00C701DA" w:rsidP="00B06765">
      <w:pPr>
        <w:pStyle w:val="SingleTxtGR"/>
        <w:tabs>
          <w:tab w:val="clear" w:pos="2268"/>
          <w:tab w:val="left" w:pos="1985"/>
        </w:tabs>
      </w:pPr>
      <w:r w:rsidRPr="00C701DA">
        <w:t>2.3.1.4</w:t>
      </w:r>
      <w:r w:rsidRPr="00C701DA">
        <w:tab/>
        <w:t>На рисунке, в тексте, относящемся к «Рис. 1–3», заменить «Железная пластинка» на «Свинцовая пластинка».</w:t>
      </w:r>
    </w:p>
    <w:p w:rsidR="00C701DA" w:rsidRPr="00C701DA" w:rsidRDefault="00B54B48" w:rsidP="00B54B48">
      <w:pPr>
        <w:pStyle w:val="H23GR"/>
      </w:pPr>
      <w:r w:rsidRPr="00356029">
        <w:tab/>
      </w:r>
      <w:r w:rsidRPr="00356029">
        <w:tab/>
      </w:r>
      <w:r w:rsidR="00C701DA" w:rsidRPr="00C701DA">
        <w:t>Глава 3.2, таблица А</w:t>
      </w:r>
    </w:p>
    <w:p w:rsidR="00C701DA" w:rsidRPr="00C701DA" w:rsidRDefault="00C701DA" w:rsidP="00B06765">
      <w:pPr>
        <w:pStyle w:val="SingleTxtGR"/>
      </w:pPr>
      <w:r w:rsidRPr="00C701DA">
        <w:t>№ ООН 1133, 1139, 1169, 1197, 1210, 1263, 126</w:t>
      </w:r>
      <w:r w:rsidR="00B54B48">
        <w:t>6, 1286, 1287, 1306, 1866, 1993</w:t>
      </w:r>
      <w:r w:rsidR="00B54B48" w:rsidRPr="00B54B48">
        <w:br/>
      </w:r>
      <w:r w:rsidRPr="00C701DA">
        <w:t xml:space="preserve">и 1999: исключить «640E» в каждой первой </w:t>
      </w:r>
      <w:r w:rsidR="00B54B48">
        <w:t>позиции для группы упаковки III</w:t>
      </w:r>
      <w:r w:rsidR="00B54B48" w:rsidRPr="00B54B48">
        <w:br/>
      </w:r>
      <w:r w:rsidRPr="00C701DA">
        <w:t>в колонке 6.</w:t>
      </w:r>
    </w:p>
    <w:p w:rsidR="00C701DA" w:rsidRPr="00C701DA" w:rsidRDefault="00C701DA" w:rsidP="00B06765">
      <w:pPr>
        <w:pStyle w:val="SingleTxtGR"/>
      </w:pPr>
      <w:r w:rsidRPr="00C701DA">
        <w:t>№ ООН 1361 и 3088, группа упаковки III: включить «665» в колонку 6.</w:t>
      </w:r>
    </w:p>
    <w:p w:rsidR="00C701DA" w:rsidRPr="00C701DA" w:rsidRDefault="00C701DA" w:rsidP="00356029">
      <w:pPr>
        <w:pStyle w:val="SingleTxtGR"/>
        <w:tabs>
          <w:tab w:val="clear" w:pos="1701"/>
          <w:tab w:val="clear" w:pos="2268"/>
          <w:tab w:val="clear" w:pos="2835"/>
          <w:tab w:val="left" w:pos="2552"/>
        </w:tabs>
      </w:pPr>
      <w:r w:rsidRPr="00C701DA">
        <w:t>№ ООН 2022</w:t>
      </w:r>
      <w:r w:rsidRPr="00C701DA">
        <w:tab/>
        <w:t>Данная поправка не касается текста на русском языке.</w:t>
      </w:r>
    </w:p>
    <w:p w:rsidR="00C701DA" w:rsidRPr="00C701DA" w:rsidRDefault="00C701DA" w:rsidP="00B06765">
      <w:pPr>
        <w:pStyle w:val="SingleTxtGR"/>
      </w:pPr>
      <w:r w:rsidRPr="00C701DA">
        <w:t>№ ООН 3166, 3171, 3528, 3529 и 3530: включить «669» в колонку 6.</w:t>
      </w:r>
    </w:p>
    <w:p w:rsidR="00C701DA" w:rsidRPr="00C701DA" w:rsidRDefault="00C701DA" w:rsidP="00B06765">
      <w:pPr>
        <w:pStyle w:val="SingleTxtGR"/>
        <w:rPr>
          <w:w w:val="100"/>
        </w:rPr>
      </w:pPr>
      <w:r w:rsidRPr="00C701DA">
        <w:rPr>
          <w:w w:val="100"/>
        </w:rPr>
        <w:t>№ ООН 3528: включить «F3» в колонку 3b.</w:t>
      </w:r>
    </w:p>
    <w:p w:rsidR="00C701DA" w:rsidRPr="00C701DA" w:rsidRDefault="00C701DA" w:rsidP="00B06765">
      <w:pPr>
        <w:pStyle w:val="SingleTxtGR"/>
        <w:rPr>
          <w:w w:val="100"/>
        </w:rPr>
      </w:pPr>
      <w:r w:rsidRPr="00C701DA">
        <w:rPr>
          <w:w w:val="100"/>
        </w:rPr>
        <w:t>№ ООН 3529: включить «6F» в колонку 3b.</w:t>
      </w:r>
    </w:p>
    <w:p w:rsidR="00C701DA" w:rsidRPr="00C701DA" w:rsidRDefault="00C701DA" w:rsidP="00B06765">
      <w:pPr>
        <w:pStyle w:val="SingleTxtGR"/>
        <w:rPr>
          <w:w w:val="100"/>
        </w:rPr>
      </w:pPr>
      <w:r w:rsidRPr="00C701DA">
        <w:rPr>
          <w:w w:val="100"/>
        </w:rPr>
        <w:t>№ ООН 3530: включить «М11» в колонку 3b.</w:t>
      </w:r>
    </w:p>
    <w:p w:rsidR="00C701DA" w:rsidRPr="00C701DA" w:rsidRDefault="00C701DA" w:rsidP="00C701DA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b/>
        </w:rPr>
      </w:pPr>
      <w:r w:rsidRPr="00C701DA">
        <w:rPr>
          <w:b/>
          <w:spacing w:val="0"/>
          <w:w w:val="100"/>
          <w:kern w:val="0"/>
        </w:rPr>
        <w:tab/>
      </w:r>
      <w:r w:rsidRPr="00C701DA">
        <w:rPr>
          <w:b/>
          <w:spacing w:val="0"/>
          <w:w w:val="100"/>
          <w:kern w:val="0"/>
        </w:rPr>
        <w:tab/>
      </w:r>
      <w:r w:rsidRPr="00C701DA">
        <w:rPr>
          <w:b/>
        </w:rPr>
        <w:t>Глава 3.3</w:t>
      </w:r>
    </w:p>
    <w:p w:rsidR="00C701DA" w:rsidRPr="00C701DA" w:rsidRDefault="00C701DA" w:rsidP="00B06765">
      <w:pPr>
        <w:pStyle w:val="SingleTxtGR"/>
        <w:tabs>
          <w:tab w:val="clear" w:pos="3969"/>
          <w:tab w:val="left" w:pos="4116"/>
        </w:tabs>
      </w:pPr>
      <w:r w:rsidRPr="00C701DA">
        <w:t>Специальное положение 342 b)</w:t>
      </w:r>
      <w:r w:rsidRPr="00C701DA">
        <w:tab/>
        <w:t>Данная поправка не касается текста на русском языке.</w:t>
      </w:r>
    </w:p>
    <w:p w:rsidR="00C701DA" w:rsidRPr="00C701DA" w:rsidRDefault="00C701DA" w:rsidP="00B06765">
      <w:pPr>
        <w:pStyle w:val="SingleTxtGR"/>
        <w:tabs>
          <w:tab w:val="clear" w:pos="3969"/>
          <w:tab w:val="left" w:pos="4116"/>
        </w:tabs>
      </w:pPr>
      <w:r w:rsidRPr="00C701DA">
        <w:t>Специальное положение 369</w:t>
      </w:r>
      <w:r w:rsidRPr="00C701DA">
        <w:tab/>
        <w:t>Заменить «2.2.7.2.3.6» на «2.2.7.2.3.5».</w:t>
      </w:r>
    </w:p>
    <w:p w:rsidR="00C701DA" w:rsidRPr="00C701DA" w:rsidRDefault="00C701DA" w:rsidP="00B06765">
      <w:pPr>
        <w:pStyle w:val="SingleTxtGR"/>
        <w:tabs>
          <w:tab w:val="clear" w:pos="3969"/>
          <w:tab w:val="left" w:pos="4116"/>
        </w:tabs>
      </w:pPr>
      <w:r w:rsidRPr="00C701DA">
        <w:t>Специальное положение 373 a)</w:t>
      </w:r>
      <w:r w:rsidRPr="00C701DA">
        <w:tab/>
        <w:t>В примечании после подпункта iii) заменить «ISO 9001:2008» на «ISO 9001».</w:t>
      </w:r>
    </w:p>
    <w:p w:rsidR="00C701DA" w:rsidRPr="00C701DA" w:rsidRDefault="00C701DA" w:rsidP="00B06765">
      <w:pPr>
        <w:pStyle w:val="SingleTxtGR"/>
        <w:tabs>
          <w:tab w:val="clear" w:pos="3969"/>
          <w:tab w:val="left" w:pos="4116"/>
        </w:tabs>
      </w:pPr>
      <w:r w:rsidRPr="00C701DA">
        <w:t>Специальное положение 376</w:t>
      </w:r>
      <w:r w:rsidRPr="00C701DA">
        <w:tab/>
        <w:t>В конце добавить новое предложение следующего содержания: «В данном случае элементы и батареи относятся к транспортной категории 0»..</w:t>
      </w:r>
    </w:p>
    <w:p w:rsidR="00C701DA" w:rsidRPr="00C701DA" w:rsidRDefault="00C701DA" w:rsidP="00B06765">
      <w:pPr>
        <w:pStyle w:val="SingleTxtGR"/>
        <w:tabs>
          <w:tab w:val="clear" w:pos="3969"/>
          <w:tab w:val="left" w:pos="4116"/>
        </w:tabs>
      </w:pPr>
      <w:r w:rsidRPr="00C701DA">
        <w:t>Специальное положение 528</w:t>
      </w:r>
      <w:r w:rsidRPr="00C701DA">
        <w:tab/>
        <w:t>Заменить «изделиями класса 4.1» на «веществами класса 4.1».</w:t>
      </w:r>
    </w:p>
    <w:p w:rsidR="00C701DA" w:rsidRPr="00C701DA" w:rsidRDefault="00C701DA" w:rsidP="00B06765">
      <w:pPr>
        <w:pStyle w:val="SingleTxtGR"/>
        <w:tabs>
          <w:tab w:val="clear" w:pos="3969"/>
          <w:tab w:val="left" w:pos="4116"/>
        </w:tabs>
      </w:pPr>
      <w:r w:rsidRPr="00C701DA">
        <w:t>Специальное положение 531</w:t>
      </w:r>
      <w:r w:rsidRPr="00C701DA">
        <w:tab/>
        <w:t>После «класса 4.1» включить «(№ ООН 2555, 2556 или 2557)».</w:t>
      </w:r>
    </w:p>
    <w:p w:rsidR="00C701DA" w:rsidRPr="00C701DA" w:rsidRDefault="00C701DA" w:rsidP="00B06765">
      <w:pPr>
        <w:pStyle w:val="SingleTxtGR"/>
        <w:tabs>
          <w:tab w:val="clear" w:pos="3969"/>
          <w:tab w:val="left" w:pos="4116"/>
        </w:tabs>
      </w:pPr>
      <w:r w:rsidRPr="00C701DA">
        <w:t>Специальное положение 545</w:t>
      </w:r>
      <w:r w:rsidRPr="00C701DA">
        <w:tab/>
        <w:t>Данная поправка не касается текста на русском языке.</w:t>
      </w:r>
    </w:p>
    <w:p w:rsidR="00C701DA" w:rsidRPr="00C701DA" w:rsidRDefault="00C701DA" w:rsidP="00B06765">
      <w:pPr>
        <w:pStyle w:val="SingleTxtGR"/>
        <w:tabs>
          <w:tab w:val="clear" w:pos="3969"/>
          <w:tab w:val="left" w:pos="4116"/>
        </w:tabs>
      </w:pPr>
      <w:r w:rsidRPr="00C701DA">
        <w:t>Специальное положение 592</w:t>
      </w:r>
      <w:r w:rsidRPr="00C701DA">
        <w:tab/>
        <w:t>Данная поправка не касается текста на русском языке.</w:t>
      </w:r>
    </w:p>
    <w:p w:rsidR="00C701DA" w:rsidRPr="00C701DA" w:rsidRDefault="00C701DA" w:rsidP="00B06765">
      <w:pPr>
        <w:pStyle w:val="SingleTxtGR"/>
        <w:tabs>
          <w:tab w:val="clear" w:pos="3969"/>
          <w:tab w:val="left" w:pos="4116"/>
        </w:tabs>
      </w:pPr>
      <w:r w:rsidRPr="00C701DA">
        <w:t>Специальное положение 636 b)</w:t>
      </w:r>
      <w:r w:rsidRPr="00C701DA">
        <w:tab/>
        <w:t>Изменить текст перед подпунктом i) следующим образом:</w:t>
      </w:r>
    </w:p>
    <w:p w:rsidR="00C701DA" w:rsidRPr="00C701DA" w:rsidRDefault="00356029" w:rsidP="007F5F53">
      <w:pPr>
        <w:pStyle w:val="SingleTxtGR"/>
        <w:rPr>
          <w:rFonts w:eastAsia="MS Mincho"/>
        </w:rPr>
      </w:pPr>
      <w:r>
        <w:t>«</w:t>
      </w:r>
      <w:r w:rsidR="00C701DA" w:rsidRPr="00C701DA">
        <w:t>b)</w:t>
      </w:r>
      <w:r w:rsidR="00C701DA" w:rsidRPr="00C701DA">
        <w:tab/>
        <w:t>Вплоть до места промежуточной переработки:</w:t>
      </w:r>
    </w:p>
    <w:p w:rsidR="00C701DA" w:rsidRPr="00C701DA" w:rsidRDefault="007F5F53" w:rsidP="007F5F53">
      <w:pPr>
        <w:pStyle w:val="SingleTxtGR"/>
        <w:tabs>
          <w:tab w:val="clear" w:pos="2268"/>
          <w:tab w:val="clear" w:pos="2835"/>
          <w:tab w:val="left" w:pos="2086"/>
        </w:tabs>
        <w:ind w:left="2072" w:hanging="364"/>
        <w:rPr>
          <w:rFonts w:eastAsia="MS Mincho"/>
        </w:rPr>
      </w:pPr>
      <w:r w:rsidRPr="007F5F53">
        <w:t>–</w:t>
      </w:r>
      <w:r w:rsidRPr="007F5F53">
        <w:tab/>
      </w:r>
      <w:r w:rsidR="00C701DA" w:rsidRPr="00C701DA">
        <w:t>литиевые элементы и батареи массой брутто не более 500 г каждый/каждая или литий-ионные элементы мощностью в ватт-часах не более</w:t>
      </w:r>
      <w:r w:rsidR="00B54B48" w:rsidRPr="005C7E88">
        <w:rPr>
          <w:lang w:val="en-US"/>
        </w:rPr>
        <w:t> </w:t>
      </w:r>
      <w:r w:rsidR="00356029">
        <w:t>20 Вт</w:t>
      </w:r>
      <w:r w:rsidR="00C701DA" w:rsidRPr="00C701DA">
        <w:t>•ч, литий-ионные батареи мощно</w:t>
      </w:r>
      <w:r w:rsidR="00B54B48" w:rsidRPr="005C7E88">
        <w:t>стью в ватт-часах не более</w:t>
      </w:r>
      <w:r w:rsidR="00B54B48" w:rsidRPr="005C7E88">
        <w:rPr>
          <w:lang w:val="en-US"/>
        </w:rPr>
        <w:t> </w:t>
      </w:r>
      <w:r w:rsidR="00356029">
        <w:t>100 Вт</w:t>
      </w:r>
      <w:r w:rsidR="00C701DA" w:rsidRPr="00C701DA">
        <w:t>•ч, литий-металлические элементы с содержанием лития не более 1 г и литий-металлические элементы с совокупным содержанием лития не более 2 г, не содержащиеся в оборудовании, собранные и предъявленные для перевозки в целях сорти</w:t>
      </w:r>
      <w:r w:rsidR="005C7E88" w:rsidRPr="005C7E88">
        <w:t xml:space="preserve">ровки, удаления или утилизации; </w:t>
      </w:r>
      <w:r w:rsidR="00C701DA" w:rsidRPr="00C701DA">
        <w:t>а также</w:t>
      </w:r>
    </w:p>
    <w:p w:rsidR="00C701DA" w:rsidRPr="00C701DA" w:rsidRDefault="007F5F53" w:rsidP="007F5F53">
      <w:pPr>
        <w:pStyle w:val="SingleTxtGR"/>
        <w:tabs>
          <w:tab w:val="clear" w:pos="2268"/>
          <w:tab w:val="clear" w:pos="2835"/>
          <w:tab w:val="left" w:pos="2086"/>
        </w:tabs>
        <w:ind w:left="2072" w:hanging="364"/>
        <w:rPr>
          <w:rFonts w:eastAsia="MS Mincho"/>
        </w:rPr>
      </w:pPr>
      <w:r w:rsidRPr="007F5F53">
        <w:lastRenderedPageBreak/>
        <w:t>–</w:t>
      </w:r>
      <w:r w:rsidRPr="007F5F53">
        <w:tab/>
      </w:r>
      <w:r w:rsidR="00C701DA" w:rsidRPr="00C701DA">
        <w:t>литиевые элементы и батареи, содержащиеся в оборудовании домашних хозяйств, собранном и предъявленном для перевозки в целях деконтаминации, разборки, утилизации или удаления.</w:t>
      </w:r>
    </w:p>
    <w:p w:rsidR="00C701DA" w:rsidRPr="00822436" w:rsidRDefault="00C701DA" w:rsidP="00822436">
      <w:pPr>
        <w:pStyle w:val="SingleTxtGR"/>
        <w:ind w:left="2086" w:firstLine="14"/>
        <w:rPr>
          <w:rFonts w:eastAsia="MS Mincho"/>
          <w:i/>
        </w:rPr>
      </w:pPr>
      <w:r w:rsidRPr="00822436">
        <w:rPr>
          <w:b/>
          <w:i/>
        </w:rPr>
        <w:t>П</w:t>
      </w:r>
      <w:r w:rsidR="00B54B48" w:rsidRPr="00822436">
        <w:rPr>
          <w:b/>
          <w:i/>
        </w:rPr>
        <w:t>РИМЕЧАНИЕ</w:t>
      </w:r>
      <w:r w:rsidRPr="00822436">
        <w:rPr>
          <w:b/>
          <w:i/>
        </w:rPr>
        <w:t>:</w:t>
      </w:r>
      <w:r w:rsidRPr="00822436">
        <w:rPr>
          <w:i/>
        </w:rPr>
        <w:tab/>
        <w:t>ʺОборудование домашних хозяйствʺ означает оборудование, поступающее из домашних хозяйств, и оборудование коммерческого, промышленного, институционального и иного происхождения, которое в силу своего характера и количества аналогично оборудованию домашних хозяйств. Оборудование, которое может использоваться как домашними хозяйствами, так и другими пользователями</w:t>
      </w:r>
      <w:r w:rsidR="00356029">
        <w:rPr>
          <w:i/>
        </w:rPr>
        <w:t>,</w:t>
      </w:r>
      <w:r w:rsidRPr="00822436">
        <w:rPr>
          <w:i/>
        </w:rPr>
        <w:t xml:space="preserve"> помимо домашних хозяйств, рассматривается в любом случае как оборудование домашних хозяйств.</w:t>
      </w:r>
    </w:p>
    <w:p w:rsidR="00C701DA" w:rsidRPr="00C701DA" w:rsidRDefault="00C701DA" w:rsidP="00822436">
      <w:pPr>
        <w:pStyle w:val="SingleTxtGR"/>
        <w:ind w:left="1701"/>
        <w:rPr>
          <w:rFonts w:eastAsia="MS Mincho"/>
        </w:rPr>
      </w:pPr>
      <w:r w:rsidRPr="00C701DA">
        <w:t>не подпадают под действие других положений ВОПОГ, включая специальное положение 376 и пункт 2.2.9.1.7, если они отвечают следующим условиям:».</w:t>
      </w:r>
    </w:p>
    <w:p w:rsidR="00C701DA" w:rsidRPr="00C701DA" w:rsidRDefault="00C701DA" w:rsidP="00822436">
      <w:pPr>
        <w:pStyle w:val="SingleTxtGR"/>
        <w:tabs>
          <w:tab w:val="clear" w:pos="3969"/>
          <w:tab w:val="left" w:pos="4270"/>
        </w:tabs>
        <w:rPr>
          <w:rFonts w:eastAsia="MS Mincho"/>
          <w:u w:val="single"/>
        </w:rPr>
      </w:pPr>
      <w:r w:rsidRPr="00C701DA">
        <w:t>Специальное положение 636 b)</w:t>
      </w:r>
      <w:r w:rsidRPr="00C701DA">
        <w:tab/>
        <w:t>Изменить подпункт iii) следующим образом:</w:t>
      </w:r>
    </w:p>
    <w:p w:rsidR="00C701DA" w:rsidRPr="00C701DA" w:rsidRDefault="00C701DA" w:rsidP="00822436">
      <w:pPr>
        <w:pStyle w:val="SingleTxtGR"/>
        <w:ind w:left="1680" w:hanging="532"/>
        <w:rPr>
          <w:rFonts w:eastAsia="MS Mincho"/>
        </w:rPr>
      </w:pPr>
      <w:r w:rsidRPr="00C701DA">
        <w:t>«iii)</w:t>
      </w:r>
      <w:r w:rsidRPr="00C701DA">
        <w:tab/>
        <w:t>на упаковках должен иметься маркировочный знак "ЛИТИЕВЫЕ БАТА</w:t>
      </w:r>
      <w:r w:rsidR="00822436" w:rsidRPr="00822436">
        <w:t>-</w:t>
      </w:r>
      <w:r w:rsidRPr="00C701DA">
        <w:t xml:space="preserve">РЕИ ДЛЯ УТИЛИЗАЦИИ" или "ЛИТИЕВЫЕ БАТАРЕИ ДЛЯ </w:t>
      </w:r>
      <w:r w:rsidR="00B54B48" w:rsidRPr="005C7E88">
        <w:t>ПЕРЕРА</w:t>
      </w:r>
      <w:r w:rsidR="00EF1F32">
        <w:t>-</w:t>
      </w:r>
      <w:r w:rsidR="00B54B48" w:rsidRPr="005C7E88">
        <w:t>БОТКИ",</w:t>
      </w:r>
      <w:r w:rsidR="00822436" w:rsidRPr="00822436">
        <w:t xml:space="preserve"> </w:t>
      </w:r>
      <w:r w:rsidRPr="00C701DA">
        <w:t>в зависимости от конкретного случая.</w:t>
      </w:r>
    </w:p>
    <w:p w:rsidR="00C701DA" w:rsidRPr="00C701DA" w:rsidRDefault="00C701DA" w:rsidP="00822436">
      <w:pPr>
        <w:pStyle w:val="SingleTxtGR"/>
        <w:tabs>
          <w:tab w:val="clear" w:pos="2268"/>
          <w:tab w:val="clear" w:pos="2835"/>
        </w:tabs>
        <w:ind w:left="1694" w:hanging="14"/>
        <w:rPr>
          <w:rFonts w:eastAsia="MS Mincho"/>
        </w:rPr>
      </w:pPr>
      <w:r w:rsidRPr="00C701DA">
        <w:t>Если оборудование, содержащие литиевые элементы или батареи, перевозится в неупакованном виде или на поддонах в соответствии с инструкцией по упаковке P 909 (3), изложенной в подразделе 4.1.4.1 ДОПОГ, то в качестве альтернативы этот маркировочный знак может быть размещен на внешней поверхности транспортных средств или контейнеров».</w:t>
      </w:r>
    </w:p>
    <w:p w:rsidR="00C701DA" w:rsidRPr="00C701DA" w:rsidRDefault="00C701DA" w:rsidP="00822436">
      <w:pPr>
        <w:pStyle w:val="SingleTxtGR"/>
      </w:pPr>
      <w:r w:rsidRPr="00C701DA">
        <w:t>Добавить новые специальные положения следующего содержания:</w:t>
      </w:r>
    </w:p>
    <w:p w:rsidR="00C701DA" w:rsidRPr="00C701DA" w:rsidRDefault="00B54B48" w:rsidP="00822436">
      <w:pPr>
        <w:pStyle w:val="SingleTxtGR"/>
      </w:pPr>
      <w:r w:rsidRPr="005C7E88">
        <w:t>«</w:t>
      </w:r>
      <w:r w:rsidR="00C701DA" w:rsidRPr="00C701DA">
        <w:t>665</w:t>
      </w:r>
      <w:r w:rsidR="00C701DA" w:rsidRPr="00C701DA">
        <w:tab/>
        <w:t>Не измельченные до порошкообразного состояния каменный уголь, кокс и антрацит, отвечающие классификационным критериям класса 4.2, группа упаковки III, не подпадают под действие требований ВОПОГ».</w:t>
      </w:r>
    </w:p>
    <w:p w:rsidR="00C701DA" w:rsidRPr="00C701DA" w:rsidRDefault="00B54B48" w:rsidP="00822436">
      <w:pPr>
        <w:pStyle w:val="SingleTxtGR"/>
      </w:pPr>
      <w:r w:rsidRPr="005C7E88">
        <w:t>«</w:t>
      </w:r>
      <w:r w:rsidR="00C701DA" w:rsidRPr="00C701DA">
        <w:t>669</w:t>
      </w:r>
      <w:r w:rsidR="00C701DA" w:rsidRPr="00C701DA">
        <w:tab/>
        <w:t>Прицеп, оснащенный оборудованием, работающим на жидком или газообразном топливе или использующим систему хранения и производства электрической энергии и предназначенным для использования во время перевозки, осуществляемой этим прицепом как частью транспортной единицы, должен быть отнесен к № ООН 3166 или 3171, и на него должны распространяться те же условия, что и условия, установленные для указанных номеров ООН, когда он перевозится в качестве груза на судне, при условии, что общая вместимость баков, содержащих жидкое топ</w:t>
      </w:r>
      <w:r w:rsidRPr="005C7E88">
        <w:t>ливо, не превышает 500 литров».</w:t>
      </w:r>
    </w:p>
    <w:p w:rsidR="00C701DA" w:rsidRPr="00C701DA" w:rsidRDefault="00C701DA" w:rsidP="00EF1F32">
      <w:pPr>
        <w:pStyle w:val="H23GR"/>
        <w:keepNext w:val="0"/>
        <w:keepLines w:val="0"/>
        <w:rPr>
          <w:w w:val="100"/>
        </w:rPr>
      </w:pPr>
      <w:r w:rsidRPr="00C701DA">
        <w:rPr>
          <w:w w:val="100"/>
        </w:rPr>
        <w:tab/>
      </w:r>
      <w:r w:rsidRPr="00C701DA">
        <w:rPr>
          <w:w w:val="100"/>
        </w:rPr>
        <w:tab/>
        <w:t>Глава 5.1</w:t>
      </w:r>
    </w:p>
    <w:p w:rsidR="00C701DA" w:rsidRPr="00C701DA" w:rsidRDefault="00B54B48" w:rsidP="00EF1F32">
      <w:pPr>
        <w:pStyle w:val="SingleTxtGR"/>
      </w:pPr>
      <w:r>
        <w:rPr>
          <w:spacing w:val="0"/>
          <w:w w:val="100"/>
          <w:kern w:val="0"/>
        </w:rPr>
        <w:t>5.1.5.5</w:t>
      </w:r>
      <w:r>
        <w:rPr>
          <w:spacing w:val="0"/>
          <w:w w:val="100"/>
          <w:kern w:val="0"/>
        </w:rPr>
        <w:tab/>
      </w:r>
      <w:r w:rsidR="00C701DA" w:rsidRPr="00C701DA">
        <w:rPr>
          <w:spacing w:val="0"/>
          <w:w w:val="100"/>
          <w:kern w:val="0"/>
        </w:rPr>
        <w:tab/>
      </w:r>
      <w:r w:rsidR="00C701DA" w:rsidRPr="00C701DA">
        <w:t>Изменить таблицу следующим образом:</w:t>
      </w:r>
    </w:p>
    <w:p w:rsidR="00C701DA" w:rsidRPr="00C701DA" w:rsidRDefault="00C701DA" w:rsidP="00EF1F32">
      <w:pPr>
        <w:suppressAutoHyphens/>
        <w:spacing w:before="120" w:after="240"/>
        <w:ind w:left="1134" w:right="1134"/>
        <w:jc w:val="both"/>
        <w:rPr>
          <w:lang w:val="en-GB"/>
        </w:rPr>
      </w:pPr>
      <w:r w:rsidRPr="00C701DA">
        <w:t>Добавить следующие новые графы:</w:t>
      </w:r>
    </w:p>
    <w:tbl>
      <w:tblPr>
        <w:tblW w:w="0" w:type="auto"/>
        <w:tblInd w:w="1200" w:type="dxa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3472"/>
        <w:gridCol w:w="703"/>
        <w:gridCol w:w="703"/>
        <w:gridCol w:w="703"/>
        <w:gridCol w:w="704"/>
        <w:gridCol w:w="1795"/>
      </w:tblGrid>
      <w:tr w:rsidR="00B54B48" w:rsidRPr="005C7E88" w:rsidTr="000F2856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01DA" w:rsidRPr="00C701DA" w:rsidRDefault="00C701DA" w:rsidP="00EF1F32">
            <w:pPr>
              <w:tabs>
                <w:tab w:val="left" w:pos="218"/>
              </w:tabs>
              <w:spacing w:before="60" w:after="60" w:line="220" w:lineRule="exact"/>
            </w:pPr>
            <w:r w:rsidRPr="00C701DA">
              <w:t>Альтернативные пределы активности для груза приборов или изделий, на который распространяется изъятие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01DA" w:rsidRPr="00C701DA" w:rsidRDefault="00B54B48" w:rsidP="00EF1F32">
            <w:pPr>
              <w:spacing w:before="60" w:after="60" w:line="220" w:lineRule="exact"/>
              <w:jc w:val="center"/>
            </w:pPr>
            <w:r w:rsidRPr="005C7E88">
              <w:t>–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01DA" w:rsidRPr="00C701DA" w:rsidRDefault="00C701DA" w:rsidP="00EF1F32">
            <w:pPr>
              <w:spacing w:before="60" w:after="60" w:line="220" w:lineRule="exact"/>
              <w:jc w:val="center"/>
            </w:pPr>
            <w:r w:rsidRPr="00C701DA">
              <w:t>Да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01DA" w:rsidRPr="00C701DA" w:rsidRDefault="00C701DA" w:rsidP="00EF1F32">
            <w:pPr>
              <w:spacing w:before="60" w:after="60" w:line="220" w:lineRule="exact"/>
              <w:jc w:val="center"/>
            </w:pPr>
            <w:r w:rsidRPr="00C701DA">
              <w:t>Да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01DA" w:rsidRPr="00C701DA" w:rsidRDefault="00C701DA" w:rsidP="00EF1F32">
            <w:pPr>
              <w:spacing w:before="60" w:after="60" w:line="220" w:lineRule="exact"/>
              <w:jc w:val="center"/>
            </w:pPr>
            <w:r w:rsidRPr="00C701DA">
              <w:t>Нет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1DA" w:rsidRPr="00C701DA" w:rsidRDefault="00C701DA" w:rsidP="00EF1F32">
            <w:pPr>
              <w:spacing w:before="60" w:after="60" w:line="220" w:lineRule="exact"/>
              <w:jc w:val="center"/>
            </w:pPr>
            <w:r w:rsidRPr="00C701DA">
              <w:t>5.1.5.2.1 e), 6.4.22.7 (ДОПОГ)</w:t>
            </w:r>
          </w:p>
        </w:tc>
      </w:tr>
      <w:tr w:rsidR="00B54B48" w:rsidRPr="005C7E88" w:rsidTr="000F2856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01DA" w:rsidRPr="00C701DA" w:rsidRDefault="00C701DA" w:rsidP="00EF1F32">
            <w:pPr>
              <w:spacing w:before="60" w:after="60" w:line="220" w:lineRule="exact"/>
            </w:pPr>
            <w:r w:rsidRPr="00C701DA">
              <w:t>Делящийся материал, подпадающий под освобождение в соответ</w:t>
            </w:r>
            <w:r w:rsidR="00B54B48" w:rsidRPr="005C7E88">
              <w:t>ствии</w:t>
            </w:r>
            <w:r w:rsidR="00B54B48" w:rsidRPr="005C7E88">
              <w:br/>
            </w:r>
            <w:r w:rsidRPr="00C701DA">
              <w:t>с пунктом 2.2.7.2.3.5 f)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01DA" w:rsidRPr="00C701DA" w:rsidRDefault="00B54B48" w:rsidP="00EF1F32">
            <w:pPr>
              <w:spacing w:before="60" w:after="60" w:line="220" w:lineRule="exact"/>
              <w:jc w:val="center"/>
            </w:pPr>
            <w:r w:rsidRPr="005C7E88">
              <w:t>–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01DA" w:rsidRPr="00C701DA" w:rsidRDefault="00C701DA" w:rsidP="00EF1F32">
            <w:pPr>
              <w:spacing w:before="60" w:after="60" w:line="220" w:lineRule="exact"/>
              <w:jc w:val="center"/>
            </w:pPr>
            <w:r w:rsidRPr="00C701DA">
              <w:t>Да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01DA" w:rsidRPr="00C701DA" w:rsidRDefault="00C701DA" w:rsidP="00EF1F32">
            <w:pPr>
              <w:spacing w:before="60" w:after="60" w:line="220" w:lineRule="exact"/>
              <w:jc w:val="center"/>
            </w:pPr>
            <w:r w:rsidRPr="00C701DA">
              <w:t>Да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01DA" w:rsidRPr="00C701DA" w:rsidRDefault="00C701DA" w:rsidP="00EF1F32">
            <w:pPr>
              <w:spacing w:before="60" w:after="60" w:line="220" w:lineRule="exact"/>
              <w:jc w:val="center"/>
            </w:pPr>
            <w:r w:rsidRPr="00C701DA">
              <w:t>Нет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1DA" w:rsidRPr="00C701DA" w:rsidRDefault="00C701DA" w:rsidP="00EF1F32">
            <w:pPr>
              <w:spacing w:before="60" w:after="60" w:line="220" w:lineRule="exact"/>
              <w:jc w:val="center"/>
            </w:pPr>
            <w:r w:rsidRPr="00C701DA">
              <w:t>5.1.5.2.1 a) iii), 6.4.22.6 (ДОПОГ)</w:t>
            </w:r>
          </w:p>
        </w:tc>
      </w:tr>
    </w:tbl>
    <w:p w:rsidR="00C701DA" w:rsidRPr="00C701DA" w:rsidRDefault="00C701DA" w:rsidP="00822436">
      <w:pPr>
        <w:pStyle w:val="SingleTxtGR"/>
        <w:spacing w:before="240"/>
      </w:pPr>
      <w:r w:rsidRPr="00C701DA">
        <w:lastRenderedPageBreak/>
        <w:t>В первой графе (Расчет неуказанных значений A</w:t>
      </w:r>
      <w:r w:rsidRPr="00C701DA">
        <w:rPr>
          <w:vertAlign w:val="subscript"/>
        </w:rPr>
        <w:t>1</w:t>
      </w:r>
      <w:r w:rsidRPr="00C701DA">
        <w:t xml:space="preserve"> и A</w:t>
      </w:r>
      <w:r w:rsidRPr="00C701DA">
        <w:rPr>
          <w:vertAlign w:val="subscript"/>
        </w:rPr>
        <w:t>2</w:t>
      </w:r>
      <w:r w:rsidRPr="00C701DA">
        <w:t>) в последней колонке заменить «---» на «2.2.7.2.2.2 a), 5.1.5.2.1 d)».</w:t>
      </w:r>
    </w:p>
    <w:p w:rsidR="00C701DA" w:rsidRPr="00C701DA" w:rsidRDefault="00C701DA" w:rsidP="00822436">
      <w:pPr>
        <w:pStyle w:val="SingleTxtGR"/>
      </w:pPr>
      <w:r w:rsidRPr="00C701DA">
        <w:t>В десятой графе (Радиоактивный материал с н</w:t>
      </w:r>
      <w:r w:rsidR="000F2856" w:rsidRPr="005C7E88">
        <w:t>изкой способностью к рассеянию)</w:t>
      </w:r>
      <w:r w:rsidR="00281A7E" w:rsidRPr="00281A7E">
        <w:t xml:space="preserve"> </w:t>
      </w:r>
      <w:r w:rsidRPr="00C701DA">
        <w:t>в последней колонке заменить «6.4.22.3» на «6.4.22.5».</w:t>
      </w:r>
    </w:p>
    <w:p w:rsidR="00C701DA" w:rsidRPr="00C701DA" w:rsidRDefault="00C701DA" w:rsidP="00822436">
      <w:pPr>
        <w:pStyle w:val="SingleTxtGR"/>
      </w:pPr>
      <w:r w:rsidRPr="00C701DA">
        <w:t>В тринадцатой графе (Утвержденные конструкции упаковок, регулируемые переходными положениями) в последней колонке исключить «1.6.6.1» и в конце включить «, 6.4.22.9 (ДОПОГ)».</w:t>
      </w:r>
    </w:p>
    <w:p w:rsidR="00C701DA" w:rsidRPr="007F5F53" w:rsidRDefault="00C701DA" w:rsidP="000F2856">
      <w:pPr>
        <w:pStyle w:val="H23GR"/>
        <w:rPr>
          <w:kern w:val="20"/>
        </w:rPr>
      </w:pPr>
      <w:r w:rsidRPr="00C701DA">
        <w:rPr>
          <w:w w:val="100"/>
        </w:rPr>
        <w:tab/>
      </w:r>
      <w:r w:rsidRPr="00C701DA">
        <w:rPr>
          <w:w w:val="100"/>
        </w:rPr>
        <w:tab/>
      </w:r>
      <w:r w:rsidRPr="007F5F53">
        <w:rPr>
          <w:kern w:val="20"/>
        </w:rPr>
        <w:t>Глава 5.2</w:t>
      </w:r>
    </w:p>
    <w:p w:rsidR="00C701DA" w:rsidRPr="00C701DA" w:rsidRDefault="00822436" w:rsidP="00822436">
      <w:pPr>
        <w:pStyle w:val="SingleTxtGR"/>
      </w:pPr>
      <w:r>
        <w:t>5.2.1.7.4</w:t>
      </w:r>
      <w:r w:rsidR="00C701DA" w:rsidRPr="00C701DA">
        <w:t xml:space="preserve"> c)</w:t>
      </w:r>
      <w:r w:rsidR="00C701DA" w:rsidRPr="00C701DA">
        <w:tab/>
        <w:t>Заменить «с указанием международного регистрационного кода транспортного средства (кода VRI)</w:t>
      </w:r>
      <w:r w:rsidR="00C701DA" w:rsidRPr="00C701DA">
        <w:rPr>
          <w:vertAlign w:val="superscript"/>
        </w:rPr>
        <w:t>2</w:t>
      </w:r>
      <w:r w:rsidR="00C701DA" w:rsidRPr="00C701DA">
        <w:t>» на «с указанием отличительного знака транспортных средств, находящихся в международном дорожном движении</w:t>
      </w:r>
      <w:r w:rsidR="00C701DA" w:rsidRPr="00C701DA">
        <w:rPr>
          <w:vertAlign w:val="superscript"/>
        </w:rPr>
        <w:t>2</w:t>
      </w:r>
      <w:r w:rsidR="00C701DA" w:rsidRPr="00C701DA">
        <w:t>». Изменить сноску 2 следующим образом:</w:t>
      </w:r>
    </w:p>
    <w:p w:rsidR="00C701DA" w:rsidRPr="00822436" w:rsidRDefault="00822436" w:rsidP="00822436">
      <w:pPr>
        <w:pStyle w:val="SingleTxtGR"/>
        <w:rPr>
          <w:i/>
        </w:rPr>
      </w:pPr>
      <w:r w:rsidRPr="00EF1F32">
        <w:t>«</w:t>
      </w:r>
      <w:r w:rsidR="00C701DA" w:rsidRPr="00822436">
        <w:rPr>
          <w:i/>
          <w:vertAlign w:val="superscript"/>
        </w:rPr>
        <w:t>2</w:t>
      </w:r>
      <w:r w:rsidR="00C701DA" w:rsidRPr="00822436">
        <w:rPr>
          <w:i/>
        </w:rPr>
        <w:tab/>
        <w:t>Отличительный знак государства регистрации, используемый на автомобилях и прицепах, находящихся в международном дорожном движении, например в соответствии с Женевской</w:t>
      </w:r>
      <w:r w:rsidR="00EF1F32">
        <w:rPr>
          <w:i/>
        </w:rPr>
        <w:t xml:space="preserve"> конвенцией о дорожном движении</w:t>
      </w:r>
      <w:r w:rsidR="00EF1F32">
        <w:rPr>
          <w:i/>
        </w:rPr>
        <w:br/>
      </w:r>
      <w:r w:rsidR="00C701DA" w:rsidRPr="00822436">
        <w:rPr>
          <w:i/>
        </w:rPr>
        <w:t>1949 года или Венской конвенцией о дорожном движении 1968 года</w:t>
      </w:r>
      <w:r w:rsidR="00C701DA" w:rsidRPr="00EF1F32">
        <w:t>»</w:t>
      </w:r>
      <w:r w:rsidR="00C701DA" w:rsidRPr="00822436">
        <w:rPr>
          <w:i/>
        </w:rPr>
        <w:t>.</w:t>
      </w:r>
    </w:p>
    <w:p w:rsidR="00C701DA" w:rsidRPr="00C701DA" w:rsidRDefault="00C701DA" w:rsidP="00822436">
      <w:pPr>
        <w:pStyle w:val="SingleTxtGR"/>
      </w:pPr>
      <w:r w:rsidRPr="00C701DA">
        <w:t>5.2.2.2.2</w:t>
      </w:r>
      <w:r w:rsidRPr="00C701DA">
        <w:tab/>
        <w:t>Изменить заголовок знака № 4.1 следующим образом: «ОПАС</w:t>
      </w:r>
      <w:r w:rsidR="00EF1F32">
        <w:t>-</w:t>
      </w:r>
      <w:r w:rsidRPr="00C701DA">
        <w:t>НОСТЬ КЛАССА 4.1 Легковоспламеняющиеся твердые вещества, самореактивные вещества, полимеризующиеся вещества и твердые десенсибилизированные взрывчатые вещества».</w:t>
      </w:r>
    </w:p>
    <w:p w:rsidR="00C701DA" w:rsidRPr="007F5F53" w:rsidRDefault="00C701DA" w:rsidP="000F2856">
      <w:pPr>
        <w:pStyle w:val="H23GR"/>
        <w:rPr>
          <w:kern w:val="20"/>
        </w:rPr>
      </w:pPr>
      <w:r w:rsidRPr="007F5F53">
        <w:rPr>
          <w:kern w:val="20"/>
        </w:rPr>
        <w:tab/>
      </w:r>
      <w:r w:rsidRPr="007F5F53">
        <w:rPr>
          <w:kern w:val="20"/>
        </w:rPr>
        <w:tab/>
        <w:t>Глава 5.4</w:t>
      </w:r>
    </w:p>
    <w:p w:rsidR="00C701DA" w:rsidRPr="00C701DA" w:rsidRDefault="00C701DA" w:rsidP="00822436">
      <w:pPr>
        <w:pStyle w:val="SingleTxtGR"/>
      </w:pPr>
      <w:r w:rsidRPr="00C701DA">
        <w:t>5.4.1.1.11</w:t>
      </w:r>
      <w:r w:rsidRPr="00C701DA">
        <w:tab/>
        <w:t>Изменить следующим образом:</w:t>
      </w:r>
    </w:p>
    <w:p w:rsidR="00C701DA" w:rsidRPr="00C701DA" w:rsidRDefault="000F2856" w:rsidP="00822436">
      <w:pPr>
        <w:pStyle w:val="SingleTxtGR"/>
      </w:pPr>
      <w:r w:rsidRPr="007F5F53">
        <w:t>«</w:t>
      </w:r>
      <w:r w:rsidR="00C701DA" w:rsidRPr="00C701DA">
        <w:t>5.4.1.1.11</w:t>
      </w:r>
      <w:r w:rsidR="00C701DA" w:rsidRPr="00C701DA">
        <w:tab/>
      </w:r>
      <w:r w:rsidR="00C701DA" w:rsidRPr="00EF1F32">
        <w:rPr>
          <w:i/>
        </w:rPr>
        <w:t>Специальные положения, касающиеся перевозки КСГМГ, цистерн, транспортных средств-батарей, переносных цистерн и МЭГК после истечения срока действительности последнего периодического испытания или проверки</w:t>
      </w:r>
    </w:p>
    <w:p w:rsidR="00C701DA" w:rsidRPr="00C701DA" w:rsidRDefault="00C701DA" w:rsidP="00822436">
      <w:pPr>
        <w:pStyle w:val="SingleTxtGR"/>
      </w:pPr>
      <w:r w:rsidRPr="00C701DA">
        <w:tab/>
        <w:t xml:space="preserve">При перевозке, осуществляемой в соответствии с пунктами 4.1.2.2 b), 4.3.2.3.7 b), 6.7.2.19.6 b), 6.7.3.15.6 b) или </w:t>
      </w:r>
      <w:r w:rsidR="00EF1F32">
        <w:t>6.7.4.14.6 b) ДОПОГ (или МПОГ),</w:t>
      </w:r>
      <w:r w:rsidR="00EF1F32">
        <w:br/>
      </w:r>
      <w:r w:rsidRPr="00C701DA">
        <w:t>в транспортном документе должна быть сделана следующая запись:</w:t>
      </w:r>
    </w:p>
    <w:p w:rsidR="00C701DA" w:rsidRPr="00C701DA" w:rsidRDefault="00C701DA" w:rsidP="00822436">
      <w:pPr>
        <w:pStyle w:val="SingleTxtGR"/>
      </w:pPr>
      <w:r w:rsidRPr="00C701DA">
        <w:t>"ПЕРЕВОЗКА В СООТВЕТСТВИИ С ПУНКТОМ 4.1.2.2 b) ДОПОГ (или МПОГ)";</w:t>
      </w:r>
    </w:p>
    <w:p w:rsidR="00C701DA" w:rsidRPr="00C701DA" w:rsidRDefault="00C701DA" w:rsidP="00822436">
      <w:pPr>
        <w:pStyle w:val="SingleTxtGR"/>
      </w:pPr>
      <w:r w:rsidRPr="00C701DA">
        <w:t>"ПЕРЕВОЗКА В СООТВЕТСТВИИ С ПУНКТОМ 4.3.2.3.7 b) ДОПОГ (или МПОГ)";</w:t>
      </w:r>
    </w:p>
    <w:p w:rsidR="00C701DA" w:rsidRPr="00C701DA" w:rsidRDefault="00C701DA" w:rsidP="00822436">
      <w:pPr>
        <w:pStyle w:val="SingleTxtGR"/>
      </w:pPr>
      <w:r w:rsidRPr="00C701DA">
        <w:t>"ПЕРЕВОЗКА В СООТВЕТСТВИИ С ПУНКТОМ 6.7.2.19.6 b) ДОПОГ (или МПОГ)";</w:t>
      </w:r>
    </w:p>
    <w:p w:rsidR="00C701DA" w:rsidRPr="00C701DA" w:rsidRDefault="00C701DA" w:rsidP="00822436">
      <w:pPr>
        <w:pStyle w:val="SingleTxtGR"/>
      </w:pPr>
      <w:r w:rsidRPr="00C701DA">
        <w:t xml:space="preserve">"ПЕРЕВОЗКА В СООТВЕТСТВИИ С ПУНКТОМ 6.7.3.15.6 b) ДОПОГ (или МПОГ)"; или </w:t>
      </w:r>
    </w:p>
    <w:p w:rsidR="00C701DA" w:rsidRPr="00C701DA" w:rsidRDefault="00C701DA" w:rsidP="00822436">
      <w:pPr>
        <w:pStyle w:val="SingleTxtGR"/>
      </w:pPr>
      <w:r w:rsidRPr="00C701DA">
        <w:t>"ПЕРЕВОЗКА В СООТВЕТСТВИИ С ПУНКТОМ 6.7.4.14.6 b) ДОПОГ (или МПОГ)" соответственно».</w:t>
      </w:r>
    </w:p>
    <w:p w:rsidR="00C701DA" w:rsidRPr="00C701DA" w:rsidRDefault="00EF1F32" w:rsidP="00822436">
      <w:pPr>
        <w:pStyle w:val="SingleTxtGR"/>
      </w:pPr>
      <w:r>
        <w:t>5.4.1.2.1</w:t>
      </w:r>
      <w:r>
        <w:tab/>
      </w:r>
      <w:r w:rsidR="00C701DA" w:rsidRPr="00C701DA">
        <w:t>В примечании 2 заменить «в виде отличительного знака автомобилей, находящихся в международном движении (XX)</w:t>
      </w:r>
      <w:r w:rsidR="00C701DA" w:rsidRPr="00C701DA">
        <w:rPr>
          <w:vertAlign w:val="superscript"/>
        </w:rPr>
        <w:t>3</w:t>
      </w:r>
      <w:r w:rsidR="00C701DA" w:rsidRPr="00C701DA">
        <w:t>» на «в виде отличительного знака транспортных средств, находящихся в международном дорожном движении (XX)</w:t>
      </w:r>
      <w:r w:rsidR="00C701DA" w:rsidRPr="00C701DA">
        <w:rPr>
          <w:vertAlign w:val="superscript"/>
        </w:rPr>
        <w:t>3</w:t>
      </w:r>
      <w:r w:rsidR="00C701DA" w:rsidRPr="00C701DA">
        <w:t>». Изменить сноску 3 следующим образом:</w:t>
      </w:r>
    </w:p>
    <w:p w:rsidR="00C701DA" w:rsidRPr="00822436" w:rsidRDefault="00C701DA" w:rsidP="00822436">
      <w:pPr>
        <w:pStyle w:val="SingleTxtGR"/>
        <w:rPr>
          <w:i/>
        </w:rPr>
      </w:pPr>
      <w:r w:rsidRPr="00822436">
        <w:t>«</w:t>
      </w:r>
      <w:r w:rsidRPr="00822436">
        <w:rPr>
          <w:i/>
          <w:vertAlign w:val="superscript"/>
        </w:rPr>
        <w:t>3</w:t>
      </w:r>
      <w:r w:rsidRPr="00822436">
        <w:rPr>
          <w:i/>
        </w:rPr>
        <w:tab/>
        <w:t>Отличительный знак госуда</w:t>
      </w:r>
      <w:r w:rsidR="000F2856" w:rsidRPr="00822436">
        <w:rPr>
          <w:i/>
        </w:rPr>
        <w:t>рства регистрации, используемый</w:t>
      </w:r>
      <w:r w:rsidR="000F2856" w:rsidRPr="00822436">
        <w:rPr>
          <w:i/>
        </w:rPr>
        <w:br/>
      </w:r>
      <w:r w:rsidRPr="00822436">
        <w:rPr>
          <w:i/>
        </w:rPr>
        <w:t>на автомобилях и прицепах, находящихся в международном дорожном движении, например в соответствии с Женевской конвенцией о дорожном движении 1949 года или Венской конвенцией о дорожном движении 1968 года</w:t>
      </w:r>
      <w:r w:rsidRPr="00822436">
        <w:t>»</w:t>
      </w:r>
      <w:r w:rsidRPr="00822436">
        <w:rPr>
          <w:i/>
        </w:rPr>
        <w:t>.</w:t>
      </w:r>
    </w:p>
    <w:p w:rsidR="00C701DA" w:rsidRPr="00C701DA" w:rsidRDefault="00C701DA" w:rsidP="00822436">
      <w:pPr>
        <w:pStyle w:val="SingleTxtGR"/>
      </w:pPr>
      <w:r w:rsidRPr="00C701DA">
        <w:t>5.4.2</w:t>
      </w:r>
      <w:r w:rsidRPr="00C701DA">
        <w:tab/>
        <w:t>После примечания добавить новый абзац следующего содержания:</w:t>
      </w:r>
    </w:p>
    <w:p w:rsidR="00C701DA" w:rsidRPr="00C701DA" w:rsidRDefault="00C701DA" w:rsidP="00822436">
      <w:pPr>
        <w:pStyle w:val="SingleTxtGR"/>
      </w:pPr>
      <w:r w:rsidRPr="00C701DA">
        <w:t>«Если перевозка опасных грузов в транспортном средстве предшествует морской перевозке, то к транспортному документу может прилагаться "свидетельство о загрузке контейнера/транспортного средства", соответствующее требованиям раздела 5.4.2 МКМПОГ</w:t>
      </w:r>
      <w:r w:rsidRPr="00C701DA">
        <w:rPr>
          <w:vertAlign w:val="superscript"/>
        </w:rPr>
        <w:t>5, 6</w:t>
      </w:r>
      <w:r w:rsidRPr="00C701DA">
        <w:t>».</w:t>
      </w:r>
    </w:p>
    <w:p w:rsidR="00C701DA" w:rsidRPr="00C701DA" w:rsidRDefault="00C701DA" w:rsidP="00822436">
      <w:pPr>
        <w:pStyle w:val="SingleTxtGR"/>
      </w:pPr>
      <w:r w:rsidRPr="00C701DA">
        <w:t>5.4.2</w:t>
      </w:r>
      <w:r w:rsidRPr="00C701DA">
        <w:tab/>
        <w:t>В конце сноски 5 заменить «("IMO/ILO/UNECE Guidelines for Packing of Cargo Transport Units (CTUs)")» на «("Кодекс практики ИМО/МОТ/ЕЭК ООН по укладке грузов в грузовые транспортные единицы (Кодекс ГТЕ)")».</w:t>
      </w:r>
    </w:p>
    <w:p w:rsidR="00C701DA" w:rsidRPr="00C701DA" w:rsidRDefault="00C701DA" w:rsidP="00822436">
      <w:pPr>
        <w:pStyle w:val="SingleTxtGR"/>
      </w:pPr>
      <w:r w:rsidRPr="00C701DA">
        <w:t>5.4.2</w:t>
      </w:r>
      <w:r w:rsidRPr="00C701DA">
        <w:tab/>
        <w:t>В сноске 6:</w:t>
      </w:r>
    </w:p>
    <w:p w:rsidR="00C701DA" w:rsidRPr="00C701DA" w:rsidRDefault="000F2856" w:rsidP="00822436">
      <w:pPr>
        <w:pStyle w:val="SingleTxtGR"/>
        <w:ind w:firstLine="574"/>
      </w:pPr>
      <w:r w:rsidRPr="007F5F53">
        <w:t>–</w:t>
      </w:r>
      <w:r w:rsidR="00C701DA" w:rsidRPr="00C701DA">
        <w:tab/>
        <w:t>в начале сноски после «МКМПОГ» добавить «(Поправка 38–16)»;</w:t>
      </w:r>
    </w:p>
    <w:p w:rsidR="00C701DA" w:rsidRPr="00C701DA" w:rsidRDefault="000F2856" w:rsidP="00822436">
      <w:pPr>
        <w:pStyle w:val="SingleTxtGR"/>
        <w:ind w:firstLine="574"/>
      </w:pPr>
      <w:r w:rsidRPr="007F5F53">
        <w:rPr>
          <w:kern w:val="20"/>
        </w:rPr>
        <w:t>–</w:t>
      </w:r>
      <w:r w:rsidR="00C701DA" w:rsidRPr="00C701DA">
        <w:rPr>
          <w:kern w:val="20"/>
        </w:rPr>
        <w:tab/>
        <w:t xml:space="preserve">в </w:t>
      </w:r>
      <w:r w:rsidR="00C701DA" w:rsidRPr="00C701DA">
        <w:t>пункте 2 з</w:t>
      </w:r>
      <w:r w:rsidR="003561B6">
        <w:t>аменить «7.2.2.3» на «7.3.4.1»;</w:t>
      </w:r>
    </w:p>
    <w:p w:rsidR="00C701DA" w:rsidRPr="00C701DA" w:rsidRDefault="000F2856" w:rsidP="00822436">
      <w:pPr>
        <w:pStyle w:val="SingleTxtGR"/>
        <w:ind w:left="2268" w:hanging="588"/>
      </w:pPr>
      <w:r w:rsidRPr="00822436">
        <w:t>–</w:t>
      </w:r>
      <w:r w:rsidR="00C701DA" w:rsidRPr="00C701DA">
        <w:tab/>
        <w:t>в пункте 6 заменить «в соответствии с требованиями раздела 7.4.6» на «в соответствии</w:t>
      </w:r>
      <w:r w:rsidR="003561B6">
        <w:t xml:space="preserve"> с требованиями раздела 7.1.2»;</w:t>
      </w:r>
    </w:p>
    <w:p w:rsidR="00C701DA" w:rsidRPr="00C701DA" w:rsidRDefault="000F2856" w:rsidP="00822436">
      <w:pPr>
        <w:pStyle w:val="SingleTxtGR"/>
        <w:ind w:left="2268" w:hanging="588"/>
      </w:pPr>
      <w:r w:rsidRPr="00822436">
        <w:t>–</w:t>
      </w:r>
      <w:r w:rsidR="00C701DA" w:rsidRPr="00C701DA">
        <w:tab/>
        <w:t>в примечании после пункта 5.4.2.1 МКМПОГ заменить «цистерн» на «переносных цистерн»;</w:t>
      </w:r>
    </w:p>
    <w:p w:rsidR="00C701DA" w:rsidRPr="00C701DA" w:rsidRDefault="000F2856" w:rsidP="00822436">
      <w:pPr>
        <w:pStyle w:val="SingleTxtGR"/>
        <w:ind w:left="2268" w:hanging="588"/>
        <w:rPr>
          <w:kern w:val="20"/>
        </w:rPr>
      </w:pPr>
      <w:r w:rsidRPr="00822436">
        <w:t>–</w:t>
      </w:r>
      <w:r w:rsidR="00C701DA" w:rsidRPr="00C701DA">
        <w:tab/>
        <w:t>в пункте в пункте 5.4.2.4 МКМПОГ заменить «транспортного документа на опасные грузы» на «свидетельства о загрузке контейнера</w:t>
      </w:r>
      <w:r w:rsidR="00C701DA" w:rsidRPr="00C701DA">
        <w:rPr>
          <w:kern w:val="20"/>
        </w:rPr>
        <w:t>/транспортного средства».</w:t>
      </w:r>
    </w:p>
    <w:p w:rsidR="00C701DA" w:rsidRPr="00C701DA" w:rsidRDefault="00822436" w:rsidP="00822436">
      <w:pPr>
        <w:pStyle w:val="SingleTxtGR"/>
        <w:tabs>
          <w:tab w:val="clear" w:pos="2268"/>
          <w:tab w:val="left" w:pos="2142"/>
        </w:tabs>
      </w:pPr>
      <w:r>
        <w:t>5.4.3.4</w:t>
      </w:r>
      <w:r>
        <w:tab/>
      </w:r>
      <w:r w:rsidR="00C701DA" w:rsidRPr="00C701DA">
        <w:t>В образце письменных инструкций изменить описание опасности для знака № 4.1 в колонке 1 следующим образом: «Легковоспламеняющиеся твердые вещества, самореактивные вещества, полимеризирующиеся вещества и твердые десенсибилизированные взрывчатые вещества».</w:t>
      </w:r>
    </w:p>
    <w:p w:rsidR="00C701DA" w:rsidRPr="00C701DA" w:rsidRDefault="00C701DA" w:rsidP="00822436">
      <w:pPr>
        <w:pStyle w:val="SingleTxtGR"/>
        <w:tabs>
          <w:tab w:val="clear" w:pos="2268"/>
          <w:tab w:val="left" w:pos="2142"/>
        </w:tabs>
        <w:rPr>
          <w:kern w:val="20"/>
        </w:rPr>
      </w:pPr>
      <w:r w:rsidRPr="00C701DA">
        <w:rPr>
          <w:kern w:val="20"/>
        </w:rPr>
        <w:t>5.4.3</w:t>
      </w:r>
      <w:r w:rsidRPr="00C701DA">
        <w:rPr>
          <w:kern w:val="20"/>
        </w:rPr>
        <w:tab/>
      </w:r>
      <w:r w:rsidRPr="00C701DA">
        <w:t>Включить</w:t>
      </w:r>
      <w:r w:rsidRPr="00C701DA">
        <w:rPr>
          <w:kern w:val="20"/>
        </w:rPr>
        <w:t xml:space="preserve"> новый пункт следующего содержания:</w:t>
      </w:r>
    </w:p>
    <w:p w:rsidR="00C701DA" w:rsidRPr="00C701DA" w:rsidRDefault="00C701DA" w:rsidP="00822436">
      <w:pPr>
        <w:pStyle w:val="SingleTxtGR"/>
        <w:tabs>
          <w:tab w:val="clear" w:pos="2268"/>
          <w:tab w:val="left" w:pos="2142"/>
        </w:tabs>
        <w:rPr>
          <w:kern w:val="20"/>
        </w:rPr>
      </w:pPr>
      <w:r w:rsidRPr="00C701DA">
        <w:rPr>
          <w:kern w:val="20"/>
        </w:rPr>
        <w:t>«5.4.3.5</w:t>
      </w:r>
      <w:r w:rsidRPr="00C701DA">
        <w:rPr>
          <w:kern w:val="20"/>
        </w:rPr>
        <w:tab/>
        <w:t xml:space="preserve">Договаривающиеся стороны передают секретариату ЕЭК ООН официальный </w:t>
      </w:r>
      <w:r w:rsidRPr="00C701DA">
        <w:t>перевод</w:t>
      </w:r>
      <w:r w:rsidRPr="00C701DA">
        <w:rPr>
          <w:kern w:val="20"/>
        </w:rPr>
        <w:t xml:space="preserve"> письменных инструкций на своем(их) национальном(ых) языке (языках) в соответствии с настоящим разделом. Секретариат ЕЭК ООН предоставляет полученные национальные версии письменных инструкций всем Договаривающимся сторонам».</w:t>
      </w:r>
    </w:p>
    <w:p w:rsidR="00C701DA" w:rsidRPr="007F5F53" w:rsidRDefault="00C701DA" w:rsidP="000F2856">
      <w:pPr>
        <w:pStyle w:val="H23GR"/>
        <w:rPr>
          <w:kern w:val="20"/>
        </w:rPr>
      </w:pPr>
      <w:r w:rsidRPr="007F5F53">
        <w:rPr>
          <w:kern w:val="20"/>
        </w:rPr>
        <w:tab/>
      </w:r>
      <w:r w:rsidRPr="007F5F53">
        <w:rPr>
          <w:kern w:val="20"/>
        </w:rPr>
        <w:tab/>
        <w:t>Глава 7.2</w:t>
      </w:r>
    </w:p>
    <w:p w:rsidR="00C701DA" w:rsidRPr="00C701DA" w:rsidRDefault="00C701DA" w:rsidP="00822436">
      <w:pPr>
        <w:pStyle w:val="SingleTxtGR"/>
        <w:tabs>
          <w:tab w:val="clear" w:pos="2268"/>
          <w:tab w:val="left" w:pos="2142"/>
        </w:tabs>
        <w:rPr>
          <w:kern w:val="20"/>
        </w:rPr>
      </w:pPr>
      <w:r w:rsidRPr="00C701DA">
        <w:rPr>
          <w:kern w:val="20"/>
        </w:rPr>
        <w:t>7.2.3.2.1</w:t>
      </w:r>
      <w:r w:rsidRPr="00C701DA">
        <w:rPr>
          <w:kern w:val="20"/>
        </w:rPr>
        <w:tab/>
        <w:t xml:space="preserve">Во втором </w:t>
      </w:r>
      <w:r w:rsidRPr="00C701DA">
        <w:t>предложении</w:t>
      </w:r>
      <w:r w:rsidRPr="00C701DA">
        <w:rPr>
          <w:kern w:val="20"/>
        </w:rPr>
        <w:t xml:space="preserve"> искл</w:t>
      </w:r>
      <w:r w:rsidR="00BF54E0">
        <w:rPr>
          <w:kern w:val="20"/>
        </w:rPr>
        <w:t>ючить слова «должны содержаться</w:t>
      </w:r>
      <w:r w:rsidR="00BF54E0">
        <w:rPr>
          <w:kern w:val="20"/>
        </w:rPr>
        <w:br/>
      </w:r>
      <w:r w:rsidRPr="00C701DA">
        <w:rPr>
          <w:kern w:val="20"/>
        </w:rPr>
        <w:t>в чистоте и».</w:t>
      </w:r>
    </w:p>
    <w:p w:rsidR="00C701DA" w:rsidRPr="00C701DA" w:rsidRDefault="00C701DA" w:rsidP="00822436">
      <w:pPr>
        <w:pStyle w:val="SingleTxtGR"/>
        <w:tabs>
          <w:tab w:val="clear" w:pos="2268"/>
          <w:tab w:val="left" w:pos="2142"/>
        </w:tabs>
        <w:rPr>
          <w:kern w:val="20"/>
        </w:rPr>
      </w:pPr>
      <w:r w:rsidRPr="00C701DA">
        <w:rPr>
          <w:kern w:val="20"/>
        </w:rPr>
        <w:t>7.2.4.16.5</w:t>
      </w:r>
      <w:r w:rsidRPr="00C701DA">
        <w:rPr>
          <w:kern w:val="20"/>
        </w:rPr>
        <w:tab/>
        <w:t xml:space="preserve">Заменить второе предложение следующим текстом: «Перед присоединением и после отсоединения арматуры и, при необходимости, в промежутках между этими операциями резервуары должны быть опорожнены. Эти предписания не </w:t>
      </w:r>
      <w:r w:rsidRPr="00C701DA">
        <w:t>применяются</w:t>
      </w:r>
      <w:r w:rsidRPr="00C701DA">
        <w:rPr>
          <w:kern w:val="20"/>
        </w:rPr>
        <w:t xml:space="preserve"> к перевозке веществ класса 2».</w:t>
      </w:r>
    </w:p>
    <w:p w:rsidR="00C701DA" w:rsidRPr="007F5F53" w:rsidRDefault="00C701DA" w:rsidP="000F2856">
      <w:pPr>
        <w:pStyle w:val="H23GR"/>
        <w:rPr>
          <w:kern w:val="20"/>
        </w:rPr>
      </w:pPr>
      <w:r w:rsidRPr="007F5F53">
        <w:rPr>
          <w:kern w:val="20"/>
        </w:rPr>
        <w:tab/>
      </w:r>
      <w:r w:rsidRPr="007F5F53">
        <w:rPr>
          <w:kern w:val="20"/>
        </w:rPr>
        <w:tab/>
        <w:t>Глава 8.6</w:t>
      </w:r>
    </w:p>
    <w:p w:rsidR="00C701DA" w:rsidRPr="00C701DA" w:rsidRDefault="00C701DA" w:rsidP="00822436">
      <w:pPr>
        <w:pStyle w:val="SingleTxtGR"/>
        <w:tabs>
          <w:tab w:val="clear" w:pos="2268"/>
          <w:tab w:val="left" w:pos="2142"/>
        </w:tabs>
        <w:rPr>
          <w:kern w:val="20"/>
        </w:rPr>
      </w:pPr>
      <w:r w:rsidRPr="00C701DA">
        <w:rPr>
          <w:kern w:val="20"/>
        </w:rPr>
        <w:t>8.6.3, вопрос 8</w:t>
      </w:r>
      <w:r w:rsidRPr="00C701DA">
        <w:rPr>
          <w:kern w:val="20"/>
        </w:rPr>
        <w:tab/>
        <w:t>В конце изменить текст следующим образом: «…под используемой соединительной арматурой и не заполнены ли они какими-либо продуктами?».</w:t>
      </w:r>
    </w:p>
    <w:p w:rsidR="00C701DA" w:rsidRPr="00C701DA" w:rsidRDefault="00C701DA" w:rsidP="00822436">
      <w:pPr>
        <w:pStyle w:val="SingleTxtGR"/>
        <w:tabs>
          <w:tab w:val="clear" w:pos="2268"/>
          <w:tab w:val="left" w:pos="2142"/>
        </w:tabs>
        <w:rPr>
          <w:kern w:val="20"/>
        </w:rPr>
      </w:pPr>
      <w:r w:rsidRPr="00C701DA">
        <w:rPr>
          <w:kern w:val="20"/>
        </w:rPr>
        <w:t>8.6.3</w:t>
      </w:r>
      <w:r w:rsidRPr="00C701DA">
        <w:rPr>
          <w:kern w:val="20"/>
        </w:rPr>
        <w:tab/>
        <w:t>В вопросе 14, в четвертом подпункте исключить слова «, приготовления пищи или охлаждения». Исключить пятый подпункт, который гласит: «отключены ли с помощью основного запорного клапана установки, работающие на сжиженном газе, предназначенные для бытовых целей?».</w:t>
      </w:r>
    </w:p>
    <w:p w:rsidR="00C701DA" w:rsidRPr="007F5F53" w:rsidRDefault="00C701DA" w:rsidP="000F2856">
      <w:pPr>
        <w:pStyle w:val="H23GR"/>
        <w:rPr>
          <w:kern w:val="20"/>
        </w:rPr>
      </w:pPr>
      <w:r w:rsidRPr="007F5F53">
        <w:rPr>
          <w:kern w:val="20"/>
        </w:rPr>
        <w:tab/>
      </w:r>
      <w:r w:rsidRPr="007F5F53">
        <w:rPr>
          <w:kern w:val="20"/>
        </w:rPr>
        <w:tab/>
        <w:t>Глава 9.3</w:t>
      </w:r>
    </w:p>
    <w:p w:rsidR="00C701DA" w:rsidRPr="007F5F53" w:rsidRDefault="000F2856" w:rsidP="00822436">
      <w:pPr>
        <w:pStyle w:val="SingleTxtGR"/>
        <w:tabs>
          <w:tab w:val="clear" w:pos="2268"/>
          <w:tab w:val="clear" w:pos="2835"/>
          <w:tab w:val="left" w:pos="2142"/>
          <w:tab w:val="left" w:pos="2604"/>
        </w:tabs>
        <w:rPr>
          <w:kern w:val="20"/>
        </w:rPr>
      </w:pPr>
      <w:r w:rsidRPr="007F5F53">
        <w:rPr>
          <w:kern w:val="20"/>
        </w:rPr>
        <w:t>9.3.3.21.5 c)</w:t>
      </w:r>
      <w:r w:rsidR="00C701DA" w:rsidRPr="007F5F53">
        <w:rPr>
          <w:kern w:val="20"/>
        </w:rPr>
        <w:tab/>
        <w:t>Заменить «EN 12827:1996» на «EN 12827:1999».</w:t>
      </w:r>
    </w:p>
    <w:p w:rsidR="000F2856" w:rsidRPr="000F2856" w:rsidRDefault="000F2856" w:rsidP="000F285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F2856" w:rsidRPr="000F2856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60" w:rsidRDefault="00F66160" w:rsidP="00B471C5">
      <w:r>
        <w:separator/>
      </w:r>
    </w:p>
  </w:endnote>
  <w:endnote w:type="continuationSeparator" w:id="0">
    <w:p w:rsidR="00F66160" w:rsidRDefault="00F6616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6228A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5C7E88">
      <w:rPr>
        <w:lang w:val="en-US"/>
      </w:rPr>
      <w:t>14993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5C7E88">
      <w:rPr>
        <w:lang w:val="en-US"/>
      </w:rPr>
      <w:t>14993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6228A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5C7E88">
            <w:rPr>
              <w:lang w:val="en-US"/>
            </w:rPr>
            <w:t xml:space="preserve">14993 </w:t>
          </w:r>
          <w:r w:rsidRPr="001C3ABC">
            <w:rPr>
              <w:lang w:val="en-US"/>
            </w:rPr>
            <w:t xml:space="preserve"> (R)</w:t>
          </w:r>
          <w:r w:rsidR="005C7E88">
            <w:rPr>
              <w:lang w:val="en-US"/>
            </w:rPr>
            <w:t xml:space="preserve">  290916  290916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5C7E88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ADN/36/Ad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ADN/36/Ad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C7E88" w:rsidRDefault="005C7E8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C7E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C7E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C7E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C7E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C7E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C7E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5C7E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5C7E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5C7E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60" w:rsidRPr="009141DC" w:rsidRDefault="00F6616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66160" w:rsidRPr="00D1261C" w:rsidRDefault="00F6616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701DA" w:rsidRPr="005279B0" w:rsidRDefault="00C701DA" w:rsidP="00C701DA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279B0">
        <w:rPr>
          <w:lang w:val="ru-RU"/>
        </w:rPr>
        <w:tab/>
        <w:t>Распространен на немецком языке Центральной комиссией судоходства по Рейну под</w:t>
      </w:r>
      <w:r>
        <w:rPr>
          <w:lang w:val="en-US"/>
        </w:rPr>
        <w:t> </w:t>
      </w:r>
      <w:r w:rsidRPr="005279B0">
        <w:rPr>
          <w:lang w:val="ru-RU"/>
        </w:rPr>
        <w:t>условным обозначением CCNR/ZKR/ADN/</w:t>
      </w:r>
      <w:r w:rsidRPr="00993031">
        <w:rPr>
          <w:lang w:val="ru-RU"/>
        </w:rPr>
        <w:t>36</w:t>
      </w:r>
      <w:r>
        <w:rPr>
          <w:lang w:val="ru-RU"/>
        </w:rPr>
        <w:t>/</w:t>
      </w:r>
      <w:r>
        <w:t>Add</w:t>
      </w:r>
      <w:r w:rsidRPr="00C60235">
        <w:rPr>
          <w:lang w:val="ru-RU"/>
        </w:rPr>
        <w:t>.1</w:t>
      </w:r>
      <w:r w:rsidRPr="005279B0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5C7E88" w:rsidRDefault="005C7E88" w:rsidP="005C7E88">
    <w:pPr>
      <w:pStyle w:val="Header"/>
    </w:pPr>
    <w:r w:rsidRPr="005C7E88">
      <w:rPr>
        <w:lang w:val="en-US"/>
      </w:rPr>
      <w:t>ECE/ADN/36/Add.1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5C7E88" w:rsidP="007005EE">
    <w:pPr>
      <w:pStyle w:val="Header"/>
      <w:jc w:val="right"/>
      <w:rPr>
        <w:lang w:val="en-US"/>
      </w:rPr>
    </w:pPr>
    <w:r w:rsidRPr="005C7E88">
      <w:rPr>
        <w:lang w:val="en-US"/>
      </w:rPr>
      <w:t>ECE/ADN/36/Add.1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14109"/>
    <w:multiLevelType w:val="hybridMultilevel"/>
    <w:tmpl w:val="A9049804"/>
    <w:lvl w:ilvl="0" w:tplc="234C940A">
      <w:start w:val="2"/>
      <w:numFmt w:val="bullet"/>
      <w:lvlText w:val="–"/>
      <w:lvlJc w:val="left"/>
      <w:pPr>
        <w:ind w:left="19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60"/>
    <w:rsid w:val="000450D1"/>
    <w:rsid w:val="0007261A"/>
    <w:rsid w:val="000B1FD5"/>
    <w:rsid w:val="000F2856"/>
    <w:rsid w:val="000F2A4F"/>
    <w:rsid w:val="00203F84"/>
    <w:rsid w:val="0026228A"/>
    <w:rsid w:val="00275188"/>
    <w:rsid w:val="00281A7E"/>
    <w:rsid w:val="0028687D"/>
    <w:rsid w:val="002B091C"/>
    <w:rsid w:val="002B3D40"/>
    <w:rsid w:val="002C4AD9"/>
    <w:rsid w:val="002D0CCB"/>
    <w:rsid w:val="00324EF7"/>
    <w:rsid w:val="00345C79"/>
    <w:rsid w:val="00356029"/>
    <w:rsid w:val="003561B6"/>
    <w:rsid w:val="00366A39"/>
    <w:rsid w:val="0048005C"/>
    <w:rsid w:val="004D639B"/>
    <w:rsid w:val="004E242B"/>
    <w:rsid w:val="00544379"/>
    <w:rsid w:val="00566944"/>
    <w:rsid w:val="005C7E88"/>
    <w:rsid w:val="005D56BF"/>
    <w:rsid w:val="00612741"/>
    <w:rsid w:val="0061409B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84DA8"/>
    <w:rsid w:val="007A1F42"/>
    <w:rsid w:val="007D76DD"/>
    <w:rsid w:val="007F5F53"/>
    <w:rsid w:val="00822436"/>
    <w:rsid w:val="008717E8"/>
    <w:rsid w:val="008D01AE"/>
    <w:rsid w:val="008E0423"/>
    <w:rsid w:val="009141DC"/>
    <w:rsid w:val="009174A1"/>
    <w:rsid w:val="0098674D"/>
    <w:rsid w:val="00997ACA"/>
    <w:rsid w:val="00A01962"/>
    <w:rsid w:val="00A03FB7"/>
    <w:rsid w:val="00A55C56"/>
    <w:rsid w:val="00A658DB"/>
    <w:rsid w:val="00A75A11"/>
    <w:rsid w:val="00A9606E"/>
    <w:rsid w:val="00AD7EAD"/>
    <w:rsid w:val="00B06765"/>
    <w:rsid w:val="00B25812"/>
    <w:rsid w:val="00B35A32"/>
    <w:rsid w:val="00B432C6"/>
    <w:rsid w:val="00B471C5"/>
    <w:rsid w:val="00B54B48"/>
    <w:rsid w:val="00B6474A"/>
    <w:rsid w:val="00BE1742"/>
    <w:rsid w:val="00BF54E0"/>
    <w:rsid w:val="00C229D7"/>
    <w:rsid w:val="00C701DA"/>
    <w:rsid w:val="00D1261C"/>
    <w:rsid w:val="00D245A3"/>
    <w:rsid w:val="00D26030"/>
    <w:rsid w:val="00D75DCE"/>
    <w:rsid w:val="00DD35AC"/>
    <w:rsid w:val="00DD479F"/>
    <w:rsid w:val="00E15E48"/>
    <w:rsid w:val="00EB0723"/>
    <w:rsid w:val="00EB2957"/>
    <w:rsid w:val="00EE6F37"/>
    <w:rsid w:val="00EF1F32"/>
    <w:rsid w:val="00F1599F"/>
    <w:rsid w:val="00F31EF2"/>
    <w:rsid w:val="00F6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19B344-CE67-49B8-90C0-808D4633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_GR"/>
    <w:basedOn w:val="Normal"/>
    <w:link w:val="FootnoteTextChar"/>
    <w:uiPriority w:val="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_GR Char"/>
    <w:basedOn w:val="DefaultParagraphFont"/>
    <w:link w:val="FootnoteText"/>
    <w:uiPriority w:val="1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6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3F81-3DC3-4FF6-BBCA-F1FCB4B3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2321</Words>
  <Characters>13230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Caillot</cp:lastModifiedBy>
  <cp:revision>2</cp:revision>
  <cp:lastPrinted>2016-09-29T09:06:00Z</cp:lastPrinted>
  <dcterms:created xsi:type="dcterms:W3CDTF">2016-10-10T16:28:00Z</dcterms:created>
  <dcterms:modified xsi:type="dcterms:W3CDTF">2016-10-10T16:28:00Z</dcterms:modified>
</cp:coreProperties>
</file>