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C71EEC">
            <w:pPr>
              <w:jc w:val="right"/>
            </w:pPr>
            <w:r>
              <w:rPr>
                <w:b/>
                <w:sz w:val="40"/>
                <w:szCs w:val="40"/>
              </w:rPr>
              <w:t>UN/SCETDG/50</w:t>
            </w:r>
            <w:r w:rsidR="007E5F23" w:rsidRPr="00DB1A7F">
              <w:rPr>
                <w:b/>
                <w:sz w:val="40"/>
                <w:szCs w:val="40"/>
              </w:rPr>
              <w:t>/</w:t>
            </w:r>
            <w:r w:rsidR="007E5F23" w:rsidRPr="00951EBC">
              <w:rPr>
                <w:b/>
                <w:sz w:val="40"/>
                <w:szCs w:val="40"/>
              </w:rPr>
              <w:t>INF.</w:t>
            </w:r>
            <w:r w:rsidR="00845037">
              <w:rPr>
                <w:b/>
                <w:sz w:val="40"/>
                <w:szCs w:val="40"/>
              </w:rPr>
              <w:t>2</w:t>
            </w:r>
            <w:r w:rsidR="00C71EEC">
              <w:rPr>
                <w:b/>
                <w:sz w:val="40"/>
                <w:szCs w:val="40"/>
              </w:rPr>
              <w:t>4</w:t>
            </w:r>
          </w:p>
        </w:tc>
      </w:tr>
      <w:tr w:rsidR="007E5F23" w:rsidRPr="006500BA" w:rsidTr="00FB232E">
        <w:trPr>
          <w:trHeight w:val="851"/>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845037" w:rsidRPr="00845037">
              <w:rPr>
                <w:b/>
              </w:rPr>
              <w:t>14 November</w:t>
            </w:r>
            <w:r w:rsidRPr="00845037">
              <w:rPr>
                <w:b/>
              </w:rPr>
              <w:t xml:space="preserve"> 2016</w:t>
            </w:r>
          </w:p>
          <w:p w:rsidR="007E5F23" w:rsidRPr="00951EBC" w:rsidRDefault="007E5F23" w:rsidP="00FB232E">
            <w:pPr>
              <w:spacing w:before="120"/>
              <w:rPr>
                <w:b/>
              </w:rPr>
            </w:pPr>
            <w:r w:rsidRPr="00951EBC">
              <w:rPr>
                <w:b/>
              </w:rPr>
              <w:t>F</w:t>
            </w:r>
            <w:r w:rsidR="001E11AD">
              <w:rPr>
                <w:b/>
              </w:rPr>
              <w:t>iftieth</w:t>
            </w:r>
            <w:r w:rsidRPr="00951EBC">
              <w:rPr>
                <w:b/>
              </w:rPr>
              <w:t xml:space="preserve"> session</w:t>
            </w:r>
          </w:p>
          <w:p w:rsidR="007E5F23" w:rsidRDefault="007E5F23" w:rsidP="00FB232E">
            <w:r w:rsidRPr="00951EBC">
              <w:t xml:space="preserve">Geneva, </w:t>
            </w:r>
            <w:r w:rsidR="001E11AD">
              <w:t>28 November</w:t>
            </w:r>
            <w:r w:rsidR="005C7D7F">
              <w:t>-</w:t>
            </w:r>
            <w:r>
              <w:t xml:space="preserve">6 </w:t>
            </w:r>
            <w:r w:rsidR="001E11AD">
              <w:t>December</w:t>
            </w:r>
            <w:r>
              <w:t xml:space="preserve"> 2016</w:t>
            </w:r>
          </w:p>
          <w:p w:rsidR="007E5F23" w:rsidRPr="00951EBC" w:rsidRDefault="007E5F23" w:rsidP="00FB232E">
            <w:r>
              <w:t>I</w:t>
            </w:r>
            <w:r w:rsidRPr="00951EBC">
              <w:t xml:space="preserve">tem </w:t>
            </w:r>
            <w:r w:rsidR="00F67FD4">
              <w:t>2 (c</w:t>
            </w:r>
            <w:r w:rsidR="005C7D7F">
              <w:t>)</w:t>
            </w:r>
            <w:r w:rsidRPr="00951EBC">
              <w:t xml:space="preserve"> of the provisional agenda</w:t>
            </w:r>
          </w:p>
          <w:p w:rsidR="007E5F23" w:rsidRPr="005C7D7F" w:rsidRDefault="005C7D7F" w:rsidP="001E11AD">
            <w:pPr>
              <w:spacing w:after="240"/>
              <w:rPr>
                <w:b/>
                <w:sz w:val="40"/>
                <w:szCs w:val="40"/>
              </w:rPr>
            </w:pPr>
            <w:r w:rsidRPr="005C7D7F">
              <w:rPr>
                <w:b/>
              </w:rPr>
              <w:t xml:space="preserve">Recommendations made by the Sub-Committee on </w:t>
            </w:r>
            <w:r w:rsidRPr="005C7D7F">
              <w:rPr>
                <w:b/>
              </w:rPr>
              <w:br/>
              <w:t xml:space="preserve">its forty-seventh, forty-eighth and </w:t>
            </w:r>
            <w:r w:rsidRPr="005C7D7F">
              <w:rPr>
                <w:b/>
              </w:rPr>
              <w:br/>
              <w:t>forty-ninth sessions and pending issues:</w:t>
            </w:r>
            <w:r w:rsidRPr="005C7D7F">
              <w:rPr>
                <w:b/>
              </w:rPr>
              <w:br/>
            </w:r>
            <w:r w:rsidR="00F67FD4" w:rsidRPr="00F67FD4">
              <w:rPr>
                <w:b/>
              </w:rPr>
              <w:t>l</w:t>
            </w:r>
            <w:r w:rsidR="00F67FD4" w:rsidRPr="00F67FD4">
              <w:rPr>
                <w:b/>
              </w:rPr>
              <w:t>isting, classification and packing</w:t>
            </w:r>
          </w:p>
        </w:tc>
      </w:tr>
    </w:tbl>
    <w:p w:rsidR="00C71EEC" w:rsidRPr="009F32F5" w:rsidRDefault="00C71EEC" w:rsidP="00C71EEC">
      <w:pPr>
        <w:pStyle w:val="HChG"/>
        <w:jc w:val="both"/>
      </w:pPr>
      <w:r w:rsidRPr="00A72281">
        <w:rPr>
          <w:rFonts w:eastAsia="MS Mincho"/>
          <w:b w:val="0"/>
          <w:lang w:eastAsia="ja-JP"/>
        </w:rPr>
        <w:tab/>
      </w:r>
      <w:r w:rsidRPr="00A72281">
        <w:rPr>
          <w:rFonts w:eastAsia="MS Mincho"/>
          <w:b w:val="0"/>
          <w:lang w:eastAsia="ja-JP"/>
        </w:rPr>
        <w:tab/>
      </w:r>
      <w:bookmarkStart w:id="0" w:name="_GoBack"/>
      <w:r w:rsidRPr="009F32F5">
        <w:rPr>
          <w:rFonts w:eastAsia="MS Mincho"/>
          <w:lang w:eastAsia="ja-JP"/>
        </w:rPr>
        <w:t>Addendum to ST/SG/AC.10/C.3/2016/82:</w:t>
      </w:r>
      <w:r>
        <w:rPr>
          <w:rFonts w:eastAsia="MS Mincho"/>
          <w:b w:val="0"/>
          <w:lang w:eastAsia="ja-JP"/>
        </w:rPr>
        <w:t xml:space="preserve"> </w:t>
      </w:r>
      <w:r w:rsidRPr="009F32F5">
        <w:rPr>
          <w:rFonts w:eastAsia="MS Mincho"/>
        </w:rPr>
        <w:t>Special Provision 308 for Fish Meal (Fish Scrap), Stabilised (UN 2216): Class 9</w:t>
      </w:r>
      <w:bookmarkEnd w:id="0"/>
    </w:p>
    <w:p w:rsidR="00C71EEC" w:rsidRPr="00A72281" w:rsidRDefault="00C71EEC" w:rsidP="00C71EEC">
      <w:pPr>
        <w:pStyle w:val="H1G"/>
      </w:pPr>
      <w:r w:rsidRPr="00A72281">
        <w:rPr>
          <w:rFonts w:eastAsia="MS Mincho"/>
        </w:rPr>
        <w:tab/>
      </w:r>
      <w:r w:rsidRPr="00A72281">
        <w:rPr>
          <w:rFonts w:eastAsia="MS Mincho"/>
        </w:rPr>
        <w:tab/>
        <w:t xml:space="preserve">Transmitted by </w:t>
      </w:r>
      <w:r>
        <w:rPr>
          <w:rFonts w:eastAsia="MS Mincho"/>
        </w:rPr>
        <w:t>IFFO</w:t>
      </w:r>
    </w:p>
    <w:p w:rsidR="00C71EEC" w:rsidRPr="00A72281" w:rsidRDefault="00C71EEC" w:rsidP="00C71EEC">
      <w:pPr>
        <w:pStyle w:val="HChG"/>
        <w:rPr>
          <w:lang w:val="en-US"/>
        </w:rPr>
      </w:pPr>
      <w:r w:rsidRPr="00A72281">
        <w:tab/>
      </w:r>
      <w:r w:rsidRPr="00A72281">
        <w:tab/>
      </w:r>
      <w:r>
        <w:rPr>
          <w:lang w:val="en-US"/>
        </w:rPr>
        <w:t>Additional results</w:t>
      </w:r>
    </w:p>
    <w:p w:rsidR="00C71EEC" w:rsidRDefault="00C71EEC" w:rsidP="00C71EEC">
      <w:pPr>
        <w:pStyle w:val="SingleTxtG"/>
      </w:pPr>
      <w:r>
        <w:t>1.</w:t>
      </w:r>
      <w:r>
        <w:tab/>
        <w:t xml:space="preserve">IFFO submitted a report to the Sub-Committee of Experts on the Transport of </w:t>
      </w:r>
      <w:proofErr w:type="gramStart"/>
      <w:r>
        <w:t xml:space="preserve">Dangerous Goods </w:t>
      </w:r>
      <w:r w:rsidRPr="00D26059">
        <w:t>in September</w:t>
      </w:r>
      <w:r>
        <w:t xml:space="preserve"> 2016 on </w:t>
      </w:r>
      <w:r w:rsidRPr="00D26059">
        <w:t xml:space="preserve">the </w:t>
      </w:r>
      <w:r>
        <w:t>1</w:t>
      </w:r>
      <w:r w:rsidRPr="00D26059">
        <w:t>2</w:t>
      </w:r>
      <w:r>
        <w:t>-</w:t>
      </w:r>
      <w:r w:rsidRPr="00D26059">
        <w:t>month results of the fishmeal stability trial</w:t>
      </w:r>
      <w:r>
        <w:t>.</w:t>
      </w:r>
      <w:proofErr w:type="gramEnd"/>
      <w:r>
        <w:t xml:space="preserve"> Unfortunately, the report was only partially complete as the results of the relevant and important self-heating test on all the samples were not available at that time. We have now received those results and would like to submit them to the sub-committee for review and to take into account as additional background to a request for a decision regarding the proposed changes to </w:t>
      </w:r>
      <w:r w:rsidRPr="00A07E05">
        <w:t>Special Provision 308 for Fish Meal (Fish Scrap), Stabilised (UN 2216): Class 9</w:t>
      </w:r>
      <w:r>
        <w:t xml:space="preserve">. </w:t>
      </w:r>
    </w:p>
    <w:p w:rsidR="00C71EEC" w:rsidRDefault="00C71EEC" w:rsidP="00C71EEC">
      <w:pPr>
        <w:pStyle w:val="SingleTxtG"/>
      </w:pPr>
      <w:r>
        <w:t>2.</w:t>
      </w:r>
      <w:r>
        <w:tab/>
        <w:t>The table, updated with the additional self-heating results, can be seen below (Table 2.).</w:t>
      </w:r>
    </w:p>
    <w:p w:rsidR="00C71EEC" w:rsidRDefault="00C71EEC">
      <w:pPr>
        <w:suppressAutoHyphens w:val="0"/>
        <w:spacing w:line="240" w:lineRule="auto"/>
        <w:rPr>
          <w:b/>
        </w:rPr>
      </w:pPr>
      <w:r>
        <w:rPr>
          <w:b/>
        </w:rPr>
        <w:br w:type="page"/>
      </w:r>
    </w:p>
    <w:p w:rsidR="00C71EEC" w:rsidRPr="00C71EEC" w:rsidRDefault="00C71EEC" w:rsidP="00C71EEC">
      <w:pPr>
        <w:spacing w:after="240"/>
        <w:ind w:left="720" w:right="1134"/>
        <w:jc w:val="center"/>
        <w:rPr>
          <w:b/>
        </w:rPr>
      </w:pPr>
      <w:r w:rsidRPr="00C71EEC">
        <w:rPr>
          <w:b/>
        </w:rPr>
        <w:lastRenderedPageBreak/>
        <w:t xml:space="preserve">Table 2: Results of the treatments at Day 0, 6 </w:t>
      </w:r>
      <w:r>
        <w:rPr>
          <w:b/>
        </w:rPr>
        <w:t>months and 12 months storage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992"/>
        <w:gridCol w:w="1134"/>
        <w:gridCol w:w="851"/>
        <w:gridCol w:w="860"/>
        <w:gridCol w:w="1134"/>
        <w:gridCol w:w="992"/>
        <w:gridCol w:w="1090"/>
      </w:tblGrid>
      <w:tr w:rsidR="00C71EEC" w:rsidRPr="00C1589C" w:rsidTr="00340AA4">
        <w:trPr>
          <w:jc w:val="center"/>
        </w:trPr>
        <w:tc>
          <w:tcPr>
            <w:tcW w:w="2395" w:type="dxa"/>
            <w:gridSpan w:val="2"/>
            <w:vMerge w:val="restart"/>
            <w:tcBorders>
              <w:left w:val="single" w:sz="12" w:space="0" w:color="auto"/>
            </w:tcBorders>
            <w:shd w:val="clear" w:color="auto" w:fill="F2F2F2"/>
            <w:vAlign w:val="center"/>
          </w:tcPr>
          <w:p w:rsidR="00C71EEC" w:rsidRPr="00C1589C" w:rsidRDefault="00C71EEC" w:rsidP="00340AA4">
            <w:pPr>
              <w:spacing w:line="240" w:lineRule="auto"/>
              <w:rPr>
                <w:rFonts w:eastAsia="Calibri"/>
                <w:b/>
              </w:rPr>
            </w:pPr>
            <w:r w:rsidRPr="00C1589C">
              <w:rPr>
                <w:rFonts w:eastAsia="Calibri"/>
                <w:b/>
              </w:rPr>
              <w:t>Treatments</w:t>
            </w:r>
          </w:p>
        </w:tc>
        <w:tc>
          <w:tcPr>
            <w:tcW w:w="6061" w:type="dxa"/>
            <w:gridSpan w:val="6"/>
            <w:tcBorders>
              <w:bottom w:val="single" w:sz="4" w:space="0" w:color="auto"/>
              <w:right w:val="single" w:sz="12" w:space="0" w:color="auto"/>
            </w:tcBorders>
            <w:shd w:val="clear" w:color="auto" w:fill="D9D9D9" w:themeFill="background1" w:themeFillShade="D9"/>
            <w:tcMar>
              <w:left w:w="28" w:type="dxa"/>
              <w:right w:w="28" w:type="dxa"/>
            </w:tcMar>
          </w:tcPr>
          <w:p w:rsidR="00C71EEC" w:rsidRPr="00C1589C" w:rsidRDefault="00C71EEC" w:rsidP="00340AA4">
            <w:pPr>
              <w:spacing w:line="240" w:lineRule="auto"/>
              <w:jc w:val="center"/>
              <w:rPr>
                <w:rFonts w:eastAsia="Calibri"/>
                <w:b/>
              </w:rPr>
            </w:pPr>
            <w:r w:rsidRPr="00C1589C">
              <w:rPr>
                <w:rFonts w:eastAsia="Calibri"/>
                <w:b/>
              </w:rPr>
              <w:t xml:space="preserve">Sampling intervals </w:t>
            </w:r>
          </w:p>
        </w:tc>
      </w:tr>
      <w:tr w:rsidR="00C71EEC" w:rsidRPr="00C1589C" w:rsidTr="00340AA4">
        <w:trPr>
          <w:jc w:val="center"/>
        </w:trPr>
        <w:tc>
          <w:tcPr>
            <w:tcW w:w="2395" w:type="dxa"/>
            <w:gridSpan w:val="2"/>
            <w:vMerge/>
            <w:tcBorders>
              <w:left w:val="single" w:sz="12" w:space="0" w:color="auto"/>
              <w:right w:val="single" w:sz="12" w:space="0" w:color="auto"/>
            </w:tcBorders>
            <w:shd w:val="clear" w:color="auto" w:fill="auto"/>
            <w:vAlign w:val="center"/>
          </w:tcPr>
          <w:p w:rsidR="00C71EEC" w:rsidRPr="00C1589C" w:rsidRDefault="00C71EEC" w:rsidP="00340AA4">
            <w:pPr>
              <w:spacing w:line="240" w:lineRule="auto"/>
              <w:rPr>
                <w:rFonts w:eastAsia="Calibri"/>
                <w:b/>
              </w:rPr>
            </w:pPr>
          </w:p>
        </w:tc>
        <w:tc>
          <w:tcPr>
            <w:tcW w:w="1134" w:type="dxa"/>
            <w:tcBorders>
              <w:left w:val="single" w:sz="12" w:space="0" w:color="auto"/>
              <w:right w:val="single" w:sz="12" w:space="0" w:color="auto"/>
            </w:tcBorders>
            <w:shd w:val="clear" w:color="auto" w:fill="D9D9D9" w:themeFill="background1" w:themeFillShade="D9"/>
            <w:tcMar>
              <w:left w:w="28" w:type="dxa"/>
              <w:right w:w="28" w:type="dxa"/>
            </w:tcMar>
          </w:tcPr>
          <w:p w:rsidR="00C71EEC" w:rsidRPr="00C1589C" w:rsidRDefault="00C71EEC" w:rsidP="00340AA4">
            <w:pPr>
              <w:spacing w:line="240" w:lineRule="auto"/>
              <w:jc w:val="center"/>
              <w:rPr>
                <w:rFonts w:eastAsia="Calibri"/>
                <w:b/>
              </w:rPr>
            </w:pPr>
            <w:r w:rsidRPr="00C1589C">
              <w:rPr>
                <w:rFonts w:eastAsia="Calibri"/>
                <w:b/>
              </w:rPr>
              <w:t>Day</w:t>
            </w:r>
            <w:r>
              <w:rPr>
                <w:rFonts w:eastAsia="Calibri"/>
                <w:b/>
              </w:rPr>
              <w:t xml:space="preserve"> 0</w:t>
            </w:r>
          </w:p>
        </w:tc>
        <w:tc>
          <w:tcPr>
            <w:tcW w:w="2845" w:type="dxa"/>
            <w:gridSpan w:val="3"/>
            <w:tcBorders>
              <w:left w:val="single" w:sz="12" w:space="0" w:color="auto"/>
              <w:right w:val="single" w:sz="12" w:space="0" w:color="auto"/>
            </w:tcBorders>
            <w:shd w:val="clear" w:color="auto" w:fill="D9D9D9" w:themeFill="background1" w:themeFillShade="D9"/>
            <w:vAlign w:val="center"/>
          </w:tcPr>
          <w:p w:rsidR="00C71EEC" w:rsidRPr="00C1589C" w:rsidRDefault="00C71EEC" w:rsidP="00340AA4">
            <w:pPr>
              <w:spacing w:line="240" w:lineRule="auto"/>
              <w:jc w:val="center"/>
              <w:rPr>
                <w:rFonts w:eastAsia="Calibri"/>
                <w:b/>
              </w:rPr>
            </w:pPr>
            <w:r>
              <w:rPr>
                <w:rFonts w:eastAsia="Calibri"/>
                <w:b/>
              </w:rPr>
              <w:t>6 months</w:t>
            </w:r>
          </w:p>
        </w:tc>
        <w:tc>
          <w:tcPr>
            <w:tcW w:w="2082" w:type="dxa"/>
            <w:gridSpan w:val="2"/>
            <w:tcBorders>
              <w:left w:val="single" w:sz="12" w:space="0" w:color="auto"/>
              <w:right w:val="single" w:sz="12" w:space="0" w:color="auto"/>
            </w:tcBorders>
            <w:shd w:val="clear" w:color="auto" w:fill="D9D9D9" w:themeFill="background1" w:themeFillShade="D9"/>
          </w:tcPr>
          <w:p w:rsidR="00C71EEC" w:rsidRDefault="00C71EEC" w:rsidP="00340AA4">
            <w:pPr>
              <w:spacing w:line="240" w:lineRule="auto"/>
              <w:jc w:val="center"/>
              <w:rPr>
                <w:rFonts w:eastAsia="Calibri"/>
                <w:b/>
              </w:rPr>
            </w:pPr>
            <w:r>
              <w:rPr>
                <w:rFonts w:eastAsia="Calibri"/>
                <w:b/>
              </w:rPr>
              <w:t>12 months</w:t>
            </w:r>
          </w:p>
        </w:tc>
      </w:tr>
      <w:tr w:rsidR="00C71EEC" w:rsidRPr="00C1589C" w:rsidTr="00340AA4">
        <w:trPr>
          <w:jc w:val="center"/>
        </w:trPr>
        <w:tc>
          <w:tcPr>
            <w:tcW w:w="2395" w:type="dxa"/>
            <w:gridSpan w:val="2"/>
            <w:vMerge/>
            <w:tcBorders>
              <w:left w:val="single" w:sz="12" w:space="0" w:color="auto"/>
              <w:right w:val="single" w:sz="12" w:space="0" w:color="auto"/>
            </w:tcBorders>
            <w:shd w:val="clear" w:color="auto" w:fill="auto"/>
            <w:vAlign w:val="center"/>
          </w:tcPr>
          <w:p w:rsidR="00C71EEC" w:rsidRPr="00C1589C" w:rsidRDefault="00C71EEC" w:rsidP="00340AA4">
            <w:pPr>
              <w:spacing w:line="240" w:lineRule="auto"/>
              <w:rPr>
                <w:rFonts w:eastAsia="Calibri"/>
                <w:b/>
              </w:rPr>
            </w:pPr>
          </w:p>
        </w:tc>
        <w:tc>
          <w:tcPr>
            <w:tcW w:w="1134" w:type="dxa"/>
            <w:tcBorders>
              <w:left w:val="single" w:sz="12" w:space="0" w:color="auto"/>
              <w:right w:val="single" w:sz="12" w:space="0" w:color="auto"/>
            </w:tcBorders>
            <w:shd w:val="clear" w:color="auto" w:fill="F2F2F2"/>
            <w:tcMar>
              <w:left w:w="28" w:type="dxa"/>
              <w:right w:w="28" w:type="dxa"/>
            </w:tcMar>
            <w:vAlign w:val="center"/>
          </w:tcPr>
          <w:p w:rsidR="00C71EEC" w:rsidRDefault="00C71EEC" w:rsidP="00340AA4">
            <w:pPr>
              <w:spacing w:line="240" w:lineRule="auto"/>
              <w:jc w:val="center"/>
              <w:rPr>
                <w:rFonts w:eastAsia="Calibri"/>
                <w:b/>
              </w:rPr>
            </w:pPr>
            <w:r w:rsidRPr="00315F75">
              <w:rPr>
                <w:rFonts w:eastAsia="Calibri"/>
                <w:b/>
              </w:rPr>
              <w:t xml:space="preserve">Antioxidant level </w:t>
            </w:r>
          </w:p>
          <w:p w:rsidR="00C71EEC" w:rsidRPr="00C1589C" w:rsidRDefault="00C71EEC" w:rsidP="00340AA4">
            <w:pPr>
              <w:spacing w:line="240" w:lineRule="auto"/>
              <w:jc w:val="center"/>
              <w:rPr>
                <w:rFonts w:eastAsia="Calibri"/>
                <w:b/>
              </w:rPr>
            </w:pPr>
            <w:r>
              <w:rPr>
                <w:rFonts w:eastAsia="Calibri"/>
                <w:b/>
              </w:rPr>
              <w:t>(</w:t>
            </w:r>
            <w:r w:rsidRPr="00315F75">
              <w:rPr>
                <w:rFonts w:eastAsia="Calibri"/>
              </w:rPr>
              <w:t>ppm</w:t>
            </w:r>
            <w:r>
              <w:rPr>
                <w:rFonts w:eastAsia="Calibri"/>
              </w:rPr>
              <w:t>)</w:t>
            </w:r>
          </w:p>
        </w:tc>
        <w:tc>
          <w:tcPr>
            <w:tcW w:w="851" w:type="dxa"/>
            <w:tcBorders>
              <w:left w:val="single" w:sz="12" w:space="0" w:color="auto"/>
            </w:tcBorders>
            <w:shd w:val="clear" w:color="auto" w:fill="F2F2F2"/>
            <w:tcMar>
              <w:left w:w="28" w:type="dxa"/>
              <w:right w:w="28" w:type="dxa"/>
            </w:tcMar>
            <w:vAlign w:val="center"/>
          </w:tcPr>
          <w:p w:rsidR="00C71EEC" w:rsidRDefault="00C71EEC" w:rsidP="00340AA4">
            <w:pPr>
              <w:spacing w:line="240" w:lineRule="auto"/>
              <w:jc w:val="center"/>
              <w:rPr>
                <w:rFonts w:eastAsia="Calibri"/>
                <w:b/>
              </w:rPr>
            </w:pPr>
            <w:r w:rsidRPr="00315F75">
              <w:rPr>
                <w:rFonts w:eastAsia="Calibri"/>
                <w:b/>
              </w:rPr>
              <w:t xml:space="preserve">Antioxidant level </w:t>
            </w:r>
          </w:p>
          <w:p w:rsidR="00C71EEC" w:rsidRPr="00C1589C" w:rsidRDefault="00C71EEC" w:rsidP="00340AA4">
            <w:pPr>
              <w:spacing w:line="240" w:lineRule="auto"/>
              <w:jc w:val="center"/>
              <w:rPr>
                <w:rFonts w:eastAsia="Calibri"/>
                <w:b/>
              </w:rPr>
            </w:pPr>
            <w:r>
              <w:rPr>
                <w:rFonts w:eastAsia="Calibri"/>
                <w:b/>
              </w:rPr>
              <w:t>(</w:t>
            </w:r>
            <w:r w:rsidRPr="00315F75">
              <w:rPr>
                <w:rFonts w:eastAsia="Calibri"/>
              </w:rPr>
              <w:t>ppm</w:t>
            </w:r>
            <w:r>
              <w:rPr>
                <w:rFonts w:eastAsia="Calibri"/>
              </w:rPr>
              <w:t>)</w:t>
            </w:r>
          </w:p>
        </w:tc>
        <w:tc>
          <w:tcPr>
            <w:tcW w:w="860" w:type="dxa"/>
            <w:shd w:val="clear" w:color="auto" w:fill="F2F2F2"/>
            <w:vAlign w:val="center"/>
          </w:tcPr>
          <w:p w:rsidR="00C71EEC" w:rsidRDefault="00C71EEC" w:rsidP="00340AA4">
            <w:pPr>
              <w:spacing w:line="240" w:lineRule="auto"/>
              <w:jc w:val="center"/>
              <w:rPr>
                <w:rFonts w:eastAsia="Calibri"/>
                <w:b/>
              </w:rPr>
            </w:pPr>
            <w:proofErr w:type="spellStart"/>
            <w:r w:rsidRPr="001E29FD">
              <w:rPr>
                <w:rFonts w:eastAsia="Calibri"/>
                <w:b/>
              </w:rPr>
              <w:t>Self heating</w:t>
            </w:r>
            <w:proofErr w:type="spellEnd"/>
            <w:r w:rsidRPr="001E29FD">
              <w:rPr>
                <w:rFonts w:eastAsia="Calibri"/>
                <w:b/>
              </w:rPr>
              <w:t xml:space="preserve"> test</w:t>
            </w:r>
          </w:p>
          <w:p w:rsidR="00C71EEC" w:rsidRDefault="00C71EEC" w:rsidP="00340AA4">
            <w:pPr>
              <w:spacing w:line="240" w:lineRule="auto"/>
              <w:jc w:val="center"/>
              <w:rPr>
                <w:rFonts w:eastAsia="Calibri"/>
                <w:b/>
              </w:rPr>
            </w:pPr>
            <w:r>
              <w:rPr>
                <w:rFonts w:eastAsia="Calibri"/>
                <w:b/>
              </w:rPr>
              <w:t>(Pass/</w:t>
            </w:r>
          </w:p>
          <w:p w:rsidR="00C71EEC" w:rsidRPr="001E29FD" w:rsidRDefault="00C71EEC" w:rsidP="00340AA4">
            <w:pPr>
              <w:spacing w:line="240" w:lineRule="auto"/>
              <w:jc w:val="center"/>
              <w:rPr>
                <w:rFonts w:eastAsia="Calibri"/>
                <w:b/>
              </w:rPr>
            </w:pPr>
            <w:r>
              <w:rPr>
                <w:rFonts w:eastAsia="Calibri"/>
                <w:b/>
              </w:rPr>
              <w:t>fail)</w:t>
            </w:r>
          </w:p>
        </w:tc>
        <w:tc>
          <w:tcPr>
            <w:tcW w:w="1134" w:type="dxa"/>
            <w:tcBorders>
              <w:right w:val="single" w:sz="12" w:space="0" w:color="auto"/>
            </w:tcBorders>
            <w:shd w:val="clear" w:color="auto" w:fill="F2F2F2"/>
            <w:vAlign w:val="center"/>
          </w:tcPr>
          <w:p w:rsidR="00C71EEC" w:rsidRPr="001E29FD" w:rsidRDefault="00C71EEC" w:rsidP="00340AA4">
            <w:pPr>
              <w:spacing w:line="240" w:lineRule="auto"/>
              <w:jc w:val="center"/>
              <w:rPr>
                <w:rFonts w:eastAsia="Calibri"/>
                <w:b/>
              </w:rPr>
            </w:pPr>
            <w:r w:rsidRPr="001E29FD">
              <w:rPr>
                <w:rFonts w:eastAsia="Calibri"/>
                <w:b/>
              </w:rPr>
              <w:t xml:space="preserve">Oxygen Bomb </w:t>
            </w:r>
            <w:r>
              <w:rPr>
                <w:rFonts w:eastAsia="Calibri"/>
                <w:b/>
              </w:rPr>
              <w:t xml:space="preserve">induction period </w:t>
            </w:r>
            <w:r w:rsidRPr="00AE651B">
              <w:rPr>
                <w:rFonts w:eastAsia="Calibri"/>
              </w:rPr>
              <w:t>(</w:t>
            </w:r>
            <w:proofErr w:type="spellStart"/>
            <w:r w:rsidRPr="00AE651B">
              <w:rPr>
                <w:rFonts w:eastAsia="Calibri"/>
              </w:rPr>
              <w:t>hrs</w:t>
            </w:r>
            <w:proofErr w:type="spellEnd"/>
            <w:r w:rsidRPr="00AE651B">
              <w:rPr>
                <w:rFonts w:eastAsia="Calibri"/>
              </w:rPr>
              <w:t>)</w:t>
            </w:r>
          </w:p>
        </w:tc>
        <w:tc>
          <w:tcPr>
            <w:tcW w:w="992" w:type="dxa"/>
            <w:tcBorders>
              <w:left w:val="single" w:sz="12" w:space="0" w:color="auto"/>
            </w:tcBorders>
            <w:shd w:val="clear" w:color="auto" w:fill="F2F2F2"/>
            <w:vAlign w:val="center"/>
          </w:tcPr>
          <w:p w:rsidR="00C71EEC" w:rsidRPr="0028329F" w:rsidRDefault="00C71EEC" w:rsidP="00340AA4">
            <w:pPr>
              <w:spacing w:line="240" w:lineRule="auto"/>
              <w:jc w:val="center"/>
              <w:rPr>
                <w:rFonts w:eastAsia="Calibri"/>
                <w:b/>
              </w:rPr>
            </w:pPr>
            <w:r w:rsidRPr="0028329F">
              <w:rPr>
                <w:rFonts w:eastAsia="Calibri"/>
                <w:b/>
              </w:rPr>
              <w:t xml:space="preserve">Antioxidant level </w:t>
            </w:r>
          </w:p>
          <w:p w:rsidR="00C71EEC" w:rsidRPr="001E29FD" w:rsidRDefault="00C71EEC" w:rsidP="00340AA4">
            <w:pPr>
              <w:spacing w:line="240" w:lineRule="auto"/>
              <w:jc w:val="center"/>
              <w:rPr>
                <w:rFonts w:eastAsia="Calibri"/>
                <w:b/>
              </w:rPr>
            </w:pPr>
            <w:r w:rsidRPr="0028329F">
              <w:rPr>
                <w:rFonts w:eastAsia="Calibri"/>
                <w:b/>
              </w:rPr>
              <w:t>(ppm)</w:t>
            </w:r>
          </w:p>
        </w:tc>
        <w:tc>
          <w:tcPr>
            <w:tcW w:w="1090" w:type="dxa"/>
            <w:tcBorders>
              <w:right w:val="single" w:sz="12" w:space="0" w:color="auto"/>
            </w:tcBorders>
            <w:shd w:val="clear" w:color="auto" w:fill="F2F2F2"/>
            <w:vAlign w:val="center"/>
          </w:tcPr>
          <w:p w:rsidR="00C71EEC" w:rsidRPr="0028329F" w:rsidRDefault="00C71EEC" w:rsidP="00340AA4">
            <w:pPr>
              <w:spacing w:line="240" w:lineRule="auto"/>
              <w:jc w:val="center"/>
              <w:rPr>
                <w:rFonts w:eastAsia="Calibri"/>
                <w:b/>
              </w:rPr>
            </w:pPr>
            <w:proofErr w:type="spellStart"/>
            <w:r w:rsidRPr="008D61D5">
              <w:rPr>
                <w:rFonts w:eastAsia="Calibri"/>
                <w:b/>
              </w:rPr>
              <w:t>Self heating</w:t>
            </w:r>
            <w:proofErr w:type="spellEnd"/>
            <w:r w:rsidRPr="008D61D5">
              <w:rPr>
                <w:rFonts w:eastAsia="Calibri"/>
                <w:b/>
              </w:rPr>
              <w:t xml:space="preserve"> test</w:t>
            </w:r>
            <w:r>
              <w:rPr>
                <w:rFonts w:eastAsia="Calibri"/>
                <w:b/>
              </w:rPr>
              <w:t xml:space="preserve"> (Pass/fail)</w:t>
            </w:r>
          </w:p>
        </w:tc>
      </w:tr>
      <w:tr w:rsidR="00C71EEC" w:rsidRPr="00C1589C" w:rsidTr="00340AA4">
        <w:trPr>
          <w:jc w:val="center"/>
        </w:trPr>
        <w:tc>
          <w:tcPr>
            <w:tcW w:w="1403" w:type="dxa"/>
            <w:vMerge w:val="restart"/>
            <w:tcBorders>
              <w:left w:val="single" w:sz="12" w:space="0" w:color="auto"/>
            </w:tcBorders>
            <w:shd w:val="clear" w:color="auto" w:fill="auto"/>
            <w:tcMar>
              <w:right w:w="28" w:type="dxa"/>
            </w:tcMar>
            <w:vAlign w:val="center"/>
          </w:tcPr>
          <w:p w:rsidR="00C71EEC" w:rsidRPr="00315F75" w:rsidRDefault="00C71EEC" w:rsidP="00340AA4">
            <w:pPr>
              <w:spacing w:line="240" w:lineRule="auto"/>
              <w:rPr>
                <w:rFonts w:eastAsia="Calibri"/>
                <w:color w:val="000000"/>
              </w:rPr>
            </w:pPr>
            <w:r w:rsidRPr="00C1589C">
              <w:rPr>
                <w:rFonts w:eastAsia="Calibri"/>
                <w:color w:val="000000"/>
              </w:rPr>
              <w:t xml:space="preserve">EQ: </w:t>
            </w:r>
            <w:r>
              <w:rPr>
                <w:rFonts w:eastAsia="Calibri"/>
                <w:color w:val="000000"/>
              </w:rPr>
              <w:t>3</w:t>
            </w:r>
            <w:r w:rsidRPr="00C1589C">
              <w:rPr>
                <w:rFonts w:eastAsia="Calibri"/>
                <w:color w:val="000000"/>
              </w:rPr>
              <w:t xml:space="preserve">00 ppm </w:t>
            </w:r>
          </w:p>
        </w:tc>
        <w:tc>
          <w:tcPr>
            <w:tcW w:w="992" w:type="dxa"/>
            <w:tcBorders>
              <w:right w:val="single" w:sz="12" w:space="0" w:color="auto"/>
            </w:tcBorders>
            <w:shd w:val="clear" w:color="auto" w:fill="auto"/>
            <w:tcMar>
              <w:left w:w="57" w:type="dxa"/>
              <w:right w:w="57" w:type="dxa"/>
            </w:tcMar>
            <w:vAlign w:val="center"/>
          </w:tcPr>
          <w:p w:rsidR="00C71EEC" w:rsidRPr="00C1589C" w:rsidRDefault="00C71EEC" w:rsidP="00340AA4">
            <w:pPr>
              <w:spacing w:line="240" w:lineRule="auto"/>
              <w:rPr>
                <w:rFonts w:eastAsia="Calibri"/>
                <w:color w:val="000000"/>
              </w:rPr>
            </w:pPr>
            <w:r w:rsidRPr="00315F75">
              <w:rPr>
                <w:rFonts w:eastAsia="Calibri"/>
                <w:color w:val="000000"/>
              </w:rPr>
              <w:t>50 kg bag</w:t>
            </w:r>
          </w:p>
        </w:tc>
        <w:tc>
          <w:tcPr>
            <w:tcW w:w="1134" w:type="dxa"/>
            <w:tcBorders>
              <w:left w:val="single" w:sz="12" w:space="0" w:color="auto"/>
              <w:right w:val="single" w:sz="12" w:space="0" w:color="auto"/>
            </w:tcBorders>
            <w:shd w:val="clear" w:color="auto" w:fill="auto"/>
            <w:vAlign w:val="center"/>
          </w:tcPr>
          <w:p w:rsidR="00C71EEC" w:rsidRPr="00C1589C" w:rsidRDefault="00C71EEC" w:rsidP="00340AA4">
            <w:pPr>
              <w:spacing w:line="240" w:lineRule="auto"/>
              <w:jc w:val="center"/>
              <w:rPr>
                <w:rFonts w:eastAsia="Calibri"/>
                <w:color w:val="000000"/>
              </w:rPr>
            </w:pPr>
            <w:r>
              <w:rPr>
                <w:rFonts w:eastAsia="Calibri"/>
                <w:color w:val="000000"/>
              </w:rPr>
              <w:t>318</w:t>
            </w:r>
          </w:p>
        </w:tc>
        <w:tc>
          <w:tcPr>
            <w:tcW w:w="851" w:type="dxa"/>
            <w:tcBorders>
              <w:left w:val="single" w:sz="12" w:space="0" w:color="auto"/>
            </w:tcBorders>
            <w:shd w:val="clear" w:color="auto" w:fill="auto"/>
            <w:vAlign w:val="center"/>
          </w:tcPr>
          <w:p w:rsidR="00C71EEC" w:rsidRPr="00C1589C" w:rsidRDefault="00C71EEC" w:rsidP="00340AA4">
            <w:pPr>
              <w:spacing w:line="240" w:lineRule="auto"/>
              <w:jc w:val="center"/>
              <w:rPr>
                <w:rFonts w:eastAsia="Calibri"/>
                <w:color w:val="000000"/>
              </w:rPr>
            </w:pPr>
            <w:r>
              <w:rPr>
                <w:rFonts w:eastAsia="Calibri"/>
                <w:color w:val="000000"/>
              </w:rPr>
              <w:t>259</w:t>
            </w:r>
          </w:p>
        </w:tc>
        <w:tc>
          <w:tcPr>
            <w:tcW w:w="860" w:type="dxa"/>
            <w:shd w:val="clear" w:color="auto" w:fill="auto"/>
            <w:vAlign w:val="center"/>
          </w:tcPr>
          <w:p w:rsidR="00C71EEC" w:rsidRPr="00C1589C" w:rsidRDefault="00C71EEC" w:rsidP="00340AA4">
            <w:pPr>
              <w:spacing w:line="240" w:lineRule="auto"/>
              <w:jc w:val="center"/>
              <w:rPr>
                <w:rFonts w:eastAsia="Calibri"/>
                <w:color w:val="000000"/>
              </w:rPr>
            </w:pPr>
            <w:r>
              <w:rPr>
                <w:rFonts w:eastAsia="Calibri"/>
                <w:color w:val="000000"/>
              </w:rPr>
              <w:t>pass</w:t>
            </w:r>
          </w:p>
        </w:tc>
        <w:tc>
          <w:tcPr>
            <w:tcW w:w="1134" w:type="dxa"/>
            <w:tcBorders>
              <w:right w:val="single" w:sz="12" w:space="0" w:color="auto"/>
            </w:tcBorders>
            <w:shd w:val="clear" w:color="auto" w:fill="auto"/>
            <w:vAlign w:val="center"/>
          </w:tcPr>
          <w:p w:rsidR="00C71EEC" w:rsidRPr="00C1589C" w:rsidRDefault="00C71EEC" w:rsidP="00340AA4">
            <w:pPr>
              <w:spacing w:line="240" w:lineRule="auto"/>
              <w:jc w:val="center"/>
              <w:rPr>
                <w:rFonts w:eastAsia="Calibri"/>
                <w:color w:val="000000"/>
              </w:rPr>
            </w:pPr>
            <w:r>
              <w:rPr>
                <w:rFonts w:eastAsia="Calibri"/>
                <w:color w:val="000000"/>
              </w:rPr>
              <w:t>9.5</w:t>
            </w:r>
          </w:p>
        </w:tc>
        <w:tc>
          <w:tcPr>
            <w:tcW w:w="992" w:type="dxa"/>
            <w:tcBorders>
              <w:left w:val="single" w:sz="12" w:space="0" w:color="auto"/>
            </w:tcBorders>
            <w:vAlign w:val="center"/>
          </w:tcPr>
          <w:p w:rsidR="00C71EEC" w:rsidRDefault="00C71EEC" w:rsidP="00340AA4">
            <w:pPr>
              <w:spacing w:line="240" w:lineRule="auto"/>
              <w:jc w:val="center"/>
              <w:rPr>
                <w:rFonts w:eastAsia="Calibri"/>
                <w:color w:val="000000"/>
              </w:rPr>
            </w:pPr>
            <w:r>
              <w:rPr>
                <w:rFonts w:eastAsia="Calibri"/>
                <w:color w:val="000000"/>
              </w:rPr>
              <w:t>151</w:t>
            </w:r>
          </w:p>
        </w:tc>
        <w:tc>
          <w:tcPr>
            <w:tcW w:w="1090" w:type="dxa"/>
            <w:tcBorders>
              <w:right w:val="single" w:sz="12" w:space="0" w:color="auto"/>
            </w:tcBorders>
            <w:vAlign w:val="center"/>
          </w:tcPr>
          <w:p w:rsidR="00C71EEC" w:rsidRPr="00B524B6" w:rsidRDefault="00C71EEC" w:rsidP="00340AA4">
            <w:pPr>
              <w:spacing w:line="240" w:lineRule="auto"/>
              <w:jc w:val="center"/>
              <w:rPr>
                <w:rFonts w:eastAsia="Calibri"/>
                <w:color w:val="000000"/>
                <w:sz w:val="18"/>
                <w:szCs w:val="18"/>
              </w:rPr>
            </w:pPr>
            <w:r>
              <w:rPr>
                <w:rFonts w:eastAsia="Calibri"/>
                <w:color w:val="000000"/>
              </w:rPr>
              <w:t>pass</w:t>
            </w:r>
          </w:p>
        </w:tc>
      </w:tr>
      <w:tr w:rsidR="00C71EEC" w:rsidRPr="00C1589C" w:rsidTr="00340AA4">
        <w:trPr>
          <w:jc w:val="center"/>
        </w:trPr>
        <w:tc>
          <w:tcPr>
            <w:tcW w:w="1403" w:type="dxa"/>
            <w:vMerge/>
            <w:tcBorders>
              <w:left w:val="single" w:sz="12" w:space="0" w:color="auto"/>
            </w:tcBorders>
            <w:shd w:val="clear" w:color="auto" w:fill="auto"/>
            <w:tcMar>
              <w:right w:w="28" w:type="dxa"/>
            </w:tcMar>
            <w:vAlign w:val="center"/>
          </w:tcPr>
          <w:p w:rsidR="00C71EEC" w:rsidRPr="00C1589C" w:rsidRDefault="00C71EEC" w:rsidP="00340AA4">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C71EEC" w:rsidRPr="00315F75" w:rsidRDefault="00C71EEC" w:rsidP="00340AA4">
            <w:pPr>
              <w:spacing w:line="240" w:lineRule="auto"/>
              <w:rPr>
                <w:rFonts w:eastAsia="Calibri"/>
                <w:color w:val="000000"/>
              </w:rPr>
            </w:pPr>
            <w:r w:rsidRPr="00315F75">
              <w:rPr>
                <w:rFonts w:eastAsia="Calibri"/>
                <w:color w:val="000000"/>
              </w:rPr>
              <w:t>1 ton bag</w:t>
            </w:r>
          </w:p>
        </w:tc>
        <w:tc>
          <w:tcPr>
            <w:tcW w:w="1134" w:type="dxa"/>
            <w:tcBorders>
              <w:left w:val="single" w:sz="12" w:space="0" w:color="auto"/>
              <w:right w:val="single" w:sz="12" w:space="0" w:color="auto"/>
            </w:tcBorders>
            <w:shd w:val="clear" w:color="auto" w:fill="auto"/>
            <w:vAlign w:val="center"/>
          </w:tcPr>
          <w:p w:rsidR="00C71EEC" w:rsidRPr="00315F75" w:rsidRDefault="00C71EEC" w:rsidP="00340AA4">
            <w:pPr>
              <w:spacing w:line="240" w:lineRule="auto"/>
              <w:jc w:val="center"/>
              <w:rPr>
                <w:rFonts w:eastAsia="Calibri"/>
                <w:color w:val="000000"/>
              </w:rPr>
            </w:pPr>
            <w:r>
              <w:rPr>
                <w:rFonts w:eastAsia="Calibri"/>
                <w:color w:val="000000"/>
              </w:rPr>
              <w:t>297</w:t>
            </w:r>
          </w:p>
        </w:tc>
        <w:tc>
          <w:tcPr>
            <w:tcW w:w="851" w:type="dxa"/>
            <w:tcBorders>
              <w:left w:val="single" w:sz="12" w:space="0" w:color="auto"/>
            </w:tcBorders>
            <w:shd w:val="clear" w:color="auto" w:fill="auto"/>
            <w:vAlign w:val="center"/>
          </w:tcPr>
          <w:p w:rsidR="00C71EEC" w:rsidRPr="00315F75" w:rsidRDefault="00C71EEC" w:rsidP="00340AA4">
            <w:pPr>
              <w:spacing w:line="240" w:lineRule="auto"/>
              <w:jc w:val="center"/>
              <w:rPr>
                <w:rFonts w:eastAsia="Calibri"/>
                <w:color w:val="000000"/>
              </w:rPr>
            </w:pPr>
          </w:p>
        </w:tc>
        <w:tc>
          <w:tcPr>
            <w:tcW w:w="860" w:type="dxa"/>
            <w:shd w:val="clear" w:color="auto" w:fill="auto"/>
            <w:vAlign w:val="center"/>
          </w:tcPr>
          <w:p w:rsidR="00C71EEC" w:rsidRPr="00315F75" w:rsidRDefault="00C71EEC" w:rsidP="00340AA4">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C71EEC" w:rsidRPr="00315F75" w:rsidRDefault="00C71EEC" w:rsidP="00340AA4">
            <w:pPr>
              <w:spacing w:line="240" w:lineRule="auto"/>
              <w:jc w:val="center"/>
              <w:rPr>
                <w:rFonts w:eastAsia="Calibri"/>
                <w:color w:val="000000"/>
              </w:rPr>
            </w:pPr>
            <w:r>
              <w:rPr>
                <w:rFonts w:eastAsia="Calibri"/>
                <w:color w:val="000000"/>
              </w:rPr>
              <w:t>9.5</w:t>
            </w:r>
          </w:p>
        </w:tc>
        <w:tc>
          <w:tcPr>
            <w:tcW w:w="992" w:type="dxa"/>
            <w:tcBorders>
              <w:left w:val="single" w:sz="12" w:space="0" w:color="auto"/>
            </w:tcBorders>
            <w:vAlign w:val="center"/>
          </w:tcPr>
          <w:p w:rsidR="00C71EEC" w:rsidRDefault="00C71EEC" w:rsidP="00340AA4">
            <w:pPr>
              <w:spacing w:line="240" w:lineRule="auto"/>
              <w:jc w:val="center"/>
              <w:rPr>
                <w:rFonts w:eastAsia="Calibri"/>
                <w:color w:val="000000"/>
              </w:rPr>
            </w:pPr>
            <w:r>
              <w:rPr>
                <w:rFonts w:eastAsia="Calibri"/>
                <w:color w:val="000000"/>
              </w:rPr>
              <w:t>213</w:t>
            </w:r>
          </w:p>
        </w:tc>
        <w:tc>
          <w:tcPr>
            <w:tcW w:w="1090" w:type="dxa"/>
            <w:tcBorders>
              <w:right w:val="single" w:sz="12" w:space="0" w:color="auto"/>
            </w:tcBorders>
          </w:tcPr>
          <w:p w:rsidR="00C71EEC" w:rsidRPr="00B524B6" w:rsidRDefault="00C71EEC" w:rsidP="00340AA4">
            <w:pPr>
              <w:spacing w:line="240" w:lineRule="auto"/>
              <w:jc w:val="center"/>
              <w:rPr>
                <w:rFonts w:eastAsia="Calibri"/>
                <w:color w:val="000000"/>
                <w:sz w:val="18"/>
                <w:szCs w:val="18"/>
              </w:rPr>
            </w:pPr>
            <w:r w:rsidRPr="00D11ED2">
              <w:rPr>
                <w:rFonts w:eastAsia="Calibri"/>
                <w:color w:val="000000"/>
              </w:rPr>
              <w:t>pass</w:t>
            </w:r>
          </w:p>
        </w:tc>
      </w:tr>
      <w:tr w:rsidR="00C71EEC" w:rsidRPr="00C1589C" w:rsidTr="00340AA4">
        <w:trPr>
          <w:jc w:val="center"/>
        </w:trPr>
        <w:tc>
          <w:tcPr>
            <w:tcW w:w="1403" w:type="dxa"/>
            <w:vMerge w:val="restart"/>
            <w:tcBorders>
              <w:left w:val="single" w:sz="12" w:space="0" w:color="auto"/>
            </w:tcBorders>
            <w:shd w:val="clear" w:color="auto" w:fill="auto"/>
            <w:vAlign w:val="center"/>
          </w:tcPr>
          <w:p w:rsidR="00C71EEC" w:rsidRPr="00C1589C" w:rsidRDefault="00C71EEC" w:rsidP="00340AA4">
            <w:pPr>
              <w:spacing w:line="240" w:lineRule="auto"/>
              <w:rPr>
                <w:rFonts w:eastAsia="Calibri"/>
              </w:rPr>
            </w:pPr>
            <w:r w:rsidRPr="00C1589C">
              <w:rPr>
                <w:rFonts w:eastAsia="Calibri"/>
                <w:color w:val="000000"/>
              </w:rPr>
              <w:t xml:space="preserve">EQ: </w:t>
            </w:r>
            <w:r w:rsidRPr="008D61D5">
              <w:rPr>
                <w:rFonts w:eastAsia="Calibri"/>
              </w:rPr>
              <w:t>30-50 ppm</w:t>
            </w:r>
            <w:r>
              <w:rPr>
                <w:rFonts w:eastAsia="Calibri"/>
              </w:rPr>
              <w:t>*</w:t>
            </w:r>
            <w:r w:rsidRPr="008D61D5">
              <w:rPr>
                <w:rFonts w:eastAsia="Calibri"/>
              </w:rPr>
              <w:t xml:space="preserve"> </w:t>
            </w:r>
          </w:p>
        </w:tc>
        <w:tc>
          <w:tcPr>
            <w:tcW w:w="992" w:type="dxa"/>
            <w:tcBorders>
              <w:right w:val="single" w:sz="12" w:space="0" w:color="auto"/>
            </w:tcBorders>
            <w:shd w:val="clear" w:color="auto" w:fill="auto"/>
            <w:tcMar>
              <w:left w:w="57" w:type="dxa"/>
              <w:right w:w="57" w:type="dxa"/>
            </w:tcMar>
            <w:vAlign w:val="center"/>
          </w:tcPr>
          <w:p w:rsidR="00C71EEC" w:rsidRPr="00C1589C" w:rsidRDefault="00C71EEC" w:rsidP="00340AA4">
            <w:pPr>
              <w:spacing w:line="240" w:lineRule="auto"/>
              <w:rPr>
                <w:rFonts w:eastAsia="Calibri"/>
                <w:color w:val="000000"/>
              </w:rPr>
            </w:pPr>
            <w:r w:rsidRPr="00315F75">
              <w:rPr>
                <w:rFonts w:eastAsia="Calibri"/>
                <w:color w:val="000000"/>
              </w:rPr>
              <w:t>50 kg bag</w:t>
            </w:r>
          </w:p>
        </w:tc>
        <w:tc>
          <w:tcPr>
            <w:tcW w:w="1134" w:type="dxa"/>
            <w:tcBorders>
              <w:left w:val="single" w:sz="12" w:space="0" w:color="auto"/>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28</w:t>
            </w:r>
          </w:p>
        </w:tc>
        <w:tc>
          <w:tcPr>
            <w:tcW w:w="851" w:type="dxa"/>
            <w:tcBorders>
              <w:lef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&lt;15</w:t>
            </w:r>
          </w:p>
        </w:tc>
        <w:tc>
          <w:tcPr>
            <w:tcW w:w="860" w:type="dxa"/>
            <w:shd w:val="clear" w:color="auto" w:fill="auto"/>
            <w:vAlign w:val="center"/>
          </w:tcPr>
          <w:p w:rsidR="00C71EEC" w:rsidRPr="00620103" w:rsidRDefault="00C71EEC" w:rsidP="00340AA4">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1.2</w:t>
            </w:r>
          </w:p>
        </w:tc>
        <w:tc>
          <w:tcPr>
            <w:tcW w:w="992" w:type="dxa"/>
            <w:tcBorders>
              <w:left w:val="single" w:sz="12" w:space="0" w:color="auto"/>
            </w:tcBorders>
            <w:vAlign w:val="center"/>
          </w:tcPr>
          <w:p w:rsidR="00C71EEC" w:rsidRPr="00620103" w:rsidRDefault="00C71EEC" w:rsidP="00340AA4">
            <w:pPr>
              <w:spacing w:line="240" w:lineRule="auto"/>
              <w:jc w:val="center"/>
              <w:rPr>
                <w:rFonts w:eastAsia="Calibri"/>
                <w:color w:val="000000"/>
              </w:rPr>
            </w:pPr>
            <w:r>
              <w:rPr>
                <w:rFonts w:eastAsia="Calibri"/>
                <w:color w:val="000000"/>
              </w:rPr>
              <w:t>&lt;15</w:t>
            </w:r>
          </w:p>
        </w:tc>
        <w:tc>
          <w:tcPr>
            <w:tcW w:w="1090" w:type="dxa"/>
            <w:tcBorders>
              <w:right w:val="single" w:sz="12" w:space="0" w:color="auto"/>
            </w:tcBorders>
          </w:tcPr>
          <w:p w:rsidR="00C71EEC" w:rsidRPr="00B524B6" w:rsidRDefault="00C71EEC" w:rsidP="00340AA4">
            <w:pPr>
              <w:spacing w:line="240" w:lineRule="auto"/>
              <w:jc w:val="center"/>
              <w:rPr>
                <w:rFonts w:eastAsia="Calibri"/>
                <w:color w:val="000000"/>
                <w:sz w:val="18"/>
                <w:szCs w:val="18"/>
              </w:rPr>
            </w:pPr>
            <w:r w:rsidRPr="00D11ED2">
              <w:rPr>
                <w:rFonts w:eastAsia="Calibri"/>
                <w:color w:val="000000"/>
              </w:rPr>
              <w:t>pass</w:t>
            </w:r>
          </w:p>
        </w:tc>
      </w:tr>
      <w:tr w:rsidR="00C71EEC" w:rsidRPr="00C1589C" w:rsidTr="00340AA4">
        <w:trPr>
          <w:jc w:val="center"/>
        </w:trPr>
        <w:tc>
          <w:tcPr>
            <w:tcW w:w="1403" w:type="dxa"/>
            <w:vMerge/>
            <w:tcBorders>
              <w:left w:val="single" w:sz="12" w:space="0" w:color="auto"/>
            </w:tcBorders>
            <w:shd w:val="clear" w:color="auto" w:fill="auto"/>
            <w:vAlign w:val="center"/>
          </w:tcPr>
          <w:p w:rsidR="00C71EEC" w:rsidRPr="00C1589C" w:rsidRDefault="00C71EEC" w:rsidP="00340AA4">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C71EEC" w:rsidRPr="00315F75" w:rsidRDefault="00C71EEC" w:rsidP="00340AA4">
            <w:pPr>
              <w:spacing w:line="240" w:lineRule="auto"/>
              <w:rPr>
                <w:rFonts w:eastAsia="Calibri"/>
                <w:color w:val="000000"/>
              </w:rPr>
            </w:pPr>
            <w:r w:rsidRPr="00315F75">
              <w:rPr>
                <w:rFonts w:eastAsia="Calibri"/>
                <w:color w:val="000000"/>
              </w:rPr>
              <w:t>1 ton bag</w:t>
            </w:r>
          </w:p>
        </w:tc>
        <w:tc>
          <w:tcPr>
            <w:tcW w:w="1134" w:type="dxa"/>
            <w:tcBorders>
              <w:left w:val="single" w:sz="12" w:space="0" w:color="auto"/>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48</w:t>
            </w:r>
          </w:p>
        </w:tc>
        <w:tc>
          <w:tcPr>
            <w:tcW w:w="851" w:type="dxa"/>
            <w:tcBorders>
              <w:lef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p>
        </w:tc>
        <w:tc>
          <w:tcPr>
            <w:tcW w:w="860" w:type="dxa"/>
            <w:shd w:val="clear" w:color="auto" w:fill="auto"/>
            <w:vAlign w:val="center"/>
          </w:tcPr>
          <w:p w:rsidR="00C71EEC" w:rsidRPr="00620103" w:rsidRDefault="00C71EEC" w:rsidP="00340AA4">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2.7</w:t>
            </w:r>
          </w:p>
        </w:tc>
        <w:tc>
          <w:tcPr>
            <w:tcW w:w="992" w:type="dxa"/>
            <w:tcBorders>
              <w:left w:val="single" w:sz="12" w:space="0" w:color="auto"/>
            </w:tcBorders>
            <w:vAlign w:val="center"/>
          </w:tcPr>
          <w:p w:rsidR="00C71EEC" w:rsidRPr="00620103" w:rsidRDefault="00C71EEC" w:rsidP="00340AA4">
            <w:pPr>
              <w:spacing w:line="240" w:lineRule="auto"/>
              <w:jc w:val="center"/>
              <w:rPr>
                <w:rFonts w:eastAsia="Calibri"/>
                <w:color w:val="000000"/>
              </w:rPr>
            </w:pPr>
            <w:r>
              <w:rPr>
                <w:rFonts w:eastAsia="Calibri"/>
                <w:color w:val="000000"/>
              </w:rPr>
              <w:t>36</w:t>
            </w:r>
          </w:p>
        </w:tc>
        <w:tc>
          <w:tcPr>
            <w:tcW w:w="1090" w:type="dxa"/>
            <w:tcBorders>
              <w:right w:val="single" w:sz="12" w:space="0" w:color="auto"/>
            </w:tcBorders>
          </w:tcPr>
          <w:p w:rsidR="00C71EEC" w:rsidRPr="00B524B6" w:rsidRDefault="00C71EEC" w:rsidP="00340AA4">
            <w:pPr>
              <w:spacing w:line="240" w:lineRule="auto"/>
              <w:jc w:val="center"/>
              <w:rPr>
                <w:rFonts w:eastAsia="Calibri"/>
                <w:color w:val="000000"/>
                <w:sz w:val="18"/>
                <w:szCs w:val="18"/>
              </w:rPr>
            </w:pPr>
            <w:r w:rsidRPr="00D11ED2">
              <w:rPr>
                <w:rFonts w:eastAsia="Calibri"/>
                <w:color w:val="000000"/>
              </w:rPr>
              <w:t>pass</w:t>
            </w:r>
          </w:p>
        </w:tc>
      </w:tr>
      <w:tr w:rsidR="00C71EEC" w:rsidRPr="00C1589C" w:rsidTr="00340AA4">
        <w:trPr>
          <w:jc w:val="center"/>
        </w:trPr>
        <w:tc>
          <w:tcPr>
            <w:tcW w:w="1403" w:type="dxa"/>
            <w:vMerge w:val="restart"/>
            <w:tcBorders>
              <w:left w:val="single" w:sz="12" w:space="0" w:color="auto"/>
            </w:tcBorders>
            <w:shd w:val="clear" w:color="auto" w:fill="auto"/>
            <w:vAlign w:val="center"/>
          </w:tcPr>
          <w:p w:rsidR="00C71EEC" w:rsidRPr="00C1589C" w:rsidRDefault="00C71EEC" w:rsidP="00340AA4">
            <w:pPr>
              <w:spacing w:line="240" w:lineRule="auto"/>
              <w:rPr>
                <w:rFonts w:eastAsia="Calibri"/>
                <w:color w:val="000000"/>
              </w:rPr>
            </w:pPr>
            <w:r w:rsidRPr="00C1589C">
              <w:rPr>
                <w:rFonts w:eastAsia="Calibri"/>
                <w:color w:val="000000"/>
              </w:rPr>
              <w:t xml:space="preserve">BHT solution: 2,000 ppm </w:t>
            </w:r>
          </w:p>
        </w:tc>
        <w:tc>
          <w:tcPr>
            <w:tcW w:w="992" w:type="dxa"/>
            <w:tcBorders>
              <w:right w:val="single" w:sz="12" w:space="0" w:color="auto"/>
            </w:tcBorders>
            <w:shd w:val="clear" w:color="auto" w:fill="auto"/>
            <w:tcMar>
              <w:left w:w="57" w:type="dxa"/>
              <w:right w:w="57" w:type="dxa"/>
            </w:tcMar>
            <w:vAlign w:val="center"/>
          </w:tcPr>
          <w:p w:rsidR="00C71EEC" w:rsidRPr="00C1589C" w:rsidRDefault="00C71EEC" w:rsidP="00340AA4">
            <w:pPr>
              <w:spacing w:line="240" w:lineRule="auto"/>
              <w:rPr>
                <w:rFonts w:eastAsia="Calibri"/>
                <w:color w:val="000000"/>
              </w:rPr>
            </w:pPr>
            <w:r w:rsidRPr="00315F75">
              <w:rPr>
                <w:rFonts w:eastAsia="Calibri"/>
                <w:color w:val="000000"/>
              </w:rPr>
              <w:t>50 kg bag</w:t>
            </w:r>
          </w:p>
        </w:tc>
        <w:tc>
          <w:tcPr>
            <w:tcW w:w="1134" w:type="dxa"/>
            <w:tcBorders>
              <w:left w:val="single" w:sz="12" w:space="0" w:color="auto"/>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438</w:t>
            </w:r>
          </w:p>
        </w:tc>
        <w:tc>
          <w:tcPr>
            <w:tcW w:w="851" w:type="dxa"/>
            <w:tcBorders>
              <w:lef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368</w:t>
            </w:r>
          </w:p>
        </w:tc>
        <w:tc>
          <w:tcPr>
            <w:tcW w:w="860" w:type="dxa"/>
            <w:shd w:val="clear" w:color="auto" w:fill="auto"/>
            <w:vAlign w:val="center"/>
          </w:tcPr>
          <w:p w:rsidR="00C71EEC" w:rsidRPr="00620103" w:rsidRDefault="00C71EEC" w:rsidP="00340AA4">
            <w:pPr>
              <w:spacing w:line="240" w:lineRule="auto"/>
              <w:jc w:val="center"/>
              <w:rPr>
                <w:rFonts w:eastAsia="Calibri"/>
                <w:color w:val="000000"/>
              </w:rPr>
            </w:pPr>
            <w:r>
              <w:rPr>
                <w:rFonts w:eastAsia="Calibri"/>
                <w:color w:val="000000"/>
              </w:rPr>
              <w:t>pass</w:t>
            </w:r>
          </w:p>
        </w:tc>
        <w:tc>
          <w:tcPr>
            <w:tcW w:w="1134" w:type="dxa"/>
            <w:tcBorders>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2.4</w:t>
            </w:r>
          </w:p>
        </w:tc>
        <w:tc>
          <w:tcPr>
            <w:tcW w:w="992" w:type="dxa"/>
            <w:tcBorders>
              <w:left w:val="single" w:sz="12" w:space="0" w:color="auto"/>
            </w:tcBorders>
            <w:vAlign w:val="center"/>
          </w:tcPr>
          <w:p w:rsidR="00C71EEC" w:rsidRPr="00620103" w:rsidRDefault="00C71EEC" w:rsidP="00340AA4">
            <w:pPr>
              <w:spacing w:line="240" w:lineRule="auto"/>
              <w:jc w:val="center"/>
              <w:rPr>
                <w:rFonts w:eastAsia="Calibri"/>
                <w:color w:val="000000"/>
              </w:rPr>
            </w:pPr>
            <w:r>
              <w:rPr>
                <w:rFonts w:eastAsia="Calibri"/>
                <w:color w:val="000000"/>
              </w:rPr>
              <w:t>290</w:t>
            </w:r>
          </w:p>
        </w:tc>
        <w:tc>
          <w:tcPr>
            <w:tcW w:w="1090" w:type="dxa"/>
            <w:tcBorders>
              <w:right w:val="single" w:sz="12" w:space="0" w:color="auto"/>
            </w:tcBorders>
          </w:tcPr>
          <w:p w:rsidR="00C71EEC" w:rsidRPr="00B524B6" w:rsidRDefault="00C71EEC" w:rsidP="00340AA4">
            <w:pPr>
              <w:spacing w:line="240" w:lineRule="auto"/>
              <w:jc w:val="center"/>
              <w:rPr>
                <w:rFonts w:eastAsia="Calibri"/>
                <w:color w:val="000000"/>
                <w:sz w:val="18"/>
                <w:szCs w:val="18"/>
              </w:rPr>
            </w:pPr>
            <w:r w:rsidRPr="00D11ED2">
              <w:rPr>
                <w:rFonts w:eastAsia="Calibri"/>
                <w:color w:val="000000"/>
              </w:rPr>
              <w:t>pass</w:t>
            </w:r>
          </w:p>
        </w:tc>
      </w:tr>
      <w:tr w:rsidR="00C71EEC" w:rsidRPr="00C1589C" w:rsidTr="00340AA4">
        <w:trPr>
          <w:jc w:val="center"/>
        </w:trPr>
        <w:tc>
          <w:tcPr>
            <w:tcW w:w="1403" w:type="dxa"/>
            <w:vMerge/>
            <w:tcBorders>
              <w:left w:val="single" w:sz="12" w:space="0" w:color="auto"/>
            </w:tcBorders>
            <w:shd w:val="clear" w:color="auto" w:fill="auto"/>
            <w:vAlign w:val="center"/>
          </w:tcPr>
          <w:p w:rsidR="00C71EEC" w:rsidRPr="00C1589C" w:rsidRDefault="00C71EEC" w:rsidP="00340AA4">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C71EEC" w:rsidRPr="00315F75" w:rsidRDefault="00C71EEC" w:rsidP="00340AA4">
            <w:pPr>
              <w:spacing w:line="240" w:lineRule="auto"/>
              <w:rPr>
                <w:rFonts w:eastAsia="Calibri"/>
                <w:color w:val="000000"/>
              </w:rPr>
            </w:pPr>
            <w:r w:rsidRPr="00315F75">
              <w:rPr>
                <w:rFonts w:eastAsia="Calibri"/>
                <w:color w:val="000000"/>
              </w:rPr>
              <w:t>1 ton bag</w:t>
            </w:r>
          </w:p>
        </w:tc>
        <w:tc>
          <w:tcPr>
            <w:tcW w:w="1134" w:type="dxa"/>
            <w:tcBorders>
              <w:left w:val="single" w:sz="12" w:space="0" w:color="auto"/>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438</w:t>
            </w:r>
          </w:p>
        </w:tc>
        <w:tc>
          <w:tcPr>
            <w:tcW w:w="851" w:type="dxa"/>
            <w:tcBorders>
              <w:lef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p>
        </w:tc>
        <w:tc>
          <w:tcPr>
            <w:tcW w:w="860" w:type="dxa"/>
            <w:shd w:val="clear" w:color="auto" w:fill="auto"/>
            <w:vAlign w:val="center"/>
          </w:tcPr>
          <w:p w:rsidR="00C71EEC" w:rsidRPr="00620103" w:rsidRDefault="00C71EEC" w:rsidP="00340AA4">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2.6</w:t>
            </w:r>
          </w:p>
        </w:tc>
        <w:tc>
          <w:tcPr>
            <w:tcW w:w="992" w:type="dxa"/>
            <w:tcBorders>
              <w:left w:val="single" w:sz="12" w:space="0" w:color="auto"/>
            </w:tcBorders>
            <w:vAlign w:val="center"/>
          </w:tcPr>
          <w:p w:rsidR="00C71EEC" w:rsidRPr="00620103" w:rsidRDefault="00C71EEC" w:rsidP="00340AA4">
            <w:pPr>
              <w:spacing w:line="240" w:lineRule="auto"/>
              <w:jc w:val="center"/>
              <w:rPr>
                <w:rFonts w:eastAsia="Calibri"/>
                <w:color w:val="000000"/>
              </w:rPr>
            </w:pPr>
            <w:r>
              <w:rPr>
                <w:rFonts w:eastAsia="Calibri"/>
                <w:color w:val="000000"/>
              </w:rPr>
              <w:t>342</w:t>
            </w:r>
          </w:p>
        </w:tc>
        <w:tc>
          <w:tcPr>
            <w:tcW w:w="1090" w:type="dxa"/>
            <w:tcBorders>
              <w:right w:val="single" w:sz="12" w:space="0" w:color="auto"/>
            </w:tcBorders>
          </w:tcPr>
          <w:p w:rsidR="00C71EEC" w:rsidRPr="00B524B6" w:rsidRDefault="00C71EEC" w:rsidP="00340AA4">
            <w:pPr>
              <w:spacing w:line="240" w:lineRule="auto"/>
              <w:jc w:val="center"/>
              <w:rPr>
                <w:rFonts w:eastAsia="Calibri"/>
                <w:color w:val="000000"/>
                <w:sz w:val="18"/>
                <w:szCs w:val="18"/>
              </w:rPr>
            </w:pPr>
            <w:r w:rsidRPr="00D11ED2">
              <w:rPr>
                <w:rFonts w:eastAsia="Calibri"/>
                <w:color w:val="000000"/>
              </w:rPr>
              <w:t>pass</w:t>
            </w:r>
          </w:p>
        </w:tc>
      </w:tr>
      <w:tr w:rsidR="00C71EEC" w:rsidRPr="00C1589C" w:rsidTr="00340AA4">
        <w:trPr>
          <w:jc w:val="center"/>
        </w:trPr>
        <w:tc>
          <w:tcPr>
            <w:tcW w:w="1403" w:type="dxa"/>
            <w:vMerge w:val="restart"/>
            <w:tcBorders>
              <w:left w:val="single" w:sz="12" w:space="0" w:color="auto"/>
            </w:tcBorders>
            <w:shd w:val="clear" w:color="auto" w:fill="auto"/>
            <w:vAlign w:val="center"/>
          </w:tcPr>
          <w:p w:rsidR="00C71EEC" w:rsidRPr="00C1589C" w:rsidRDefault="00C71EEC" w:rsidP="00340AA4">
            <w:pPr>
              <w:spacing w:line="240" w:lineRule="auto"/>
              <w:rPr>
                <w:rFonts w:eastAsia="Calibri"/>
                <w:color w:val="000000"/>
              </w:rPr>
            </w:pPr>
            <w:r w:rsidRPr="00C1589C">
              <w:rPr>
                <w:rFonts w:eastAsia="Calibri"/>
                <w:color w:val="000000"/>
              </w:rPr>
              <w:t xml:space="preserve">BHT solution: 4,000 ppm </w:t>
            </w:r>
          </w:p>
        </w:tc>
        <w:tc>
          <w:tcPr>
            <w:tcW w:w="992" w:type="dxa"/>
            <w:tcBorders>
              <w:right w:val="single" w:sz="12" w:space="0" w:color="auto"/>
            </w:tcBorders>
            <w:shd w:val="clear" w:color="auto" w:fill="auto"/>
            <w:tcMar>
              <w:left w:w="57" w:type="dxa"/>
              <w:right w:w="57" w:type="dxa"/>
            </w:tcMar>
            <w:vAlign w:val="center"/>
          </w:tcPr>
          <w:p w:rsidR="00C71EEC" w:rsidRPr="00C1589C" w:rsidRDefault="00C71EEC" w:rsidP="00340AA4">
            <w:pPr>
              <w:spacing w:line="240" w:lineRule="auto"/>
              <w:rPr>
                <w:rFonts w:eastAsia="Calibri"/>
                <w:color w:val="000000"/>
              </w:rPr>
            </w:pPr>
            <w:r w:rsidRPr="00315F75">
              <w:rPr>
                <w:rFonts w:eastAsia="Calibri"/>
                <w:color w:val="000000"/>
              </w:rPr>
              <w:t>50 kg bag</w:t>
            </w:r>
          </w:p>
        </w:tc>
        <w:tc>
          <w:tcPr>
            <w:tcW w:w="1134" w:type="dxa"/>
            <w:tcBorders>
              <w:left w:val="single" w:sz="12" w:space="0" w:color="auto"/>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858</w:t>
            </w:r>
          </w:p>
        </w:tc>
        <w:tc>
          <w:tcPr>
            <w:tcW w:w="851" w:type="dxa"/>
            <w:tcBorders>
              <w:left w:val="single" w:sz="12" w:space="0" w:color="auto"/>
            </w:tcBorders>
            <w:shd w:val="clear" w:color="auto" w:fill="auto"/>
            <w:vAlign w:val="center"/>
          </w:tcPr>
          <w:p w:rsidR="00C71EEC" w:rsidRPr="008F7958" w:rsidRDefault="00C71EEC" w:rsidP="00340AA4">
            <w:pPr>
              <w:spacing w:line="240" w:lineRule="auto"/>
              <w:jc w:val="center"/>
              <w:rPr>
                <w:rFonts w:eastAsia="Calibri"/>
                <w:color w:val="000000"/>
              </w:rPr>
            </w:pPr>
            <w:r w:rsidRPr="008F7958">
              <w:rPr>
                <w:rFonts w:eastAsia="Calibri"/>
                <w:color w:val="000000"/>
              </w:rPr>
              <w:t>751</w:t>
            </w:r>
          </w:p>
        </w:tc>
        <w:tc>
          <w:tcPr>
            <w:tcW w:w="860" w:type="dxa"/>
            <w:shd w:val="clear" w:color="auto" w:fill="auto"/>
            <w:vAlign w:val="center"/>
          </w:tcPr>
          <w:p w:rsidR="00C71EEC" w:rsidRPr="00620103" w:rsidRDefault="00C71EEC" w:rsidP="00340AA4">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2.8</w:t>
            </w:r>
          </w:p>
        </w:tc>
        <w:tc>
          <w:tcPr>
            <w:tcW w:w="992" w:type="dxa"/>
            <w:tcBorders>
              <w:left w:val="single" w:sz="12" w:space="0" w:color="auto"/>
            </w:tcBorders>
            <w:vAlign w:val="center"/>
          </w:tcPr>
          <w:p w:rsidR="00C71EEC" w:rsidRPr="00620103" w:rsidRDefault="00C71EEC" w:rsidP="00340AA4">
            <w:pPr>
              <w:spacing w:line="240" w:lineRule="auto"/>
              <w:jc w:val="center"/>
              <w:rPr>
                <w:rFonts w:eastAsia="Calibri"/>
                <w:color w:val="000000"/>
              </w:rPr>
            </w:pPr>
            <w:r>
              <w:rPr>
                <w:rFonts w:eastAsia="Calibri"/>
                <w:color w:val="000000"/>
              </w:rPr>
              <w:t>659</w:t>
            </w:r>
          </w:p>
        </w:tc>
        <w:tc>
          <w:tcPr>
            <w:tcW w:w="1090" w:type="dxa"/>
            <w:tcBorders>
              <w:right w:val="single" w:sz="12" w:space="0" w:color="auto"/>
            </w:tcBorders>
          </w:tcPr>
          <w:p w:rsidR="00C71EEC" w:rsidRPr="00B524B6" w:rsidRDefault="00C71EEC" w:rsidP="00340AA4">
            <w:pPr>
              <w:spacing w:line="240" w:lineRule="auto"/>
              <w:jc w:val="center"/>
              <w:rPr>
                <w:rFonts w:eastAsia="Calibri"/>
                <w:color w:val="000000"/>
                <w:sz w:val="18"/>
                <w:szCs w:val="18"/>
              </w:rPr>
            </w:pPr>
            <w:r w:rsidRPr="00D11ED2">
              <w:rPr>
                <w:rFonts w:eastAsia="Calibri"/>
                <w:color w:val="000000"/>
              </w:rPr>
              <w:t>pass</w:t>
            </w:r>
          </w:p>
        </w:tc>
      </w:tr>
      <w:tr w:rsidR="00C71EEC" w:rsidRPr="00C1589C" w:rsidTr="00340AA4">
        <w:trPr>
          <w:jc w:val="center"/>
        </w:trPr>
        <w:tc>
          <w:tcPr>
            <w:tcW w:w="1403" w:type="dxa"/>
            <w:vMerge/>
            <w:tcBorders>
              <w:left w:val="single" w:sz="12" w:space="0" w:color="auto"/>
            </w:tcBorders>
            <w:shd w:val="clear" w:color="auto" w:fill="auto"/>
            <w:vAlign w:val="center"/>
          </w:tcPr>
          <w:p w:rsidR="00C71EEC" w:rsidRPr="00C1589C" w:rsidRDefault="00C71EEC" w:rsidP="00340AA4">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C71EEC" w:rsidRPr="00315F75" w:rsidRDefault="00C71EEC" w:rsidP="00340AA4">
            <w:pPr>
              <w:spacing w:line="240" w:lineRule="auto"/>
              <w:rPr>
                <w:rFonts w:eastAsia="Calibri"/>
                <w:color w:val="000000"/>
              </w:rPr>
            </w:pPr>
            <w:r w:rsidRPr="00315F75">
              <w:rPr>
                <w:rFonts w:eastAsia="Calibri"/>
                <w:color w:val="000000"/>
              </w:rPr>
              <w:t>1 ton bag</w:t>
            </w:r>
          </w:p>
        </w:tc>
        <w:tc>
          <w:tcPr>
            <w:tcW w:w="1134" w:type="dxa"/>
            <w:tcBorders>
              <w:left w:val="single" w:sz="12" w:space="0" w:color="auto"/>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866</w:t>
            </w:r>
          </w:p>
        </w:tc>
        <w:tc>
          <w:tcPr>
            <w:tcW w:w="851" w:type="dxa"/>
            <w:tcBorders>
              <w:lef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p>
        </w:tc>
        <w:tc>
          <w:tcPr>
            <w:tcW w:w="860" w:type="dxa"/>
            <w:shd w:val="clear" w:color="auto" w:fill="auto"/>
            <w:vAlign w:val="center"/>
          </w:tcPr>
          <w:p w:rsidR="00C71EEC" w:rsidRPr="00620103" w:rsidRDefault="00C71EEC" w:rsidP="00340AA4">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2.9</w:t>
            </w:r>
          </w:p>
        </w:tc>
        <w:tc>
          <w:tcPr>
            <w:tcW w:w="992" w:type="dxa"/>
            <w:tcBorders>
              <w:left w:val="single" w:sz="12" w:space="0" w:color="auto"/>
            </w:tcBorders>
            <w:vAlign w:val="center"/>
          </w:tcPr>
          <w:p w:rsidR="00C71EEC" w:rsidRPr="00620103" w:rsidRDefault="00C71EEC" w:rsidP="00340AA4">
            <w:pPr>
              <w:spacing w:line="240" w:lineRule="auto"/>
              <w:jc w:val="center"/>
              <w:rPr>
                <w:rFonts w:eastAsia="Calibri"/>
                <w:color w:val="000000"/>
              </w:rPr>
            </w:pPr>
            <w:r>
              <w:rPr>
                <w:rFonts w:eastAsia="Calibri"/>
                <w:color w:val="000000"/>
              </w:rPr>
              <w:t>775</w:t>
            </w:r>
          </w:p>
        </w:tc>
        <w:tc>
          <w:tcPr>
            <w:tcW w:w="1090" w:type="dxa"/>
            <w:tcBorders>
              <w:right w:val="single" w:sz="12" w:space="0" w:color="auto"/>
            </w:tcBorders>
          </w:tcPr>
          <w:p w:rsidR="00C71EEC" w:rsidRPr="00B524B6" w:rsidRDefault="00C71EEC" w:rsidP="00340AA4">
            <w:pPr>
              <w:spacing w:line="240" w:lineRule="auto"/>
              <w:jc w:val="center"/>
              <w:rPr>
                <w:rFonts w:eastAsia="Calibri"/>
                <w:color w:val="000000"/>
                <w:sz w:val="18"/>
                <w:szCs w:val="18"/>
              </w:rPr>
            </w:pPr>
            <w:r w:rsidRPr="00D11ED2">
              <w:rPr>
                <w:rFonts w:eastAsia="Calibri"/>
                <w:color w:val="000000"/>
              </w:rPr>
              <w:t>pass</w:t>
            </w:r>
          </w:p>
        </w:tc>
      </w:tr>
      <w:tr w:rsidR="00C71EEC" w:rsidRPr="00C1589C" w:rsidTr="00340AA4">
        <w:trPr>
          <w:jc w:val="center"/>
        </w:trPr>
        <w:tc>
          <w:tcPr>
            <w:tcW w:w="1403" w:type="dxa"/>
            <w:vMerge w:val="restart"/>
            <w:tcBorders>
              <w:left w:val="single" w:sz="12" w:space="0" w:color="auto"/>
            </w:tcBorders>
            <w:shd w:val="clear" w:color="auto" w:fill="auto"/>
            <w:vAlign w:val="center"/>
          </w:tcPr>
          <w:p w:rsidR="00C71EEC" w:rsidRDefault="00C71EEC" w:rsidP="00340AA4">
            <w:pPr>
              <w:spacing w:line="240" w:lineRule="auto"/>
              <w:rPr>
                <w:rFonts w:eastAsia="Calibri"/>
                <w:color w:val="000000"/>
              </w:rPr>
            </w:pPr>
            <w:proofErr w:type="spellStart"/>
            <w:r w:rsidRPr="00C1589C">
              <w:rPr>
                <w:rFonts w:eastAsia="Calibri"/>
                <w:color w:val="000000"/>
              </w:rPr>
              <w:t>Tocopherol</w:t>
            </w:r>
            <w:proofErr w:type="spellEnd"/>
            <w:r w:rsidRPr="00C1589C">
              <w:rPr>
                <w:rFonts w:eastAsia="Calibri"/>
                <w:color w:val="000000"/>
              </w:rPr>
              <w:t>/</w:t>
            </w:r>
          </w:p>
          <w:p w:rsidR="00C71EEC" w:rsidRPr="00C1589C" w:rsidRDefault="00C71EEC" w:rsidP="00340AA4">
            <w:pPr>
              <w:spacing w:line="240" w:lineRule="auto"/>
              <w:rPr>
                <w:rFonts w:eastAsia="Calibri"/>
                <w:color w:val="000000"/>
              </w:rPr>
            </w:pPr>
            <w:r w:rsidRPr="00C1589C">
              <w:rPr>
                <w:rFonts w:eastAsia="Calibri"/>
                <w:color w:val="000000"/>
              </w:rPr>
              <w:t>rosemary extract blend: 2,000 ppm</w:t>
            </w:r>
          </w:p>
        </w:tc>
        <w:tc>
          <w:tcPr>
            <w:tcW w:w="992" w:type="dxa"/>
            <w:tcBorders>
              <w:right w:val="single" w:sz="12" w:space="0" w:color="auto"/>
            </w:tcBorders>
            <w:shd w:val="clear" w:color="auto" w:fill="auto"/>
            <w:tcMar>
              <w:left w:w="57" w:type="dxa"/>
              <w:right w:w="57" w:type="dxa"/>
            </w:tcMar>
            <w:vAlign w:val="center"/>
          </w:tcPr>
          <w:p w:rsidR="00C71EEC" w:rsidRPr="00C1589C" w:rsidRDefault="00C71EEC" w:rsidP="00340AA4">
            <w:pPr>
              <w:spacing w:line="240" w:lineRule="auto"/>
              <w:rPr>
                <w:rFonts w:eastAsia="Calibri"/>
                <w:color w:val="000000"/>
              </w:rPr>
            </w:pPr>
            <w:r w:rsidRPr="00315F75">
              <w:rPr>
                <w:rFonts w:eastAsia="Calibri"/>
                <w:color w:val="000000"/>
              </w:rPr>
              <w:t>50 kg bag</w:t>
            </w:r>
          </w:p>
        </w:tc>
        <w:tc>
          <w:tcPr>
            <w:tcW w:w="1134" w:type="dxa"/>
            <w:tcBorders>
              <w:left w:val="single" w:sz="12" w:space="0" w:color="auto"/>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385</w:t>
            </w:r>
          </w:p>
        </w:tc>
        <w:tc>
          <w:tcPr>
            <w:tcW w:w="851" w:type="dxa"/>
            <w:tcBorders>
              <w:lef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243</w:t>
            </w:r>
          </w:p>
        </w:tc>
        <w:tc>
          <w:tcPr>
            <w:tcW w:w="860" w:type="dxa"/>
            <w:shd w:val="clear" w:color="auto" w:fill="auto"/>
            <w:vAlign w:val="center"/>
          </w:tcPr>
          <w:p w:rsidR="00C71EEC" w:rsidRPr="00620103" w:rsidRDefault="00C71EEC" w:rsidP="00340AA4">
            <w:pPr>
              <w:spacing w:line="240" w:lineRule="auto"/>
              <w:jc w:val="center"/>
              <w:rPr>
                <w:rFonts w:eastAsia="Calibri"/>
                <w:color w:val="000000"/>
              </w:rPr>
            </w:pPr>
            <w:r>
              <w:rPr>
                <w:rFonts w:eastAsia="Calibri"/>
                <w:color w:val="000000"/>
              </w:rPr>
              <w:t>pass</w:t>
            </w:r>
          </w:p>
        </w:tc>
        <w:tc>
          <w:tcPr>
            <w:tcW w:w="1134" w:type="dxa"/>
            <w:tcBorders>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2.5</w:t>
            </w:r>
          </w:p>
        </w:tc>
        <w:tc>
          <w:tcPr>
            <w:tcW w:w="992" w:type="dxa"/>
            <w:tcBorders>
              <w:left w:val="single" w:sz="12" w:space="0" w:color="auto"/>
            </w:tcBorders>
            <w:vAlign w:val="center"/>
          </w:tcPr>
          <w:p w:rsidR="00C71EEC" w:rsidRPr="00620103" w:rsidRDefault="00C71EEC" w:rsidP="00340AA4">
            <w:pPr>
              <w:spacing w:line="240" w:lineRule="auto"/>
              <w:jc w:val="center"/>
              <w:rPr>
                <w:rFonts w:eastAsia="Calibri"/>
                <w:color w:val="000000"/>
              </w:rPr>
            </w:pPr>
            <w:r>
              <w:rPr>
                <w:rFonts w:eastAsia="Calibri"/>
                <w:color w:val="000000"/>
              </w:rPr>
              <w:t>209</w:t>
            </w:r>
          </w:p>
        </w:tc>
        <w:tc>
          <w:tcPr>
            <w:tcW w:w="1090" w:type="dxa"/>
            <w:tcBorders>
              <w:right w:val="single" w:sz="12" w:space="0" w:color="auto"/>
            </w:tcBorders>
          </w:tcPr>
          <w:p w:rsidR="00C71EEC" w:rsidRPr="00B524B6" w:rsidRDefault="00C71EEC" w:rsidP="00340AA4">
            <w:pPr>
              <w:spacing w:line="240" w:lineRule="auto"/>
              <w:jc w:val="center"/>
              <w:rPr>
                <w:rFonts w:eastAsia="Calibri"/>
                <w:color w:val="000000"/>
                <w:sz w:val="18"/>
                <w:szCs w:val="18"/>
              </w:rPr>
            </w:pPr>
            <w:r w:rsidRPr="00D11ED2">
              <w:rPr>
                <w:rFonts w:eastAsia="Calibri"/>
                <w:color w:val="000000"/>
              </w:rPr>
              <w:t>pass</w:t>
            </w:r>
          </w:p>
        </w:tc>
      </w:tr>
      <w:tr w:rsidR="00C71EEC" w:rsidRPr="00C1589C" w:rsidTr="00340AA4">
        <w:trPr>
          <w:jc w:val="center"/>
        </w:trPr>
        <w:tc>
          <w:tcPr>
            <w:tcW w:w="1403" w:type="dxa"/>
            <w:vMerge/>
            <w:tcBorders>
              <w:left w:val="single" w:sz="12" w:space="0" w:color="auto"/>
            </w:tcBorders>
            <w:shd w:val="clear" w:color="auto" w:fill="auto"/>
            <w:vAlign w:val="center"/>
          </w:tcPr>
          <w:p w:rsidR="00C71EEC" w:rsidRPr="00C1589C" w:rsidRDefault="00C71EEC" w:rsidP="00340AA4">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C71EEC" w:rsidRPr="00315F75" w:rsidRDefault="00C71EEC" w:rsidP="00340AA4">
            <w:pPr>
              <w:spacing w:line="240" w:lineRule="auto"/>
              <w:rPr>
                <w:rFonts w:eastAsia="Calibri"/>
                <w:color w:val="000000"/>
              </w:rPr>
            </w:pPr>
            <w:r w:rsidRPr="00315F75">
              <w:rPr>
                <w:rFonts w:eastAsia="Calibri"/>
                <w:color w:val="000000"/>
              </w:rPr>
              <w:t>1 ton bag</w:t>
            </w:r>
          </w:p>
        </w:tc>
        <w:tc>
          <w:tcPr>
            <w:tcW w:w="1134" w:type="dxa"/>
            <w:tcBorders>
              <w:left w:val="single" w:sz="12" w:space="0" w:color="auto"/>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400</w:t>
            </w:r>
          </w:p>
        </w:tc>
        <w:tc>
          <w:tcPr>
            <w:tcW w:w="851" w:type="dxa"/>
            <w:tcBorders>
              <w:lef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p>
        </w:tc>
        <w:tc>
          <w:tcPr>
            <w:tcW w:w="860" w:type="dxa"/>
            <w:shd w:val="clear" w:color="auto" w:fill="auto"/>
            <w:vAlign w:val="center"/>
          </w:tcPr>
          <w:p w:rsidR="00C71EEC" w:rsidRPr="00620103" w:rsidRDefault="00C71EEC" w:rsidP="00340AA4">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3.8</w:t>
            </w:r>
          </w:p>
        </w:tc>
        <w:tc>
          <w:tcPr>
            <w:tcW w:w="992" w:type="dxa"/>
            <w:tcBorders>
              <w:left w:val="single" w:sz="12" w:space="0" w:color="auto"/>
            </w:tcBorders>
            <w:vAlign w:val="center"/>
          </w:tcPr>
          <w:p w:rsidR="00C71EEC" w:rsidRPr="00620103" w:rsidRDefault="00C71EEC" w:rsidP="00340AA4">
            <w:pPr>
              <w:spacing w:line="240" w:lineRule="auto"/>
              <w:jc w:val="center"/>
              <w:rPr>
                <w:rFonts w:eastAsia="Calibri"/>
                <w:color w:val="000000"/>
              </w:rPr>
            </w:pPr>
            <w:r>
              <w:rPr>
                <w:rFonts w:eastAsia="Calibri"/>
                <w:color w:val="000000"/>
              </w:rPr>
              <w:t>280</w:t>
            </w:r>
          </w:p>
        </w:tc>
        <w:tc>
          <w:tcPr>
            <w:tcW w:w="1090" w:type="dxa"/>
            <w:tcBorders>
              <w:right w:val="single" w:sz="12" w:space="0" w:color="auto"/>
            </w:tcBorders>
          </w:tcPr>
          <w:p w:rsidR="00C71EEC" w:rsidRPr="00B524B6" w:rsidRDefault="00C71EEC" w:rsidP="00340AA4">
            <w:pPr>
              <w:spacing w:line="240" w:lineRule="auto"/>
              <w:jc w:val="center"/>
              <w:rPr>
                <w:rFonts w:eastAsia="Calibri"/>
                <w:color w:val="000000"/>
                <w:sz w:val="18"/>
                <w:szCs w:val="18"/>
              </w:rPr>
            </w:pPr>
            <w:r w:rsidRPr="00D11ED2">
              <w:rPr>
                <w:rFonts w:eastAsia="Calibri"/>
                <w:color w:val="000000"/>
              </w:rPr>
              <w:t>pass</w:t>
            </w:r>
          </w:p>
        </w:tc>
      </w:tr>
      <w:tr w:rsidR="00C71EEC" w:rsidRPr="00C1589C" w:rsidTr="00340AA4">
        <w:trPr>
          <w:trHeight w:val="418"/>
          <w:jc w:val="center"/>
        </w:trPr>
        <w:tc>
          <w:tcPr>
            <w:tcW w:w="1403" w:type="dxa"/>
            <w:vMerge w:val="restart"/>
            <w:tcBorders>
              <w:left w:val="single" w:sz="12" w:space="0" w:color="auto"/>
            </w:tcBorders>
            <w:shd w:val="clear" w:color="auto" w:fill="auto"/>
            <w:vAlign w:val="center"/>
          </w:tcPr>
          <w:p w:rsidR="00C71EEC" w:rsidRDefault="00C71EEC" w:rsidP="00340AA4">
            <w:pPr>
              <w:spacing w:line="240" w:lineRule="auto"/>
              <w:rPr>
                <w:rFonts w:eastAsia="Calibri"/>
                <w:color w:val="000000"/>
              </w:rPr>
            </w:pPr>
            <w:proofErr w:type="spellStart"/>
            <w:r w:rsidRPr="00C1589C">
              <w:rPr>
                <w:rFonts w:eastAsia="Calibri"/>
                <w:color w:val="000000"/>
              </w:rPr>
              <w:t>Tocopherol</w:t>
            </w:r>
            <w:proofErr w:type="spellEnd"/>
            <w:r w:rsidRPr="00C1589C">
              <w:rPr>
                <w:rFonts w:eastAsia="Calibri"/>
                <w:color w:val="000000"/>
              </w:rPr>
              <w:t>/</w:t>
            </w:r>
          </w:p>
          <w:p w:rsidR="00C71EEC" w:rsidRPr="00C1589C" w:rsidRDefault="00C71EEC" w:rsidP="00340AA4">
            <w:pPr>
              <w:spacing w:line="240" w:lineRule="auto"/>
              <w:rPr>
                <w:rFonts w:eastAsia="Calibri"/>
                <w:color w:val="000000"/>
              </w:rPr>
            </w:pPr>
            <w:r w:rsidRPr="00C1589C">
              <w:rPr>
                <w:rFonts w:eastAsia="Calibri"/>
                <w:color w:val="000000"/>
              </w:rPr>
              <w:t>rosemary extract blend: 4,000 ppm</w:t>
            </w:r>
          </w:p>
        </w:tc>
        <w:tc>
          <w:tcPr>
            <w:tcW w:w="992" w:type="dxa"/>
            <w:tcBorders>
              <w:right w:val="single" w:sz="12" w:space="0" w:color="auto"/>
            </w:tcBorders>
            <w:shd w:val="clear" w:color="auto" w:fill="auto"/>
            <w:tcMar>
              <w:left w:w="57" w:type="dxa"/>
              <w:right w:w="57" w:type="dxa"/>
            </w:tcMar>
            <w:vAlign w:val="center"/>
          </w:tcPr>
          <w:p w:rsidR="00C71EEC" w:rsidRPr="00C1589C" w:rsidRDefault="00C71EEC" w:rsidP="00340AA4">
            <w:pPr>
              <w:spacing w:line="240" w:lineRule="auto"/>
              <w:rPr>
                <w:rFonts w:eastAsia="Calibri"/>
                <w:color w:val="000000"/>
              </w:rPr>
            </w:pPr>
            <w:r w:rsidRPr="00315F75">
              <w:rPr>
                <w:rFonts w:eastAsia="Calibri"/>
                <w:color w:val="000000"/>
              </w:rPr>
              <w:t>50 kg bag</w:t>
            </w:r>
          </w:p>
        </w:tc>
        <w:tc>
          <w:tcPr>
            <w:tcW w:w="1134" w:type="dxa"/>
            <w:tcBorders>
              <w:left w:val="single" w:sz="12" w:space="0" w:color="auto"/>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628</w:t>
            </w:r>
          </w:p>
        </w:tc>
        <w:tc>
          <w:tcPr>
            <w:tcW w:w="851" w:type="dxa"/>
            <w:tcBorders>
              <w:lef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488</w:t>
            </w:r>
          </w:p>
        </w:tc>
        <w:tc>
          <w:tcPr>
            <w:tcW w:w="860" w:type="dxa"/>
            <w:shd w:val="clear" w:color="auto" w:fill="auto"/>
            <w:vAlign w:val="center"/>
          </w:tcPr>
          <w:p w:rsidR="00C71EEC" w:rsidRPr="00620103" w:rsidRDefault="00C71EEC" w:rsidP="00340AA4">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3.4</w:t>
            </w:r>
          </w:p>
        </w:tc>
        <w:tc>
          <w:tcPr>
            <w:tcW w:w="992" w:type="dxa"/>
            <w:tcBorders>
              <w:left w:val="single" w:sz="12" w:space="0" w:color="auto"/>
            </w:tcBorders>
            <w:vAlign w:val="center"/>
          </w:tcPr>
          <w:p w:rsidR="00C71EEC" w:rsidRPr="00620103" w:rsidRDefault="00C71EEC" w:rsidP="00340AA4">
            <w:pPr>
              <w:spacing w:line="240" w:lineRule="auto"/>
              <w:jc w:val="center"/>
              <w:rPr>
                <w:rFonts w:eastAsia="Calibri"/>
                <w:color w:val="000000"/>
              </w:rPr>
            </w:pPr>
            <w:r>
              <w:rPr>
                <w:rFonts w:eastAsia="Calibri"/>
                <w:color w:val="000000"/>
              </w:rPr>
              <w:t>277</w:t>
            </w:r>
          </w:p>
        </w:tc>
        <w:tc>
          <w:tcPr>
            <w:tcW w:w="1090" w:type="dxa"/>
            <w:tcBorders>
              <w:right w:val="single" w:sz="12" w:space="0" w:color="auto"/>
            </w:tcBorders>
          </w:tcPr>
          <w:p w:rsidR="00C71EEC" w:rsidRPr="00B524B6" w:rsidRDefault="00C71EEC" w:rsidP="00340AA4">
            <w:pPr>
              <w:spacing w:line="240" w:lineRule="auto"/>
              <w:jc w:val="center"/>
              <w:rPr>
                <w:rFonts w:eastAsia="Calibri"/>
                <w:color w:val="000000"/>
                <w:sz w:val="18"/>
                <w:szCs w:val="18"/>
              </w:rPr>
            </w:pPr>
            <w:r w:rsidRPr="00D11ED2">
              <w:rPr>
                <w:rFonts w:eastAsia="Calibri"/>
                <w:color w:val="000000"/>
              </w:rPr>
              <w:t>pass</w:t>
            </w:r>
          </w:p>
        </w:tc>
      </w:tr>
      <w:tr w:rsidR="00C71EEC" w:rsidRPr="00C1589C" w:rsidTr="00340AA4">
        <w:trPr>
          <w:trHeight w:val="511"/>
          <w:jc w:val="center"/>
        </w:trPr>
        <w:tc>
          <w:tcPr>
            <w:tcW w:w="1403" w:type="dxa"/>
            <w:vMerge/>
            <w:tcBorders>
              <w:left w:val="single" w:sz="12" w:space="0" w:color="auto"/>
            </w:tcBorders>
            <w:shd w:val="clear" w:color="auto" w:fill="auto"/>
            <w:vAlign w:val="center"/>
          </w:tcPr>
          <w:p w:rsidR="00C71EEC" w:rsidRPr="00C1589C" w:rsidRDefault="00C71EEC" w:rsidP="00340AA4">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C71EEC" w:rsidRPr="00315F75" w:rsidRDefault="00C71EEC" w:rsidP="00340AA4">
            <w:pPr>
              <w:spacing w:line="240" w:lineRule="auto"/>
              <w:rPr>
                <w:rFonts w:eastAsia="Calibri"/>
                <w:color w:val="000000"/>
              </w:rPr>
            </w:pPr>
            <w:r w:rsidRPr="00315F75">
              <w:rPr>
                <w:rFonts w:eastAsia="Calibri"/>
                <w:color w:val="000000"/>
              </w:rPr>
              <w:t>1 ton bag</w:t>
            </w:r>
          </w:p>
        </w:tc>
        <w:tc>
          <w:tcPr>
            <w:tcW w:w="1134" w:type="dxa"/>
            <w:tcBorders>
              <w:left w:val="single" w:sz="12" w:space="0" w:color="auto"/>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752</w:t>
            </w:r>
          </w:p>
        </w:tc>
        <w:tc>
          <w:tcPr>
            <w:tcW w:w="851" w:type="dxa"/>
            <w:tcBorders>
              <w:lef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p>
        </w:tc>
        <w:tc>
          <w:tcPr>
            <w:tcW w:w="860" w:type="dxa"/>
            <w:shd w:val="clear" w:color="auto" w:fill="auto"/>
            <w:vAlign w:val="center"/>
          </w:tcPr>
          <w:p w:rsidR="00C71EEC" w:rsidRPr="00620103" w:rsidRDefault="00C71EEC" w:rsidP="00340AA4">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C71EEC" w:rsidRPr="00620103" w:rsidRDefault="00C71EEC" w:rsidP="00340AA4">
            <w:pPr>
              <w:spacing w:line="240" w:lineRule="auto"/>
              <w:jc w:val="center"/>
              <w:rPr>
                <w:rFonts w:eastAsia="Calibri"/>
                <w:color w:val="000000"/>
              </w:rPr>
            </w:pPr>
            <w:r w:rsidRPr="00620103">
              <w:rPr>
                <w:rFonts w:eastAsia="Calibri"/>
                <w:color w:val="000000"/>
              </w:rPr>
              <w:t>3.5</w:t>
            </w:r>
          </w:p>
        </w:tc>
        <w:tc>
          <w:tcPr>
            <w:tcW w:w="992" w:type="dxa"/>
            <w:tcBorders>
              <w:left w:val="single" w:sz="12" w:space="0" w:color="auto"/>
            </w:tcBorders>
            <w:vAlign w:val="center"/>
          </w:tcPr>
          <w:p w:rsidR="00C71EEC" w:rsidRPr="00620103" w:rsidRDefault="00C71EEC" w:rsidP="00340AA4">
            <w:pPr>
              <w:spacing w:line="240" w:lineRule="auto"/>
              <w:jc w:val="center"/>
              <w:rPr>
                <w:rFonts w:eastAsia="Calibri"/>
                <w:color w:val="000000"/>
              </w:rPr>
            </w:pPr>
            <w:r>
              <w:rPr>
                <w:rFonts w:eastAsia="Calibri"/>
                <w:color w:val="000000"/>
              </w:rPr>
              <w:t>598</w:t>
            </w:r>
          </w:p>
        </w:tc>
        <w:tc>
          <w:tcPr>
            <w:tcW w:w="1090" w:type="dxa"/>
            <w:tcBorders>
              <w:right w:val="single" w:sz="12" w:space="0" w:color="auto"/>
            </w:tcBorders>
          </w:tcPr>
          <w:p w:rsidR="00C71EEC" w:rsidRPr="00B524B6" w:rsidRDefault="00C71EEC" w:rsidP="00340AA4">
            <w:pPr>
              <w:spacing w:line="240" w:lineRule="auto"/>
              <w:jc w:val="center"/>
              <w:rPr>
                <w:rFonts w:eastAsia="Calibri"/>
                <w:color w:val="000000"/>
                <w:sz w:val="18"/>
                <w:szCs w:val="18"/>
              </w:rPr>
            </w:pPr>
            <w:r w:rsidRPr="00D11ED2">
              <w:rPr>
                <w:rFonts w:eastAsia="Calibri"/>
                <w:color w:val="000000"/>
              </w:rPr>
              <w:t>pass</w:t>
            </w:r>
          </w:p>
        </w:tc>
      </w:tr>
    </w:tbl>
    <w:p w:rsidR="00C71EEC" w:rsidRPr="00C71EEC" w:rsidRDefault="00C71EEC" w:rsidP="00C71EEC">
      <w:pPr>
        <w:pStyle w:val="ListParagraph"/>
        <w:suppressAutoHyphens/>
        <w:spacing w:before="120" w:after="240" w:line="240" w:lineRule="atLeast"/>
        <w:ind w:left="1077" w:right="1134"/>
        <w:jc w:val="both"/>
        <w:rPr>
          <w:rFonts w:ascii="Times New Roman" w:eastAsia="Times New Roman" w:hAnsi="Times New Roman" w:cs="Times New Roman"/>
          <w:sz w:val="20"/>
          <w:szCs w:val="20"/>
        </w:rPr>
      </w:pPr>
      <w:r w:rsidRPr="00C71EEC">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C71EEC">
        <w:rPr>
          <w:rFonts w:ascii="Times New Roman" w:eastAsia="Times New Roman" w:hAnsi="Times New Roman" w:cs="Times New Roman"/>
          <w:sz w:val="20"/>
          <w:szCs w:val="20"/>
        </w:rPr>
        <w:t xml:space="preserve">Originally included as a 600ppm </w:t>
      </w:r>
      <w:proofErr w:type="spellStart"/>
      <w:r w:rsidRPr="00C71EEC">
        <w:rPr>
          <w:rFonts w:ascii="Times New Roman" w:eastAsia="Times New Roman" w:hAnsi="Times New Roman" w:cs="Times New Roman"/>
          <w:sz w:val="20"/>
          <w:szCs w:val="20"/>
        </w:rPr>
        <w:t>ethoxyquin</w:t>
      </w:r>
      <w:proofErr w:type="spellEnd"/>
      <w:r w:rsidRPr="00C71EEC">
        <w:rPr>
          <w:rFonts w:ascii="Times New Roman" w:eastAsia="Times New Roman" w:hAnsi="Times New Roman" w:cs="Times New Roman"/>
          <w:sz w:val="20"/>
          <w:szCs w:val="20"/>
        </w:rPr>
        <w:t xml:space="preserve"> treatment, but an error in dosing the fishmeal during the trial resulted in a much lower concentration.</w:t>
      </w:r>
    </w:p>
    <w:p w:rsidR="00C71EEC" w:rsidRPr="000F3942" w:rsidRDefault="00C71EEC" w:rsidP="00C71EEC">
      <w:pPr>
        <w:pStyle w:val="SingleTxtG"/>
      </w:pPr>
      <w:r>
        <w:t>3.</w:t>
      </w:r>
      <w:r>
        <w:tab/>
      </w:r>
      <w:r w:rsidRPr="002B3E88">
        <w:t xml:space="preserve">The </w:t>
      </w:r>
      <w:r>
        <w:t xml:space="preserve">12-month </w:t>
      </w:r>
      <w:r w:rsidRPr="002B3E88">
        <w:t xml:space="preserve">self-heating test </w:t>
      </w:r>
      <w:r>
        <w:t xml:space="preserve">was </w:t>
      </w:r>
      <w:r w:rsidRPr="002B3E88">
        <w:t xml:space="preserve">performed on </w:t>
      </w:r>
      <w:r>
        <w:t xml:space="preserve">all the treatments. All the treatments passed the test (including the mistakenly low </w:t>
      </w:r>
      <w:proofErr w:type="spellStart"/>
      <w:r>
        <w:t>ethoxyquin</w:t>
      </w:r>
      <w:proofErr w:type="spellEnd"/>
      <w:r>
        <w:t xml:space="preserve"> dosage levels of 30ppm (50 kg bag) and 50 ppm (1 ton bag)).</w:t>
      </w:r>
    </w:p>
    <w:p w:rsidR="00C71EEC" w:rsidRPr="000F3942" w:rsidRDefault="00C71EEC" w:rsidP="00C71EEC">
      <w:pPr>
        <w:pStyle w:val="SingleTxtG"/>
      </w:pPr>
      <w:r>
        <w:t>4.</w:t>
      </w:r>
      <w:r>
        <w:tab/>
      </w:r>
      <w:r w:rsidRPr="000F3942">
        <w:t xml:space="preserve">The maximum temperature reached </w:t>
      </w:r>
      <w:r>
        <w:t>during the 24h self-heating test for all 12 treatments can be seen in Figure 3.  It is clear that the maximum temperature for each treatment was well below the maximum temperature of 200°C above which the sample would have failed the test and would therefore be deemed to have self-</w:t>
      </w:r>
      <w:proofErr w:type="spellStart"/>
      <w:r>
        <w:t>heating</w:t>
      </w:r>
      <w:proofErr w:type="spellEnd"/>
      <w:r>
        <w:t xml:space="preserve"> properties.  The maximum temperatures reached for the treatments are between 30 - 55°C below 200°C well below the 200°C maximum temperature defined as the upper limit in the methodology. </w:t>
      </w:r>
    </w:p>
    <w:p w:rsidR="00C71EEC" w:rsidRDefault="00C71EEC">
      <w:pPr>
        <w:suppressAutoHyphens w:val="0"/>
        <w:spacing w:line="240" w:lineRule="auto"/>
      </w:pPr>
      <w:r>
        <w:br w:type="page"/>
      </w:r>
    </w:p>
    <w:p w:rsidR="00C71EEC" w:rsidRDefault="00C71EEC" w:rsidP="00C71EEC">
      <w:pPr>
        <w:ind w:left="720" w:right="1134"/>
        <w:jc w:val="center"/>
      </w:pPr>
      <w:r>
        <w:rPr>
          <w:noProof/>
          <w:lang w:eastAsia="en-GB"/>
        </w:rPr>
        <w:lastRenderedPageBreak/>
        <mc:AlternateContent>
          <mc:Choice Requires="wps">
            <w:drawing>
              <wp:anchor distT="0" distB="0" distL="114300" distR="114300" simplePos="0" relativeHeight="251659264" behindDoc="0" locked="0" layoutInCell="1" allowOverlap="1" wp14:anchorId="38BA324F" wp14:editId="5A28E062">
                <wp:simplePos x="0" y="0"/>
                <wp:positionH relativeFrom="column">
                  <wp:posOffset>2019300</wp:posOffset>
                </wp:positionH>
                <wp:positionV relativeFrom="paragraph">
                  <wp:posOffset>257175</wp:posOffset>
                </wp:positionV>
                <wp:extent cx="4953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495300" cy="0"/>
                        </a:xfrm>
                        <a:prstGeom prst="line">
                          <a:avLst/>
                        </a:prstGeom>
                        <a:ln>
                          <a:solidFill>
                            <a:srgbClr val="FF0000"/>
                          </a:solidFill>
                          <a:prstDash val="dash"/>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pt,20.25pt" to="1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" strokecolor="red" strokeweight="3pt">
                <v:stroke dashstyle="dash"/>
                <v:shadow on="t" color="black" opacity="22937f" origin=",.5" offset="0,.63889mm"/>
              </v:line>
            </w:pict>
          </mc:Fallback>
        </mc:AlternateContent>
      </w:r>
      <w:r>
        <w:rPr>
          <w:noProof/>
          <w:lang w:eastAsia="en-GB"/>
        </w:rPr>
        <w:drawing>
          <wp:inline distT="0" distB="0" distL="0" distR="0" wp14:anchorId="6D34E7B7" wp14:editId="21AA48B3">
            <wp:extent cx="5731510" cy="4234180"/>
            <wp:effectExtent l="0" t="0" r="2540" b="1397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891AF34-2D5B-4A98-92CF-48B070977A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1EEC" w:rsidRPr="00C71EEC" w:rsidRDefault="00C71EEC" w:rsidP="00C71EEC">
      <w:pPr>
        <w:spacing w:before="120"/>
        <w:ind w:left="720" w:right="1134"/>
        <w:jc w:val="center"/>
        <w:rPr>
          <w:b/>
        </w:rPr>
      </w:pPr>
      <w:r w:rsidRPr="00C71EEC">
        <w:rPr>
          <w:b/>
        </w:rPr>
        <w:t>Figure 3: Maximum temperatures reached during self-heating test on all treatments performed at 12 months.</w:t>
      </w:r>
    </w:p>
    <w:p w:rsidR="00C71EEC" w:rsidRPr="000F1FD4" w:rsidRDefault="00C71EEC" w:rsidP="00C71EEC">
      <w:pPr>
        <w:pStyle w:val="HChG"/>
        <w:rPr>
          <w:lang w:val="en-US"/>
        </w:rPr>
      </w:pPr>
      <w:r>
        <w:rPr>
          <w:lang w:val="en-US"/>
        </w:rPr>
        <w:tab/>
      </w:r>
      <w:r>
        <w:rPr>
          <w:lang w:val="en-US"/>
        </w:rPr>
        <w:tab/>
      </w:r>
      <w:r w:rsidRPr="000F1FD4">
        <w:rPr>
          <w:lang w:val="en-US"/>
        </w:rPr>
        <w:t>Conclusions</w:t>
      </w:r>
    </w:p>
    <w:p w:rsidR="00C71EEC" w:rsidRDefault="00C71EEC" w:rsidP="00C71EEC">
      <w:pPr>
        <w:pStyle w:val="SingleTxtG"/>
      </w:pPr>
      <w:r>
        <w:t>5.</w:t>
      </w:r>
      <w:r>
        <w:tab/>
        <w:t xml:space="preserve">The conclusions on the test results from the laboratory that had performed the analyses are copied below: </w:t>
      </w:r>
    </w:p>
    <w:p w:rsidR="00C71EEC" w:rsidRPr="003331EE" w:rsidRDefault="00C71EEC" w:rsidP="00C71EEC">
      <w:pPr>
        <w:pStyle w:val="SingleTxtG"/>
        <w:ind w:firstLine="567"/>
      </w:pPr>
      <w:r w:rsidRPr="003331EE">
        <w:rPr>
          <w:w w:val="105"/>
        </w:rPr>
        <w:t>Based</w:t>
      </w:r>
      <w:r w:rsidRPr="003331EE">
        <w:rPr>
          <w:spacing w:val="-10"/>
          <w:w w:val="105"/>
        </w:rPr>
        <w:t xml:space="preserve"> </w:t>
      </w:r>
      <w:r w:rsidRPr="003331EE">
        <w:rPr>
          <w:w w:val="105"/>
        </w:rPr>
        <w:t>on</w:t>
      </w:r>
      <w:r w:rsidRPr="003331EE">
        <w:rPr>
          <w:spacing w:val="-13"/>
          <w:w w:val="105"/>
        </w:rPr>
        <w:t xml:space="preserve"> </w:t>
      </w:r>
      <w:r w:rsidRPr="003331EE">
        <w:rPr>
          <w:w w:val="105"/>
        </w:rPr>
        <w:t>the</w:t>
      </w:r>
      <w:r w:rsidRPr="003331EE">
        <w:rPr>
          <w:spacing w:val="-3"/>
          <w:w w:val="105"/>
        </w:rPr>
        <w:t xml:space="preserve"> </w:t>
      </w:r>
      <w:r w:rsidRPr="003331EE">
        <w:rPr>
          <w:w w:val="105"/>
        </w:rPr>
        <w:t>above</w:t>
      </w:r>
      <w:r w:rsidRPr="003331EE">
        <w:rPr>
          <w:spacing w:val="-14"/>
          <w:w w:val="105"/>
        </w:rPr>
        <w:t xml:space="preserve"> </w:t>
      </w:r>
      <w:r w:rsidRPr="003331EE">
        <w:rPr>
          <w:w w:val="105"/>
        </w:rPr>
        <w:t>test</w:t>
      </w:r>
      <w:r w:rsidRPr="003331EE">
        <w:rPr>
          <w:spacing w:val="-3"/>
          <w:w w:val="105"/>
        </w:rPr>
        <w:t xml:space="preserve"> </w:t>
      </w:r>
      <w:r w:rsidRPr="003331EE">
        <w:rPr>
          <w:w w:val="105"/>
        </w:rPr>
        <w:t>results,</w:t>
      </w:r>
      <w:r w:rsidRPr="003331EE">
        <w:rPr>
          <w:spacing w:val="-13"/>
          <w:w w:val="105"/>
        </w:rPr>
        <w:t xml:space="preserve"> </w:t>
      </w:r>
      <w:r w:rsidRPr="003331EE">
        <w:rPr>
          <w:w w:val="105"/>
        </w:rPr>
        <w:t>the</w:t>
      </w:r>
      <w:r w:rsidRPr="003331EE">
        <w:rPr>
          <w:spacing w:val="-11"/>
          <w:w w:val="105"/>
        </w:rPr>
        <w:t xml:space="preserve"> </w:t>
      </w:r>
      <w:r w:rsidRPr="003331EE">
        <w:rPr>
          <w:w w:val="105"/>
        </w:rPr>
        <w:t>following</w:t>
      </w:r>
      <w:r w:rsidRPr="003331EE">
        <w:rPr>
          <w:spacing w:val="8"/>
          <w:w w:val="105"/>
        </w:rPr>
        <w:t xml:space="preserve"> </w:t>
      </w:r>
      <w:r w:rsidRPr="003331EE">
        <w:rPr>
          <w:w w:val="105"/>
        </w:rPr>
        <w:t>conclusions were</w:t>
      </w:r>
      <w:r w:rsidRPr="003331EE">
        <w:rPr>
          <w:spacing w:val="-2"/>
          <w:w w:val="105"/>
        </w:rPr>
        <w:t xml:space="preserve"> </w:t>
      </w:r>
      <w:r w:rsidRPr="003331EE">
        <w:rPr>
          <w:w w:val="105"/>
        </w:rPr>
        <w:t>made:</w:t>
      </w:r>
    </w:p>
    <w:p w:rsidR="00C71EEC" w:rsidRPr="003331EE" w:rsidRDefault="00C71EEC" w:rsidP="00C71EEC">
      <w:pPr>
        <w:pStyle w:val="SingleTxtG"/>
        <w:ind w:left="1701"/>
      </w:pPr>
      <w:r>
        <w:rPr>
          <w:w w:val="105"/>
        </w:rPr>
        <w:t>(a)</w:t>
      </w:r>
      <w:r>
        <w:rPr>
          <w:w w:val="105"/>
        </w:rPr>
        <w:tab/>
      </w:r>
      <w:r w:rsidRPr="003331EE">
        <w:rPr>
          <w:w w:val="105"/>
        </w:rPr>
        <w:t>The</w:t>
      </w:r>
      <w:r w:rsidRPr="003331EE">
        <w:rPr>
          <w:spacing w:val="9"/>
          <w:w w:val="105"/>
        </w:rPr>
        <w:t xml:space="preserve"> </w:t>
      </w:r>
      <w:r w:rsidRPr="003331EE">
        <w:rPr>
          <w:w w:val="105"/>
        </w:rPr>
        <w:t>material</w:t>
      </w:r>
      <w:r w:rsidRPr="003331EE">
        <w:rPr>
          <w:spacing w:val="4"/>
          <w:w w:val="105"/>
        </w:rPr>
        <w:t xml:space="preserve"> </w:t>
      </w:r>
      <w:r w:rsidRPr="003331EE">
        <w:rPr>
          <w:w w:val="105"/>
        </w:rPr>
        <w:t>represented</w:t>
      </w:r>
      <w:r w:rsidRPr="003331EE">
        <w:rPr>
          <w:spacing w:val="15"/>
          <w:w w:val="105"/>
        </w:rPr>
        <w:t xml:space="preserve"> </w:t>
      </w:r>
      <w:r w:rsidRPr="003331EE">
        <w:rPr>
          <w:w w:val="105"/>
        </w:rPr>
        <w:t>by</w:t>
      </w:r>
      <w:r w:rsidRPr="003331EE">
        <w:rPr>
          <w:spacing w:val="-5"/>
          <w:w w:val="105"/>
        </w:rPr>
        <w:t xml:space="preserve"> </w:t>
      </w:r>
      <w:r w:rsidRPr="003331EE">
        <w:rPr>
          <w:w w:val="105"/>
        </w:rPr>
        <w:t>samples</w:t>
      </w:r>
      <w:r w:rsidRPr="003331EE">
        <w:rPr>
          <w:spacing w:val="4"/>
          <w:w w:val="105"/>
        </w:rPr>
        <w:t xml:space="preserve"> </w:t>
      </w:r>
      <w:r w:rsidRPr="003331EE">
        <w:rPr>
          <w:w w:val="105"/>
        </w:rPr>
        <w:t>#16121-1</w:t>
      </w:r>
      <w:r w:rsidRPr="003331EE">
        <w:rPr>
          <w:spacing w:val="5"/>
          <w:w w:val="105"/>
        </w:rPr>
        <w:t xml:space="preserve"> </w:t>
      </w:r>
      <w:r w:rsidRPr="003331EE">
        <w:rPr>
          <w:w w:val="105"/>
        </w:rPr>
        <w:t>-16121-12</w:t>
      </w:r>
      <w:r w:rsidRPr="003331EE">
        <w:rPr>
          <w:spacing w:val="10"/>
          <w:w w:val="105"/>
        </w:rPr>
        <w:t xml:space="preserve"> </w:t>
      </w:r>
      <w:r w:rsidRPr="003331EE">
        <w:rPr>
          <w:w w:val="105"/>
        </w:rPr>
        <w:t>did</w:t>
      </w:r>
      <w:r w:rsidRPr="003331EE">
        <w:rPr>
          <w:spacing w:val="3"/>
          <w:w w:val="105"/>
        </w:rPr>
        <w:t xml:space="preserve"> </w:t>
      </w:r>
      <w:r w:rsidRPr="003331EE">
        <w:rPr>
          <w:w w:val="105"/>
        </w:rPr>
        <w:t>not</w:t>
      </w:r>
      <w:r w:rsidRPr="003331EE">
        <w:rPr>
          <w:spacing w:val="-1"/>
          <w:w w:val="105"/>
        </w:rPr>
        <w:t xml:space="preserve"> </w:t>
      </w:r>
      <w:r w:rsidRPr="003331EE">
        <w:rPr>
          <w:w w:val="105"/>
        </w:rPr>
        <w:t>appear</w:t>
      </w:r>
      <w:r w:rsidRPr="003331EE">
        <w:rPr>
          <w:spacing w:val="8"/>
          <w:w w:val="105"/>
        </w:rPr>
        <w:t xml:space="preserve"> </w:t>
      </w:r>
      <w:r w:rsidRPr="003331EE">
        <w:rPr>
          <w:w w:val="105"/>
        </w:rPr>
        <w:t>to</w:t>
      </w:r>
      <w:r w:rsidRPr="003331EE">
        <w:rPr>
          <w:spacing w:val="9"/>
          <w:w w:val="105"/>
        </w:rPr>
        <w:t xml:space="preserve"> </w:t>
      </w:r>
      <w:r w:rsidRPr="003331EE">
        <w:rPr>
          <w:w w:val="105"/>
        </w:rPr>
        <w:t>be</w:t>
      </w:r>
      <w:r w:rsidRPr="003331EE">
        <w:rPr>
          <w:spacing w:val="-8"/>
          <w:w w:val="105"/>
        </w:rPr>
        <w:t xml:space="preserve"> </w:t>
      </w:r>
      <w:r w:rsidRPr="003331EE">
        <w:rPr>
          <w:w w:val="105"/>
        </w:rPr>
        <w:t>Division</w:t>
      </w:r>
      <w:r w:rsidRPr="003331EE">
        <w:rPr>
          <w:spacing w:val="-7"/>
          <w:w w:val="105"/>
        </w:rPr>
        <w:t xml:space="preserve"> </w:t>
      </w:r>
      <w:r w:rsidRPr="003331EE">
        <w:rPr>
          <w:w w:val="105"/>
        </w:rPr>
        <w:t>4.2</w:t>
      </w:r>
      <w:r w:rsidRPr="003331EE">
        <w:rPr>
          <w:w w:val="104"/>
        </w:rPr>
        <w:t xml:space="preserve"> </w:t>
      </w:r>
      <w:r w:rsidRPr="003331EE">
        <w:rPr>
          <w:w w:val="105"/>
        </w:rPr>
        <w:t>Self-Heating</w:t>
      </w:r>
      <w:r w:rsidRPr="003331EE">
        <w:rPr>
          <w:spacing w:val="20"/>
          <w:w w:val="105"/>
        </w:rPr>
        <w:t xml:space="preserve"> </w:t>
      </w:r>
      <w:r w:rsidRPr="003331EE">
        <w:rPr>
          <w:w w:val="105"/>
        </w:rPr>
        <w:t>Substances,</w:t>
      </w:r>
      <w:r w:rsidRPr="003331EE">
        <w:rPr>
          <w:spacing w:val="12"/>
          <w:w w:val="105"/>
        </w:rPr>
        <w:t xml:space="preserve"> </w:t>
      </w:r>
      <w:r w:rsidRPr="003331EE">
        <w:rPr>
          <w:w w:val="105"/>
        </w:rPr>
        <w:t>as</w:t>
      </w:r>
      <w:r w:rsidRPr="003331EE">
        <w:rPr>
          <w:spacing w:val="-6"/>
          <w:w w:val="105"/>
        </w:rPr>
        <w:t xml:space="preserve"> </w:t>
      </w:r>
      <w:r w:rsidRPr="003331EE">
        <w:rPr>
          <w:w w:val="105"/>
        </w:rPr>
        <w:t>defined</w:t>
      </w:r>
      <w:r w:rsidRPr="003331EE">
        <w:rPr>
          <w:spacing w:val="10"/>
          <w:w w:val="105"/>
        </w:rPr>
        <w:t xml:space="preserve"> </w:t>
      </w:r>
      <w:r w:rsidRPr="003331EE">
        <w:rPr>
          <w:w w:val="105"/>
        </w:rPr>
        <w:t>by</w:t>
      </w:r>
      <w:r w:rsidRPr="003331EE">
        <w:rPr>
          <w:spacing w:val="-1"/>
          <w:w w:val="105"/>
        </w:rPr>
        <w:t xml:space="preserve"> </w:t>
      </w:r>
      <w:r w:rsidRPr="003331EE">
        <w:rPr>
          <w:w w:val="105"/>
        </w:rPr>
        <w:t>UN/DOT</w:t>
      </w:r>
      <w:r w:rsidRPr="003331EE">
        <w:rPr>
          <w:spacing w:val="3"/>
          <w:w w:val="105"/>
        </w:rPr>
        <w:t xml:space="preserve"> </w:t>
      </w:r>
      <w:r w:rsidRPr="003331EE">
        <w:rPr>
          <w:w w:val="105"/>
        </w:rPr>
        <w:t xml:space="preserve">criteria. </w:t>
      </w:r>
      <w:r w:rsidRPr="003331EE">
        <w:rPr>
          <w:spacing w:val="7"/>
          <w:w w:val="105"/>
        </w:rPr>
        <w:t xml:space="preserve"> </w:t>
      </w:r>
      <w:r w:rsidRPr="003331EE">
        <w:rPr>
          <w:w w:val="105"/>
        </w:rPr>
        <w:t>This</w:t>
      </w:r>
      <w:r w:rsidRPr="003331EE">
        <w:rPr>
          <w:spacing w:val="19"/>
          <w:w w:val="105"/>
        </w:rPr>
        <w:t xml:space="preserve"> </w:t>
      </w:r>
      <w:r w:rsidRPr="003331EE">
        <w:rPr>
          <w:w w:val="105"/>
        </w:rPr>
        <w:t>is</w:t>
      </w:r>
      <w:r w:rsidRPr="003331EE">
        <w:rPr>
          <w:spacing w:val="-2"/>
          <w:w w:val="105"/>
        </w:rPr>
        <w:t xml:space="preserve"> </w:t>
      </w:r>
      <w:r w:rsidRPr="003331EE">
        <w:rPr>
          <w:w w:val="105"/>
        </w:rPr>
        <w:t>because</w:t>
      </w:r>
      <w:r w:rsidRPr="003331EE">
        <w:rPr>
          <w:spacing w:val="2"/>
          <w:w w:val="105"/>
        </w:rPr>
        <w:t xml:space="preserve"> </w:t>
      </w:r>
      <w:r w:rsidRPr="003331EE">
        <w:rPr>
          <w:w w:val="105"/>
        </w:rPr>
        <w:t>negative</w:t>
      </w:r>
      <w:r w:rsidRPr="003331EE">
        <w:rPr>
          <w:spacing w:val="6"/>
          <w:w w:val="105"/>
        </w:rPr>
        <w:t xml:space="preserve"> </w:t>
      </w:r>
      <w:r w:rsidRPr="003331EE">
        <w:rPr>
          <w:w w:val="105"/>
        </w:rPr>
        <w:t>results</w:t>
      </w:r>
      <w:r w:rsidRPr="003331EE">
        <w:t xml:space="preserve"> were</w:t>
      </w:r>
      <w:r w:rsidRPr="003331EE">
        <w:rPr>
          <w:spacing w:val="20"/>
        </w:rPr>
        <w:t xml:space="preserve"> </w:t>
      </w:r>
      <w:r w:rsidRPr="003331EE">
        <w:t>obtained</w:t>
      </w:r>
      <w:r w:rsidRPr="003331EE">
        <w:rPr>
          <w:spacing w:val="36"/>
        </w:rPr>
        <w:t xml:space="preserve"> </w:t>
      </w:r>
      <w:r w:rsidRPr="003331EE">
        <w:t>in</w:t>
      </w:r>
      <w:r w:rsidRPr="003331EE">
        <w:rPr>
          <w:spacing w:val="-3"/>
        </w:rPr>
        <w:t xml:space="preserve"> </w:t>
      </w:r>
      <w:r w:rsidRPr="003331EE">
        <w:t>testing</w:t>
      </w:r>
      <w:r w:rsidRPr="003331EE">
        <w:rPr>
          <w:spacing w:val="27"/>
        </w:rPr>
        <w:t xml:space="preserve"> </w:t>
      </w:r>
      <w:r w:rsidRPr="003331EE">
        <w:t>of</w:t>
      </w:r>
      <w:r w:rsidRPr="003331EE">
        <w:rPr>
          <w:spacing w:val="22"/>
        </w:rPr>
        <w:t xml:space="preserve"> </w:t>
      </w:r>
      <w:r w:rsidRPr="003331EE">
        <w:t>all</w:t>
      </w:r>
      <w:r w:rsidRPr="003331EE">
        <w:rPr>
          <w:spacing w:val="12"/>
        </w:rPr>
        <w:t xml:space="preserve"> </w:t>
      </w:r>
      <w:r w:rsidRPr="003331EE">
        <w:t>samples</w:t>
      </w:r>
      <w:r w:rsidRPr="003331EE">
        <w:rPr>
          <w:spacing w:val="45"/>
        </w:rPr>
        <w:t xml:space="preserve"> </w:t>
      </w:r>
      <w:r w:rsidRPr="003331EE">
        <w:t>using a</w:t>
      </w:r>
      <w:r w:rsidRPr="003331EE">
        <w:rPr>
          <w:spacing w:val="30"/>
        </w:rPr>
        <w:t xml:space="preserve"> </w:t>
      </w:r>
      <w:r w:rsidRPr="003331EE">
        <w:t>100</w:t>
      </w:r>
      <w:r w:rsidRPr="003331EE">
        <w:rPr>
          <w:spacing w:val="2"/>
        </w:rPr>
        <w:t xml:space="preserve"> </w:t>
      </w:r>
      <w:r w:rsidRPr="003331EE">
        <w:t>mm</w:t>
      </w:r>
      <w:r w:rsidRPr="003331EE">
        <w:rPr>
          <w:spacing w:val="10"/>
        </w:rPr>
        <w:t xml:space="preserve"> </w:t>
      </w:r>
      <w:r w:rsidRPr="003331EE">
        <w:t>sample</w:t>
      </w:r>
      <w:r w:rsidRPr="003331EE">
        <w:rPr>
          <w:spacing w:val="20"/>
        </w:rPr>
        <w:t xml:space="preserve"> </w:t>
      </w:r>
      <w:r w:rsidRPr="003331EE">
        <w:t>cube</w:t>
      </w:r>
      <w:r w:rsidRPr="003331EE">
        <w:rPr>
          <w:spacing w:val="15"/>
        </w:rPr>
        <w:t xml:space="preserve"> </w:t>
      </w:r>
      <w:r w:rsidRPr="003331EE">
        <w:t>at</w:t>
      </w:r>
      <w:r w:rsidRPr="003331EE">
        <w:rPr>
          <w:spacing w:val="34"/>
        </w:rPr>
        <w:t xml:space="preserve"> </w:t>
      </w:r>
      <w:r w:rsidRPr="003331EE">
        <w:t>140</w:t>
      </w:r>
      <w:r w:rsidRPr="003331EE">
        <w:rPr>
          <w:spacing w:val="2"/>
        </w:rPr>
        <w:t xml:space="preserve"> </w:t>
      </w:r>
      <w:r>
        <w:rPr>
          <w:rFonts w:cs="Arial"/>
        </w:rPr>
        <w:t>°</w:t>
      </w:r>
      <w:r>
        <w:t>C</w:t>
      </w:r>
      <w:r w:rsidRPr="003331EE">
        <w:t>,</w:t>
      </w:r>
      <w:r w:rsidRPr="003331EE">
        <w:rPr>
          <w:spacing w:val="-10"/>
        </w:rPr>
        <w:t xml:space="preserve"> </w:t>
      </w:r>
      <w:r w:rsidRPr="003331EE">
        <w:t>when</w:t>
      </w:r>
      <w:r w:rsidRPr="003331EE">
        <w:rPr>
          <w:spacing w:val="24"/>
        </w:rPr>
        <w:t xml:space="preserve"> </w:t>
      </w:r>
      <w:r w:rsidRPr="003331EE">
        <w:t>the</w:t>
      </w:r>
      <w:r w:rsidRPr="003331EE">
        <w:rPr>
          <w:spacing w:val="54"/>
        </w:rPr>
        <w:t xml:space="preserve"> </w:t>
      </w:r>
      <w:r w:rsidRPr="003331EE">
        <w:rPr>
          <w:rFonts w:cs="Arial"/>
          <w:i/>
        </w:rPr>
        <w:t xml:space="preserve">UN </w:t>
      </w:r>
      <w:r w:rsidRPr="003331EE">
        <w:rPr>
          <w:rFonts w:cs="Arial"/>
          <w:i/>
          <w:w w:val="105"/>
        </w:rPr>
        <w:t>Test</w:t>
      </w:r>
      <w:r w:rsidRPr="003331EE">
        <w:rPr>
          <w:rFonts w:cs="Arial"/>
          <w:i/>
          <w:spacing w:val="-29"/>
          <w:w w:val="105"/>
        </w:rPr>
        <w:t xml:space="preserve"> </w:t>
      </w:r>
      <w:r w:rsidRPr="003331EE">
        <w:rPr>
          <w:rFonts w:cs="Arial"/>
          <w:i/>
          <w:w w:val="105"/>
        </w:rPr>
        <w:t>N.4,</w:t>
      </w:r>
      <w:r w:rsidRPr="003331EE">
        <w:rPr>
          <w:rFonts w:cs="Arial"/>
          <w:i/>
          <w:spacing w:val="61"/>
          <w:w w:val="105"/>
        </w:rPr>
        <w:t xml:space="preserve"> </w:t>
      </w:r>
      <w:r w:rsidRPr="003331EE">
        <w:rPr>
          <w:rFonts w:cs="Arial"/>
          <w:i/>
          <w:w w:val="105"/>
        </w:rPr>
        <w:t>Test</w:t>
      </w:r>
      <w:r w:rsidRPr="003331EE">
        <w:rPr>
          <w:rFonts w:cs="Arial"/>
          <w:i/>
          <w:spacing w:val="-19"/>
          <w:w w:val="105"/>
        </w:rPr>
        <w:t xml:space="preserve"> </w:t>
      </w:r>
      <w:r w:rsidRPr="003331EE">
        <w:rPr>
          <w:rFonts w:cs="Arial"/>
          <w:i/>
          <w:w w:val="105"/>
        </w:rPr>
        <w:t>Method</w:t>
      </w:r>
      <w:r w:rsidRPr="003331EE">
        <w:rPr>
          <w:rFonts w:cs="Arial"/>
          <w:i/>
          <w:spacing w:val="2"/>
          <w:w w:val="105"/>
        </w:rPr>
        <w:t xml:space="preserve"> </w:t>
      </w:r>
      <w:r w:rsidRPr="003331EE">
        <w:rPr>
          <w:rFonts w:cs="Arial"/>
          <w:i/>
          <w:w w:val="105"/>
        </w:rPr>
        <w:t>for</w:t>
      </w:r>
      <w:r w:rsidRPr="003331EE">
        <w:rPr>
          <w:rFonts w:cs="Arial"/>
          <w:i/>
          <w:spacing w:val="2"/>
          <w:w w:val="105"/>
        </w:rPr>
        <w:t xml:space="preserve"> </w:t>
      </w:r>
      <w:r w:rsidRPr="003331EE">
        <w:rPr>
          <w:rFonts w:cs="Arial"/>
          <w:i/>
          <w:w w:val="105"/>
        </w:rPr>
        <w:t>Self-Heating</w:t>
      </w:r>
      <w:r w:rsidRPr="003331EE">
        <w:rPr>
          <w:rFonts w:cs="Arial"/>
          <w:i/>
          <w:spacing w:val="18"/>
          <w:w w:val="105"/>
        </w:rPr>
        <w:t xml:space="preserve"> </w:t>
      </w:r>
      <w:r w:rsidRPr="003331EE">
        <w:rPr>
          <w:rFonts w:cs="Arial"/>
          <w:i/>
          <w:w w:val="105"/>
        </w:rPr>
        <w:t>Substances</w:t>
      </w:r>
      <w:r w:rsidRPr="003331EE">
        <w:rPr>
          <w:rFonts w:cs="Arial"/>
          <w:i/>
          <w:spacing w:val="37"/>
          <w:w w:val="105"/>
        </w:rPr>
        <w:t xml:space="preserve"> </w:t>
      </w:r>
      <w:r w:rsidRPr="003331EE">
        <w:rPr>
          <w:rFonts w:cs="Arial"/>
          <w:i/>
          <w:w w:val="105"/>
        </w:rPr>
        <w:t>was</w:t>
      </w:r>
      <w:r w:rsidRPr="003331EE">
        <w:rPr>
          <w:rFonts w:cs="Arial"/>
          <w:i/>
          <w:spacing w:val="-17"/>
          <w:w w:val="105"/>
        </w:rPr>
        <w:t xml:space="preserve"> </w:t>
      </w:r>
      <w:r w:rsidRPr="003331EE">
        <w:rPr>
          <w:rFonts w:cs="Arial"/>
          <w:w w:val="105"/>
        </w:rPr>
        <w:t>performed</w:t>
      </w:r>
      <w:r w:rsidRPr="003331EE">
        <w:rPr>
          <w:rFonts w:cs="Arial"/>
          <w:spacing w:val="20"/>
          <w:w w:val="105"/>
        </w:rPr>
        <w:t xml:space="preserve"> </w:t>
      </w:r>
      <w:r w:rsidRPr="003331EE">
        <w:rPr>
          <w:rFonts w:cs="Arial"/>
          <w:w w:val="105"/>
        </w:rPr>
        <w:t>on</w:t>
      </w:r>
      <w:r w:rsidRPr="003331EE">
        <w:rPr>
          <w:rFonts w:cs="Arial"/>
          <w:spacing w:val="5"/>
          <w:w w:val="105"/>
        </w:rPr>
        <w:t xml:space="preserve"> </w:t>
      </w:r>
      <w:r w:rsidRPr="003331EE">
        <w:rPr>
          <w:rFonts w:cs="Arial"/>
          <w:w w:val="105"/>
        </w:rPr>
        <w:t>the</w:t>
      </w:r>
      <w:r w:rsidRPr="003331EE">
        <w:rPr>
          <w:rFonts w:cs="Arial"/>
          <w:spacing w:val="24"/>
          <w:w w:val="105"/>
        </w:rPr>
        <w:t xml:space="preserve"> </w:t>
      </w:r>
      <w:r w:rsidRPr="003331EE">
        <w:rPr>
          <w:rFonts w:cs="Arial"/>
          <w:w w:val="105"/>
        </w:rPr>
        <w:t>material.</w:t>
      </w:r>
    </w:p>
    <w:p w:rsidR="00C71EEC" w:rsidRDefault="00C71EEC" w:rsidP="00C71EEC">
      <w:pPr>
        <w:pStyle w:val="SingleTxtG"/>
      </w:pPr>
      <w:r>
        <w:t>6.</w:t>
      </w:r>
      <w:r>
        <w:tab/>
        <w:t xml:space="preserve">The results therefore indicate that the alternative antioxidants, BHT and the natural </w:t>
      </w:r>
      <w:proofErr w:type="spellStart"/>
      <w:r>
        <w:t>tocopherols</w:t>
      </w:r>
      <w:proofErr w:type="spellEnd"/>
      <w:r>
        <w:t xml:space="preserve"> and rosemary extract blend, provide effective protection to fishmeal at the doses specified and over the trial period of 12 months.  The natural </w:t>
      </w:r>
      <w:proofErr w:type="spellStart"/>
      <w:r>
        <w:t>tocopherols</w:t>
      </w:r>
      <w:proofErr w:type="spellEnd"/>
      <w:r>
        <w:t xml:space="preserve"> and rosemary extract therefore provide another option for the </w:t>
      </w:r>
      <w:proofErr w:type="spellStart"/>
      <w:r>
        <w:t>staibilisation</w:t>
      </w:r>
      <w:proofErr w:type="spellEnd"/>
      <w:r>
        <w:t xml:space="preserve"> of fishmeal during shipping. </w:t>
      </w:r>
    </w:p>
    <w:p w:rsidR="00C71EEC" w:rsidRDefault="00C71EEC" w:rsidP="00C71EEC">
      <w:pPr>
        <w:pStyle w:val="SingleTxtG"/>
      </w:pPr>
      <w:r>
        <w:t>7.</w:t>
      </w:r>
      <w:r>
        <w:tab/>
        <w:t xml:space="preserve">In addition, a proposed dosage level, lower than currently advised in Special Provision 945 in the IMDG Code, of </w:t>
      </w:r>
      <w:proofErr w:type="spellStart"/>
      <w:r>
        <w:t>ethoxyquin</w:t>
      </w:r>
      <w:proofErr w:type="spellEnd"/>
      <w:r>
        <w:t xml:space="preserve"> at 300ppm also provided effective protection. However, it is clear that even lower dosage levels of </w:t>
      </w:r>
      <w:proofErr w:type="spellStart"/>
      <w:r>
        <w:t>ethoxyquin</w:t>
      </w:r>
      <w:proofErr w:type="spellEnd"/>
      <w:r>
        <w:t xml:space="preserve"> of 30 and 50 ppm effectively protected fishmeal even after 12 months of storage.  </w:t>
      </w:r>
    </w:p>
    <w:p w:rsidR="00C71EEC" w:rsidRDefault="00C71EEC" w:rsidP="00C71EEC">
      <w:pPr>
        <w:pStyle w:val="SingleTxtG"/>
      </w:pPr>
      <w:r>
        <w:lastRenderedPageBreak/>
        <w:t>8.</w:t>
      </w:r>
      <w:r>
        <w:tab/>
      </w:r>
      <w:r w:rsidRPr="003C1856">
        <w:t>The</w:t>
      </w:r>
      <w:r>
        <w:t xml:space="preserve"> current</w:t>
      </w:r>
      <w:r w:rsidRPr="003C1856">
        <w:t xml:space="preserve"> stipulated </w:t>
      </w:r>
      <w:r>
        <w:t xml:space="preserve">residual </w:t>
      </w:r>
      <w:r w:rsidRPr="003C1856">
        <w:t xml:space="preserve">antioxidant content of 100 ppm at the time of consignment could therefore be adjusted to allow for </w:t>
      </w:r>
      <w:proofErr w:type="spellStart"/>
      <w:r>
        <w:t>ethoxyquin’s</w:t>
      </w:r>
      <w:proofErr w:type="spellEnd"/>
      <w:r>
        <w:t xml:space="preserve"> excellent efficacy.  This is supported by the results of the negative self-heating test as well as the slow rate of oxidation seen in the results for the oxidation parameters in the stability test.</w:t>
      </w:r>
    </w:p>
    <w:p w:rsidR="00C71EEC" w:rsidRDefault="00C71EEC" w:rsidP="00C71EEC">
      <w:pPr>
        <w:pStyle w:val="SingleTxtG"/>
      </w:pPr>
      <w:r>
        <w:t>9.</w:t>
      </w:r>
      <w:r>
        <w:tab/>
        <w:t xml:space="preserve">In view of the latest very positive results IFFO proposes that the </w:t>
      </w:r>
      <w:r w:rsidRPr="004D0BBC">
        <w:rPr>
          <w:b/>
        </w:rPr>
        <w:t xml:space="preserve">residual </w:t>
      </w:r>
      <w:proofErr w:type="spellStart"/>
      <w:r w:rsidRPr="004D0BBC">
        <w:rPr>
          <w:b/>
        </w:rPr>
        <w:t>ethoxyquin</w:t>
      </w:r>
      <w:proofErr w:type="spellEnd"/>
      <w:r w:rsidRPr="004D0BBC">
        <w:rPr>
          <w:b/>
        </w:rPr>
        <w:t xml:space="preserve"> level</w:t>
      </w:r>
      <w:r>
        <w:t xml:space="preserve"> of 100ppm should therefore be reduced by 50% to 50ppm (instead of the previous request of 60 ppm), taking into account that a </w:t>
      </w:r>
      <w:r w:rsidRPr="004D0BBC">
        <w:rPr>
          <w:b/>
        </w:rPr>
        <w:t>dosage</w:t>
      </w:r>
      <w:r>
        <w:rPr>
          <w:b/>
        </w:rPr>
        <w:t xml:space="preserve"> </w:t>
      </w:r>
      <w:proofErr w:type="spellStart"/>
      <w:r>
        <w:rPr>
          <w:b/>
        </w:rPr>
        <w:t>ethoxyquin</w:t>
      </w:r>
      <w:proofErr w:type="spellEnd"/>
      <w:r w:rsidRPr="004D0BBC">
        <w:rPr>
          <w:b/>
        </w:rPr>
        <w:t xml:space="preserve"> level</w:t>
      </w:r>
      <w:r>
        <w:t xml:space="preserve"> of only 50ppm effectively protects fishmeal against spontaneous combustion. The residual antioxidant levels after 12 months of 48 – 75% along with the additional antioxidant activity of the </w:t>
      </w:r>
      <w:proofErr w:type="spellStart"/>
      <w:r>
        <w:t>ethoxyquin</w:t>
      </w:r>
      <w:proofErr w:type="spellEnd"/>
      <w:r>
        <w:t xml:space="preserve"> breakdown products assures that by measuring a 50 ppm residual </w:t>
      </w:r>
      <w:proofErr w:type="spellStart"/>
      <w:r>
        <w:t>ethoxyquin</w:t>
      </w:r>
      <w:proofErr w:type="spellEnd"/>
      <w:r>
        <w:t xml:space="preserve">, the sum of residual antioxidant will be more than sufficient to prevent spontaneous combustion. </w:t>
      </w:r>
    </w:p>
    <w:p w:rsidR="00C71EEC" w:rsidRDefault="00C71EEC" w:rsidP="00C71EEC">
      <w:pPr>
        <w:pStyle w:val="SingleTxtG"/>
      </w:pPr>
      <w:r>
        <w:t>10.</w:t>
      </w:r>
      <w:r>
        <w:tab/>
        <w:t xml:space="preserve">A proposed reduction in the dosage level of </w:t>
      </w:r>
      <w:proofErr w:type="spellStart"/>
      <w:r>
        <w:t>ethoxyquin</w:t>
      </w:r>
      <w:proofErr w:type="spellEnd"/>
      <w:r>
        <w:t xml:space="preserve"> for stabilisation of fishmeal during shipping is important because it assists in the animal feed and protein production sectors’ goals of seeking lower inclusions of feed additives in general.  This is especially important at a time when the two named antioxidants in the IMO Code are under a process of reauthorisation in the EU, and where authorisation may likely result in the setting of lower maximum levels in feed as well as maximum residue levels in meat and fish. Both </w:t>
      </w:r>
      <w:proofErr w:type="spellStart"/>
      <w:r>
        <w:t>ethoxyquin</w:t>
      </w:r>
      <w:proofErr w:type="spellEnd"/>
      <w:r>
        <w:t xml:space="preserve"> and BHT are in the reauthorisation process.</w:t>
      </w:r>
    </w:p>
    <w:p w:rsidR="00C71EEC" w:rsidRPr="00B227E7" w:rsidRDefault="00C71EEC" w:rsidP="00C71EEC">
      <w:pPr>
        <w:pStyle w:val="HChG"/>
        <w:rPr>
          <w:lang w:val="en-US"/>
        </w:rPr>
      </w:pPr>
      <w:r>
        <w:rPr>
          <w:lang w:val="en-US"/>
        </w:rPr>
        <w:tab/>
      </w:r>
      <w:r>
        <w:rPr>
          <w:lang w:val="en-US"/>
        </w:rPr>
        <w:tab/>
      </w:r>
      <w:r w:rsidRPr="00B227E7">
        <w:rPr>
          <w:lang w:val="en-US"/>
        </w:rPr>
        <w:t>Proposal</w:t>
      </w:r>
    </w:p>
    <w:p w:rsidR="00C71EEC" w:rsidRPr="00D025B0" w:rsidRDefault="00C71EEC" w:rsidP="00C71EEC">
      <w:pPr>
        <w:pStyle w:val="SingleTxtG"/>
      </w:pPr>
      <w:r w:rsidRPr="00D025B0">
        <w:t>The</w:t>
      </w:r>
      <w:r>
        <w:t xml:space="preserve"> following Special P</w:t>
      </w:r>
      <w:r w:rsidRPr="00D025B0">
        <w:t>rovisions</w:t>
      </w:r>
      <w:r>
        <w:t xml:space="preserve"> for fishmeal (UN 2216) are written into the </w:t>
      </w:r>
      <w:r w:rsidRPr="00D025B0">
        <w:t xml:space="preserve">current UN Model Regulations </w:t>
      </w:r>
      <w:r>
        <w:t xml:space="preserve">(Rev 19): </w:t>
      </w:r>
    </w:p>
    <w:p w:rsidR="00C71EEC" w:rsidRPr="00D025B0" w:rsidRDefault="00C71EEC" w:rsidP="00DB6C2E">
      <w:pPr>
        <w:pStyle w:val="SingleTxtG"/>
        <w:ind w:left="1701"/>
      </w:pPr>
      <w:r w:rsidRPr="00D025B0">
        <w:t>29</w:t>
      </w:r>
      <w:r w:rsidRPr="00D025B0">
        <w:tab/>
        <w:t xml:space="preserve">This substance is exempt from labelling, but shall be marked with the appropriate class or division. </w:t>
      </w:r>
    </w:p>
    <w:p w:rsidR="00C71EEC" w:rsidRPr="00D025B0" w:rsidRDefault="00C71EEC" w:rsidP="00DB6C2E">
      <w:pPr>
        <w:pStyle w:val="SingleTxtG"/>
        <w:ind w:left="1701"/>
      </w:pPr>
      <w:r w:rsidRPr="00D025B0">
        <w:t>117</w:t>
      </w:r>
      <w:r w:rsidRPr="00D025B0">
        <w:tab/>
        <w:t>Subject to these Regulations only when transported by sea.</w:t>
      </w:r>
    </w:p>
    <w:p w:rsidR="00C71EEC" w:rsidRPr="00D025B0" w:rsidRDefault="00C71EEC" w:rsidP="00DB6C2E">
      <w:pPr>
        <w:pStyle w:val="SingleTxtG"/>
        <w:ind w:left="1701"/>
      </w:pPr>
      <w:r w:rsidRPr="00D025B0">
        <w:t>300</w:t>
      </w:r>
      <w:r w:rsidRPr="00D025B0">
        <w:tab/>
        <w:t>Fish meal, fish scrap and krill meal shall not be transported if the temperature at the time of loading exceeds 35°C or 5°C above ambient temperature whichever is higher.</w:t>
      </w:r>
    </w:p>
    <w:p w:rsidR="00C71EEC" w:rsidRPr="00D025B0" w:rsidRDefault="00C71EEC" w:rsidP="00DB6C2E">
      <w:pPr>
        <w:pStyle w:val="SingleTxtG"/>
        <w:ind w:left="1701"/>
      </w:pPr>
      <w:r w:rsidRPr="00D025B0">
        <w:t>308</w:t>
      </w:r>
      <w:r w:rsidRPr="00D025B0">
        <w:tab/>
        <w:t>Fish meal or fish scrap shall contain at least 100 ppm (mg/kg) of antioxidant (</w:t>
      </w:r>
      <w:proofErr w:type="spellStart"/>
      <w:r w:rsidRPr="00D025B0">
        <w:t>ethoxyquin</w:t>
      </w:r>
      <w:proofErr w:type="spellEnd"/>
      <w:r w:rsidRPr="00D025B0">
        <w:t>) at the time of consignment.</w:t>
      </w:r>
    </w:p>
    <w:p w:rsidR="00C71EEC" w:rsidRDefault="00C71EEC" w:rsidP="00C71EEC">
      <w:pPr>
        <w:pStyle w:val="SingleTxtG"/>
      </w:pPr>
      <w:r w:rsidRPr="00D025B0">
        <w:t>The</w:t>
      </w:r>
      <w:r>
        <w:t xml:space="preserve"> IMDG Code has, apart from the SPs above, the following additional SPs:</w:t>
      </w:r>
    </w:p>
    <w:p w:rsidR="00C71EEC" w:rsidRPr="00D025B0" w:rsidRDefault="00C71EEC" w:rsidP="00DB6C2E">
      <w:pPr>
        <w:pStyle w:val="SingleTxtG"/>
        <w:ind w:left="1701"/>
      </w:pPr>
      <w:r w:rsidRPr="00D025B0">
        <w:t>907</w:t>
      </w:r>
      <w:r w:rsidRPr="00D025B0">
        <w:tab/>
        <w:t>The consignment shall be accompanied by a certificate from a recognized authority stating:</w:t>
      </w:r>
      <w:r>
        <w:t xml:space="preserve"> </w:t>
      </w:r>
      <w:r w:rsidRPr="00D025B0">
        <w:t>moisture content;</w:t>
      </w:r>
      <w:r>
        <w:t xml:space="preserve"> </w:t>
      </w:r>
      <w:r w:rsidRPr="00D025B0">
        <w:t>fat content;</w:t>
      </w:r>
      <w:r>
        <w:t xml:space="preserve"> </w:t>
      </w:r>
      <w:r w:rsidRPr="00D025B0">
        <w:t>details of anti-oxidant treatment for meals older than 6 months (for UN 2216 only);</w:t>
      </w:r>
      <w:r>
        <w:t xml:space="preserve"> </w:t>
      </w:r>
      <w:r w:rsidRPr="00D025B0">
        <w:t>anti-oxidant concentration at the time of shipment, which must exceed 100 mg/kg (for UN 2216 only);</w:t>
      </w:r>
      <w:r>
        <w:t xml:space="preserve"> </w:t>
      </w:r>
      <w:r w:rsidRPr="00D025B0">
        <w:t>packing, number of bags and total mass of the consignment;</w:t>
      </w:r>
      <w:r>
        <w:t xml:space="preserve"> </w:t>
      </w:r>
      <w:r w:rsidRPr="00D025B0">
        <w:t>temperature of fishmeal at the time of despatch from the factory;</w:t>
      </w:r>
      <w:r>
        <w:t xml:space="preserve"> </w:t>
      </w:r>
      <w:r w:rsidRPr="00D025B0">
        <w:t>date of production.</w:t>
      </w:r>
    </w:p>
    <w:p w:rsidR="00C71EEC" w:rsidRPr="00D025B0" w:rsidRDefault="00C71EEC" w:rsidP="00DB6C2E">
      <w:pPr>
        <w:pStyle w:val="SingleTxtG"/>
        <w:ind w:left="1701"/>
      </w:pPr>
      <w:r w:rsidRPr="00D025B0">
        <w:t>No weathering/curing is required prior to loading. Fishmeal under UN 1374 shall have been weathered for not less than 28 days before shipment. When fishmeal is packed into containers, the containers shall be packed in such a way that the free air space has been restricted to the minimum.</w:t>
      </w:r>
    </w:p>
    <w:p w:rsidR="00C71EEC" w:rsidRPr="00D025B0" w:rsidRDefault="00C71EEC" w:rsidP="00DB6C2E">
      <w:pPr>
        <w:pStyle w:val="SingleTxtG"/>
        <w:ind w:left="1701"/>
      </w:pPr>
      <w:r w:rsidRPr="00D025B0">
        <w:t xml:space="preserve">928 </w:t>
      </w:r>
      <w:r w:rsidRPr="00D025B0">
        <w:tab/>
        <w:t>The provisions of this Code shall not apply to:</w:t>
      </w:r>
    </w:p>
    <w:p w:rsidR="00C71EEC" w:rsidRPr="00D025B0" w:rsidRDefault="00C71EEC" w:rsidP="00DB6C2E">
      <w:pPr>
        <w:pStyle w:val="SingleTxtG"/>
        <w:ind w:left="1701"/>
      </w:pPr>
      <w:r w:rsidRPr="00D025B0">
        <w:t>fishmeal when acidified and wetted with more than 40% water, by mass, irrespective of other factors;</w:t>
      </w:r>
      <w:r>
        <w:t xml:space="preserve"> </w:t>
      </w:r>
      <w:r w:rsidRPr="00D025B0">
        <w:t xml:space="preserve">consignments of fishmeal which are accompanied by a certificate issued by a recognized competent authority of the country of shipment or other </w:t>
      </w:r>
      <w:r w:rsidRPr="00D025B0">
        <w:lastRenderedPageBreak/>
        <w:t>recognized authority stating that the product has no self-</w:t>
      </w:r>
      <w:proofErr w:type="spellStart"/>
      <w:r w:rsidRPr="00D025B0">
        <w:t>heating</w:t>
      </w:r>
      <w:proofErr w:type="spellEnd"/>
      <w:r w:rsidRPr="00D025B0">
        <w:t xml:space="preserve"> properties when transported in packaged form; or</w:t>
      </w:r>
      <w:r>
        <w:t xml:space="preserve"> </w:t>
      </w:r>
      <w:r w:rsidRPr="00D025B0">
        <w:t xml:space="preserve">fishmeal manufactured from </w:t>
      </w:r>
      <w:r w:rsidRPr="00D025B0">
        <w:rPr>
          <w:rFonts w:hint="eastAsia"/>
        </w:rPr>
        <w:t>“</w:t>
      </w:r>
      <w:r w:rsidRPr="00D025B0">
        <w:t>white</w:t>
      </w:r>
      <w:r w:rsidRPr="00D025B0">
        <w:rPr>
          <w:rFonts w:hint="eastAsia"/>
        </w:rPr>
        <w:t>”</w:t>
      </w:r>
      <w:r w:rsidRPr="00D025B0">
        <w:t xml:space="preserve"> fish with a moisture content of not more than 12% and a fat content of not more than 5% by mass.</w:t>
      </w:r>
    </w:p>
    <w:p w:rsidR="00C71EEC" w:rsidRPr="00D025B0" w:rsidRDefault="00C71EEC" w:rsidP="00DB6C2E">
      <w:pPr>
        <w:pStyle w:val="SingleTxtG"/>
        <w:ind w:left="1701"/>
      </w:pPr>
      <w:r w:rsidRPr="00D025B0">
        <w:t>945</w:t>
      </w:r>
      <w:r w:rsidRPr="00D025B0">
        <w:tab/>
        <w:t xml:space="preserve">Stabilization of fishmeal shall be achieved to prevent spontaneous combustion by effective application of between 400 and 1000 mg/kg (ppm) </w:t>
      </w:r>
      <w:proofErr w:type="spellStart"/>
      <w:r w:rsidRPr="00D025B0">
        <w:t>ethoxyquin</w:t>
      </w:r>
      <w:proofErr w:type="spellEnd"/>
      <w:r w:rsidRPr="00D025B0">
        <w:t>, or liquid BHT (</w:t>
      </w:r>
      <w:proofErr w:type="spellStart"/>
      <w:r w:rsidRPr="00D025B0">
        <w:t>butylated</w:t>
      </w:r>
      <w:proofErr w:type="spellEnd"/>
      <w:r w:rsidRPr="00D025B0">
        <w:t xml:space="preserve"> </w:t>
      </w:r>
      <w:proofErr w:type="spellStart"/>
      <w:r w:rsidRPr="00D025B0">
        <w:t>hydroxytoluene</w:t>
      </w:r>
      <w:proofErr w:type="spellEnd"/>
      <w:r w:rsidRPr="00D025B0">
        <w:t>) or between 1000 and 4000 mg/kg (ppm) BHT in powder form at the time of production. The said application shall occur no longer than twelve months prior to shipment.</w:t>
      </w:r>
    </w:p>
    <w:p w:rsidR="00C71EEC" w:rsidRDefault="00C71EEC" w:rsidP="00C71EEC">
      <w:pPr>
        <w:pStyle w:val="SingleTxtG"/>
      </w:pPr>
      <w:r>
        <w:t>IFFO</w:t>
      </w:r>
      <w:r w:rsidRPr="00AB2BDF">
        <w:t xml:space="preserve"> recommends to </w:t>
      </w:r>
      <w:r>
        <w:t xml:space="preserve">provisionally </w:t>
      </w:r>
      <w:proofErr w:type="gramStart"/>
      <w:r>
        <w:t>modify</w:t>
      </w:r>
      <w:proofErr w:type="gramEnd"/>
      <w:r w:rsidRPr="00AB2BDF">
        <w:t xml:space="preserve"> SP 3</w:t>
      </w:r>
      <w:r>
        <w:t>08</w:t>
      </w:r>
      <w:r w:rsidRPr="00AB2BDF">
        <w:t xml:space="preserve"> </w:t>
      </w:r>
      <w:r>
        <w:t>as</w:t>
      </w:r>
      <w:r w:rsidRPr="00AB2BDF">
        <w:t xml:space="preserve"> follow</w:t>
      </w:r>
      <w:r>
        <w:t>s to be in line with SP 945 from the IMDG</w:t>
      </w:r>
      <w:r w:rsidRPr="00AB2BDF">
        <w:t>:</w:t>
      </w:r>
    </w:p>
    <w:p w:rsidR="00C71EEC" w:rsidRPr="00AB2BDF" w:rsidRDefault="00C71EEC" w:rsidP="00DB6C2E">
      <w:pPr>
        <w:pStyle w:val="SingleTxtG"/>
        <w:ind w:left="1701"/>
      </w:pPr>
      <w:r w:rsidRPr="007A634C">
        <w:t>SP 308</w:t>
      </w:r>
      <w:r w:rsidRPr="007A634C">
        <w:tab/>
        <w:t xml:space="preserve">Stabilization of fishmeal shall be achieved to prevent spontaneous combustion by effective application of </w:t>
      </w:r>
      <w:proofErr w:type="spellStart"/>
      <w:r>
        <w:t>ethoxyquin</w:t>
      </w:r>
      <w:proofErr w:type="spellEnd"/>
      <w:r>
        <w:t>,</w:t>
      </w:r>
      <w:r w:rsidRPr="007A634C">
        <w:t xml:space="preserve"> BHT (</w:t>
      </w:r>
      <w:proofErr w:type="spellStart"/>
      <w:r w:rsidRPr="007A634C">
        <w:t>butylated</w:t>
      </w:r>
      <w:proofErr w:type="spellEnd"/>
      <w:r w:rsidRPr="007A634C">
        <w:t xml:space="preserve"> </w:t>
      </w:r>
      <w:proofErr w:type="spellStart"/>
      <w:r w:rsidRPr="007A634C">
        <w:t>h</w:t>
      </w:r>
      <w:r>
        <w:t>ydroxytoluene</w:t>
      </w:r>
      <w:proofErr w:type="spellEnd"/>
      <w:r>
        <w:t xml:space="preserve">) or </w:t>
      </w:r>
      <w:proofErr w:type="spellStart"/>
      <w:r w:rsidRPr="007A634C">
        <w:t>tocopherol</w:t>
      </w:r>
      <w:r>
        <w:t>s</w:t>
      </w:r>
      <w:proofErr w:type="spellEnd"/>
      <w:r w:rsidRPr="007A634C">
        <w:t xml:space="preserve"> (also used in a blend with rosemary extract) at the time of production.</w:t>
      </w:r>
      <w:r>
        <w:t xml:space="preserve"> </w:t>
      </w:r>
      <w:r w:rsidRPr="007A634C">
        <w:t xml:space="preserve"> The said application shall occur </w:t>
      </w:r>
      <w:r>
        <w:t xml:space="preserve">within </w:t>
      </w:r>
      <w:r w:rsidRPr="007A634C">
        <w:t xml:space="preserve">twelve months prior to shipment. </w:t>
      </w:r>
      <w:r>
        <w:t xml:space="preserve"> </w:t>
      </w:r>
      <w:r w:rsidRPr="007A634C">
        <w:t xml:space="preserve">Fish scrap or fish meal shall contain at least </w:t>
      </w:r>
      <w:r w:rsidRPr="004D0BBC">
        <w:rPr>
          <w:color w:val="FF0000"/>
        </w:rPr>
        <w:t>50</w:t>
      </w:r>
      <w:r>
        <w:t xml:space="preserve"> ppm (mg/kg) of </w:t>
      </w:r>
      <w:proofErr w:type="spellStart"/>
      <w:r>
        <w:t>ethoxyquin</w:t>
      </w:r>
      <w:proofErr w:type="spellEnd"/>
      <w:r>
        <w:t xml:space="preserve">, </w:t>
      </w:r>
      <w:r w:rsidRPr="008101BC">
        <w:t xml:space="preserve">100 ppm (mg/kg) </w:t>
      </w:r>
      <w:r w:rsidRPr="007A634C">
        <w:t xml:space="preserve">of </w:t>
      </w:r>
      <w:r>
        <w:t xml:space="preserve">BHT and 250 ppm (mg/kg) of </w:t>
      </w:r>
      <w:proofErr w:type="spellStart"/>
      <w:r>
        <w:t>tocopherol</w:t>
      </w:r>
      <w:proofErr w:type="spellEnd"/>
      <w:r>
        <w:t xml:space="preserve"> based antioxidant </w:t>
      </w:r>
      <w:r w:rsidRPr="007A634C">
        <w:t xml:space="preserve">at the time of consignment. </w:t>
      </w:r>
    </w:p>
    <w:p w:rsidR="00111793" w:rsidRPr="00DB6C2E" w:rsidRDefault="00DB6C2E" w:rsidP="00DB6C2E">
      <w:pPr>
        <w:pStyle w:val="SingleTxtG"/>
        <w:spacing w:before="240" w:after="0"/>
        <w:jc w:val="center"/>
        <w:rPr>
          <w:u w:val="single"/>
        </w:rPr>
      </w:pPr>
      <w:r>
        <w:rPr>
          <w:u w:val="single"/>
        </w:rPr>
        <w:tab/>
      </w:r>
      <w:r>
        <w:rPr>
          <w:u w:val="single"/>
        </w:rPr>
        <w:tab/>
      </w:r>
      <w:r>
        <w:rPr>
          <w:u w:val="single"/>
        </w:rPr>
        <w:tab/>
      </w:r>
    </w:p>
    <w:p w:rsidR="00C71EEC" w:rsidRPr="00C71EEC" w:rsidRDefault="00C71EEC" w:rsidP="00C71EEC">
      <w:pPr>
        <w:pStyle w:val="SingleTxtG"/>
      </w:pPr>
    </w:p>
    <w:p w:rsidR="00C71EEC" w:rsidRPr="00C71EEC" w:rsidRDefault="00C71EEC" w:rsidP="00C71EEC">
      <w:pPr>
        <w:pStyle w:val="SingleTxtG"/>
      </w:pPr>
    </w:p>
    <w:p w:rsidR="00C71EEC" w:rsidRPr="00C71EEC" w:rsidRDefault="00C71EEC" w:rsidP="00C71EEC">
      <w:pPr>
        <w:pStyle w:val="SingleTxtG"/>
      </w:pPr>
    </w:p>
    <w:sectPr w:rsidR="00C71EEC" w:rsidRPr="00C71EEC" w:rsidSect="00D352FD">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FE" w:rsidRDefault="009E02FE"/>
  </w:endnote>
  <w:endnote w:type="continuationSeparator" w:id="0">
    <w:p w:rsidR="009E02FE" w:rsidRDefault="009E02FE"/>
  </w:endnote>
  <w:endnote w:type="continuationNotice" w:id="1">
    <w:p w:rsidR="009E02FE" w:rsidRDefault="009E0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FE" w:rsidRPr="00D352FD" w:rsidRDefault="009E02FE"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F67FD4">
      <w:rPr>
        <w:b/>
        <w:noProof/>
        <w:sz w:val="18"/>
      </w:rPr>
      <w:t>4</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FE" w:rsidRPr="00D352FD" w:rsidRDefault="009E02FE"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F67FD4">
      <w:rPr>
        <w:b/>
        <w:noProof/>
        <w:sz w:val="18"/>
      </w:rPr>
      <w:t>5</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FE" w:rsidRPr="000B175B" w:rsidRDefault="009E02FE" w:rsidP="000B175B">
      <w:pPr>
        <w:tabs>
          <w:tab w:val="right" w:pos="2155"/>
        </w:tabs>
        <w:spacing w:after="80"/>
        <w:ind w:left="680"/>
        <w:rPr>
          <w:u w:val="single"/>
        </w:rPr>
      </w:pPr>
      <w:r>
        <w:rPr>
          <w:u w:val="single"/>
        </w:rPr>
        <w:tab/>
      </w:r>
    </w:p>
  </w:footnote>
  <w:footnote w:type="continuationSeparator" w:id="0">
    <w:p w:rsidR="009E02FE" w:rsidRPr="00FC68B7" w:rsidRDefault="009E02FE" w:rsidP="00FC68B7">
      <w:pPr>
        <w:tabs>
          <w:tab w:val="left" w:pos="2155"/>
        </w:tabs>
        <w:spacing w:after="80"/>
        <w:ind w:left="680"/>
        <w:rPr>
          <w:u w:val="single"/>
        </w:rPr>
      </w:pPr>
      <w:r>
        <w:rPr>
          <w:u w:val="single"/>
        </w:rPr>
        <w:tab/>
      </w:r>
    </w:p>
  </w:footnote>
  <w:footnote w:type="continuationNotice" w:id="1">
    <w:p w:rsidR="009E02FE" w:rsidRDefault="009E02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FE" w:rsidRPr="0010121E" w:rsidRDefault="00C71EEC">
    <w:pPr>
      <w:pStyle w:val="Header"/>
      <w:rPr>
        <w:lang w:val="fr-CH"/>
      </w:rPr>
    </w:pPr>
    <w:r>
      <w:rPr>
        <w:lang w:val="fr-CH"/>
      </w:rPr>
      <w:t>UN/SCETDG/50/INF.24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FE" w:rsidRPr="00D352FD" w:rsidRDefault="00C71EEC" w:rsidP="00D352FD">
    <w:pPr>
      <w:pStyle w:val="Header"/>
      <w:jc w:val="right"/>
    </w:pPr>
    <w:r>
      <w:rPr>
        <w:lang w:val="fr-CH"/>
      </w:rPr>
      <w:t>UN/SCETDG/50/INF.24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310FC5"/>
    <w:multiLevelType w:val="hybridMultilevel"/>
    <w:tmpl w:val="75A6C192"/>
    <w:lvl w:ilvl="0" w:tplc="B0C4BEA6">
      <w:start w:val="2"/>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nsid w:val="309E5B6C"/>
    <w:multiLevelType w:val="multilevel"/>
    <w:tmpl w:val="1308885C"/>
    <w:lvl w:ilvl="0">
      <w:start w:val="4"/>
      <w:numFmt w:val="decimal"/>
      <w:lvlText w:val="%1"/>
      <w:lvlJc w:val="left"/>
      <w:pPr>
        <w:ind w:hanging="730"/>
      </w:pPr>
      <w:rPr>
        <w:rFonts w:hint="default"/>
      </w:rPr>
    </w:lvl>
    <w:lvl w:ilvl="1">
      <w:start w:val="1"/>
      <w:numFmt w:val="decimal"/>
      <w:lvlText w:val="%1.%2"/>
      <w:lvlJc w:val="left"/>
      <w:pPr>
        <w:ind w:hanging="730"/>
      </w:pPr>
      <w:rPr>
        <w:rFonts w:ascii="Arial" w:eastAsia="Arial" w:hAnsi="Arial" w:hint="default"/>
        <w:w w:val="105"/>
        <w:sz w:val="21"/>
        <w:szCs w:val="21"/>
      </w:rPr>
    </w:lvl>
    <w:lvl w:ilvl="2">
      <w:start w:val="1"/>
      <w:numFmt w:val="decimal"/>
      <w:lvlText w:val="%3)"/>
      <w:lvlJc w:val="left"/>
      <w:pPr>
        <w:ind w:hanging="341"/>
      </w:pPr>
      <w:rPr>
        <w:rFonts w:ascii="Arial" w:eastAsia="Arial" w:hAnsi="Arial" w:hint="default"/>
        <w:w w:val="99"/>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nsid w:val="359318CE"/>
    <w:multiLevelType w:val="multilevel"/>
    <w:tmpl w:val="C4849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3">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4">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43E7DC9"/>
    <w:multiLevelType w:val="hybridMultilevel"/>
    <w:tmpl w:val="358CCA8E"/>
    <w:lvl w:ilvl="0" w:tplc="0C090017">
      <w:start w:val="1"/>
      <w:numFmt w:val="lowerLetter"/>
      <w:lvlText w:val="%1)"/>
      <w:lvlJc w:val="left"/>
      <w:pPr>
        <w:ind w:left="2006" w:hanging="360"/>
      </w:p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0">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1">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2">
    <w:nsid w:val="735F448C"/>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74A8250D"/>
    <w:multiLevelType w:val="hybridMultilevel"/>
    <w:tmpl w:val="24E4A948"/>
    <w:lvl w:ilvl="0" w:tplc="EA402FA8">
      <w:start w:val="1"/>
      <w:numFmt w:val="decimal"/>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6">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37">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8">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3"/>
  </w:num>
  <w:num w:numId="13">
    <w:abstractNumId w:val="11"/>
  </w:num>
  <w:num w:numId="14">
    <w:abstractNumId w:val="28"/>
  </w:num>
  <w:num w:numId="15">
    <w:abstractNumId w:val="34"/>
  </w:num>
  <w:num w:numId="16">
    <w:abstractNumId w:val="18"/>
  </w:num>
  <w:num w:numId="17">
    <w:abstractNumId w:val="29"/>
  </w:num>
  <w:num w:numId="18">
    <w:abstractNumId w:val="37"/>
  </w:num>
  <w:num w:numId="19">
    <w:abstractNumId w:val="24"/>
  </w:num>
  <w:num w:numId="20">
    <w:abstractNumId w:val="25"/>
  </w:num>
  <w:num w:numId="21">
    <w:abstractNumId w:val="35"/>
  </w:num>
  <w:num w:numId="22">
    <w:abstractNumId w:val="38"/>
  </w:num>
  <w:num w:numId="23">
    <w:abstractNumId w:val="36"/>
  </w:num>
  <w:num w:numId="24">
    <w:abstractNumId w:val="23"/>
  </w:num>
  <w:num w:numId="25">
    <w:abstractNumId w:val="12"/>
  </w:num>
  <w:num w:numId="26">
    <w:abstractNumId w:val="22"/>
  </w:num>
  <w:num w:numId="27">
    <w:abstractNumId w:val="20"/>
  </w:num>
  <w:num w:numId="28">
    <w:abstractNumId w:val="15"/>
  </w:num>
  <w:num w:numId="29">
    <w:abstractNumId w:val="17"/>
  </w:num>
  <w:num w:numId="30">
    <w:abstractNumId w:val="31"/>
  </w:num>
  <w:num w:numId="31">
    <w:abstractNumId w:val="10"/>
  </w:num>
  <w:num w:numId="32">
    <w:abstractNumId w:val="27"/>
  </w:num>
  <w:num w:numId="33">
    <w:abstractNumId w:val="32"/>
  </w:num>
  <w:num w:numId="34">
    <w:abstractNumId w:val="30"/>
  </w:num>
  <w:num w:numId="35">
    <w:abstractNumId w:val="16"/>
  </w:num>
  <w:num w:numId="36">
    <w:abstractNumId w:val="21"/>
  </w:num>
  <w:num w:numId="37">
    <w:abstractNumId w:val="33"/>
  </w:num>
  <w:num w:numId="38">
    <w:abstractNumId w:val="14"/>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68E7"/>
    <w:rsid w:val="000229D8"/>
    <w:rsid w:val="000318D0"/>
    <w:rsid w:val="000320CF"/>
    <w:rsid w:val="00036C63"/>
    <w:rsid w:val="000437CA"/>
    <w:rsid w:val="00044D9D"/>
    <w:rsid w:val="0004705E"/>
    <w:rsid w:val="00050F6B"/>
    <w:rsid w:val="00051EBB"/>
    <w:rsid w:val="00064C3D"/>
    <w:rsid w:val="00072C8C"/>
    <w:rsid w:val="00080084"/>
    <w:rsid w:val="00091419"/>
    <w:rsid w:val="000914EA"/>
    <w:rsid w:val="000931C0"/>
    <w:rsid w:val="00095F71"/>
    <w:rsid w:val="000A3D41"/>
    <w:rsid w:val="000B0EA1"/>
    <w:rsid w:val="000B175B"/>
    <w:rsid w:val="000B3A0F"/>
    <w:rsid w:val="000B7295"/>
    <w:rsid w:val="000C35D4"/>
    <w:rsid w:val="000C5510"/>
    <w:rsid w:val="000D1740"/>
    <w:rsid w:val="000D2C6C"/>
    <w:rsid w:val="000E0415"/>
    <w:rsid w:val="000E6FC9"/>
    <w:rsid w:val="000F1306"/>
    <w:rsid w:val="00100DE4"/>
    <w:rsid w:val="0010121E"/>
    <w:rsid w:val="001037CB"/>
    <w:rsid w:val="00105C46"/>
    <w:rsid w:val="00111793"/>
    <w:rsid w:val="0011517B"/>
    <w:rsid w:val="00117787"/>
    <w:rsid w:val="001236A6"/>
    <w:rsid w:val="00125C68"/>
    <w:rsid w:val="00131D42"/>
    <w:rsid w:val="00133010"/>
    <w:rsid w:val="0013594A"/>
    <w:rsid w:val="0013630D"/>
    <w:rsid w:val="0014222D"/>
    <w:rsid w:val="0014230B"/>
    <w:rsid w:val="00146F66"/>
    <w:rsid w:val="00152C50"/>
    <w:rsid w:val="001633FB"/>
    <w:rsid w:val="00166C20"/>
    <w:rsid w:val="00171DC5"/>
    <w:rsid w:val="0018379C"/>
    <w:rsid w:val="00184B4A"/>
    <w:rsid w:val="0018675E"/>
    <w:rsid w:val="00194876"/>
    <w:rsid w:val="001A17D0"/>
    <w:rsid w:val="001A466B"/>
    <w:rsid w:val="001A504F"/>
    <w:rsid w:val="001B3162"/>
    <w:rsid w:val="001B4B04"/>
    <w:rsid w:val="001B6109"/>
    <w:rsid w:val="001C0BB7"/>
    <w:rsid w:val="001C2AD9"/>
    <w:rsid w:val="001C6663"/>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1B6D"/>
    <w:rsid w:val="00243B20"/>
    <w:rsid w:val="00245DA0"/>
    <w:rsid w:val="0025560F"/>
    <w:rsid w:val="00263F6D"/>
    <w:rsid w:val="00270FC6"/>
    <w:rsid w:val="002725CA"/>
    <w:rsid w:val="002748EC"/>
    <w:rsid w:val="002752C6"/>
    <w:rsid w:val="00277924"/>
    <w:rsid w:val="00280EB7"/>
    <w:rsid w:val="00282EB8"/>
    <w:rsid w:val="0028368C"/>
    <w:rsid w:val="002918E4"/>
    <w:rsid w:val="002A0E3F"/>
    <w:rsid w:val="002A375C"/>
    <w:rsid w:val="002A7751"/>
    <w:rsid w:val="002A780A"/>
    <w:rsid w:val="002B1CDA"/>
    <w:rsid w:val="002C0805"/>
    <w:rsid w:val="002C1C7E"/>
    <w:rsid w:val="002C50FD"/>
    <w:rsid w:val="002E0299"/>
    <w:rsid w:val="002E364B"/>
    <w:rsid w:val="002E3FBE"/>
    <w:rsid w:val="00304219"/>
    <w:rsid w:val="00304B6B"/>
    <w:rsid w:val="003107FA"/>
    <w:rsid w:val="0031261E"/>
    <w:rsid w:val="00315017"/>
    <w:rsid w:val="00321D9B"/>
    <w:rsid w:val="003229D8"/>
    <w:rsid w:val="00327DCB"/>
    <w:rsid w:val="00336D59"/>
    <w:rsid w:val="0034116E"/>
    <w:rsid w:val="003431A8"/>
    <w:rsid w:val="00344841"/>
    <w:rsid w:val="00345511"/>
    <w:rsid w:val="00345917"/>
    <w:rsid w:val="00345E9F"/>
    <w:rsid w:val="003505F4"/>
    <w:rsid w:val="00352905"/>
    <w:rsid w:val="00354539"/>
    <w:rsid w:val="003622C5"/>
    <w:rsid w:val="00366C36"/>
    <w:rsid w:val="003727D3"/>
    <w:rsid w:val="00374CFF"/>
    <w:rsid w:val="003761F8"/>
    <w:rsid w:val="00385598"/>
    <w:rsid w:val="0039277A"/>
    <w:rsid w:val="0039357A"/>
    <w:rsid w:val="003960A2"/>
    <w:rsid w:val="003972E0"/>
    <w:rsid w:val="003B699A"/>
    <w:rsid w:val="003B7B78"/>
    <w:rsid w:val="003C2CC4"/>
    <w:rsid w:val="003C2E9B"/>
    <w:rsid w:val="003C5566"/>
    <w:rsid w:val="003C6644"/>
    <w:rsid w:val="003C6F39"/>
    <w:rsid w:val="003C74CD"/>
    <w:rsid w:val="003D4B23"/>
    <w:rsid w:val="003D632A"/>
    <w:rsid w:val="003E16F3"/>
    <w:rsid w:val="003E2171"/>
    <w:rsid w:val="003E31AE"/>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97D88"/>
    <w:rsid w:val="004A65ED"/>
    <w:rsid w:val="004B2C9D"/>
    <w:rsid w:val="004B3324"/>
    <w:rsid w:val="004B7155"/>
    <w:rsid w:val="004C3DA0"/>
    <w:rsid w:val="004D2BD9"/>
    <w:rsid w:val="004D3A67"/>
    <w:rsid w:val="004D472E"/>
    <w:rsid w:val="004D4FDA"/>
    <w:rsid w:val="004D55CA"/>
    <w:rsid w:val="004D7AA3"/>
    <w:rsid w:val="004E76F2"/>
    <w:rsid w:val="004E7C98"/>
    <w:rsid w:val="004F441E"/>
    <w:rsid w:val="004F45B6"/>
    <w:rsid w:val="004F4DA6"/>
    <w:rsid w:val="004F50FA"/>
    <w:rsid w:val="004F6111"/>
    <w:rsid w:val="00503CEE"/>
    <w:rsid w:val="00504E59"/>
    <w:rsid w:val="0050579D"/>
    <w:rsid w:val="00505E35"/>
    <w:rsid w:val="00507661"/>
    <w:rsid w:val="005169FB"/>
    <w:rsid w:val="00517A3F"/>
    <w:rsid w:val="00522972"/>
    <w:rsid w:val="00527910"/>
    <w:rsid w:val="005279F2"/>
    <w:rsid w:val="00534197"/>
    <w:rsid w:val="00535E24"/>
    <w:rsid w:val="00541C23"/>
    <w:rsid w:val="00541EC9"/>
    <w:rsid w:val="005420F2"/>
    <w:rsid w:val="00546728"/>
    <w:rsid w:val="00547C6C"/>
    <w:rsid w:val="00557BFE"/>
    <w:rsid w:val="00561F7C"/>
    <w:rsid w:val="0056257D"/>
    <w:rsid w:val="0056554E"/>
    <w:rsid w:val="0057763D"/>
    <w:rsid w:val="005778EF"/>
    <w:rsid w:val="0058617B"/>
    <w:rsid w:val="00590144"/>
    <w:rsid w:val="00595E3F"/>
    <w:rsid w:val="00597262"/>
    <w:rsid w:val="005A2AA9"/>
    <w:rsid w:val="005A7BD3"/>
    <w:rsid w:val="005B1540"/>
    <w:rsid w:val="005B2924"/>
    <w:rsid w:val="005B3DB3"/>
    <w:rsid w:val="005C0EF8"/>
    <w:rsid w:val="005C3EC4"/>
    <w:rsid w:val="005C4316"/>
    <w:rsid w:val="005C569A"/>
    <w:rsid w:val="005C6BAE"/>
    <w:rsid w:val="005C7D7F"/>
    <w:rsid w:val="005D6116"/>
    <w:rsid w:val="005D6407"/>
    <w:rsid w:val="005D6BD4"/>
    <w:rsid w:val="005E6C67"/>
    <w:rsid w:val="005F188A"/>
    <w:rsid w:val="005F386E"/>
    <w:rsid w:val="005F4DA9"/>
    <w:rsid w:val="005F7A09"/>
    <w:rsid w:val="00602CE8"/>
    <w:rsid w:val="00604FCD"/>
    <w:rsid w:val="006069EF"/>
    <w:rsid w:val="00606BF3"/>
    <w:rsid w:val="00610F39"/>
    <w:rsid w:val="00611FC4"/>
    <w:rsid w:val="00612025"/>
    <w:rsid w:val="006120D7"/>
    <w:rsid w:val="006131AE"/>
    <w:rsid w:val="00614BA2"/>
    <w:rsid w:val="006176FB"/>
    <w:rsid w:val="006249C1"/>
    <w:rsid w:val="00624BD7"/>
    <w:rsid w:val="00631FBB"/>
    <w:rsid w:val="00632CAC"/>
    <w:rsid w:val="0063419C"/>
    <w:rsid w:val="00640226"/>
    <w:rsid w:val="00640B26"/>
    <w:rsid w:val="0064134C"/>
    <w:rsid w:val="00643AB6"/>
    <w:rsid w:val="0064409E"/>
    <w:rsid w:val="00644A25"/>
    <w:rsid w:val="00644A62"/>
    <w:rsid w:val="006465F1"/>
    <w:rsid w:val="006500BA"/>
    <w:rsid w:val="00651D28"/>
    <w:rsid w:val="00651EF1"/>
    <w:rsid w:val="006636BB"/>
    <w:rsid w:val="00665ADC"/>
    <w:rsid w:val="00665F25"/>
    <w:rsid w:val="006700B3"/>
    <w:rsid w:val="006714B1"/>
    <w:rsid w:val="00675CB5"/>
    <w:rsid w:val="00680AA3"/>
    <w:rsid w:val="00681484"/>
    <w:rsid w:val="006847C1"/>
    <w:rsid w:val="00687A4F"/>
    <w:rsid w:val="00694842"/>
    <w:rsid w:val="00694AE2"/>
    <w:rsid w:val="00694DAC"/>
    <w:rsid w:val="006A02D5"/>
    <w:rsid w:val="006A1290"/>
    <w:rsid w:val="006A4B62"/>
    <w:rsid w:val="006A7392"/>
    <w:rsid w:val="006B2614"/>
    <w:rsid w:val="006C0D34"/>
    <w:rsid w:val="006C37A5"/>
    <w:rsid w:val="006C490B"/>
    <w:rsid w:val="006C7E11"/>
    <w:rsid w:val="006D16D7"/>
    <w:rsid w:val="006D37DE"/>
    <w:rsid w:val="006D7D5E"/>
    <w:rsid w:val="006E4568"/>
    <w:rsid w:val="006E564B"/>
    <w:rsid w:val="006F5204"/>
    <w:rsid w:val="006F7A6D"/>
    <w:rsid w:val="00701A97"/>
    <w:rsid w:val="00701F8E"/>
    <w:rsid w:val="00703434"/>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4DEC"/>
    <w:rsid w:val="007653AE"/>
    <w:rsid w:val="007762F7"/>
    <w:rsid w:val="007902CD"/>
    <w:rsid w:val="00790791"/>
    <w:rsid w:val="007907C5"/>
    <w:rsid w:val="0079196C"/>
    <w:rsid w:val="007A28EB"/>
    <w:rsid w:val="007B23E9"/>
    <w:rsid w:val="007B6BA5"/>
    <w:rsid w:val="007C1BDE"/>
    <w:rsid w:val="007C291C"/>
    <w:rsid w:val="007C3390"/>
    <w:rsid w:val="007C4F4B"/>
    <w:rsid w:val="007C504E"/>
    <w:rsid w:val="007D3113"/>
    <w:rsid w:val="007D5C20"/>
    <w:rsid w:val="007E1797"/>
    <w:rsid w:val="007E5F23"/>
    <w:rsid w:val="007E650F"/>
    <w:rsid w:val="007E7C16"/>
    <w:rsid w:val="007F3F3B"/>
    <w:rsid w:val="007F55FD"/>
    <w:rsid w:val="007F6611"/>
    <w:rsid w:val="00804E21"/>
    <w:rsid w:val="00805015"/>
    <w:rsid w:val="00807DEB"/>
    <w:rsid w:val="00812480"/>
    <w:rsid w:val="008175E9"/>
    <w:rsid w:val="008242D7"/>
    <w:rsid w:val="00824B07"/>
    <w:rsid w:val="008318DE"/>
    <w:rsid w:val="00837877"/>
    <w:rsid w:val="00844A8E"/>
    <w:rsid w:val="00845037"/>
    <w:rsid w:val="008559BB"/>
    <w:rsid w:val="00863789"/>
    <w:rsid w:val="00871FD5"/>
    <w:rsid w:val="00880FBE"/>
    <w:rsid w:val="00893D5C"/>
    <w:rsid w:val="008979B1"/>
    <w:rsid w:val="008A6B25"/>
    <w:rsid w:val="008A6C4F"/>
    <w:rsid w:val="008B689E"/>
    <w:rsid w:val="008C3391"/>
    <w:rsid w:val="008D472F"/>
    <w:rsid w:val="008E0E46"/>
    <w:rsid w:val="008E6997"/>
    <w:rsid w:val="00907A35"/>
    <w:rsid w:val="00911032"/>
    <w:rsid w:val="009114C2"/>
    <w:rsid w:val="009203D1"/>
    <w:rsid w:val="00934C95"/>
    <w:rsid w:val="00936A51"/>
    <w:rsid w:val="009374AE"/>
    <w:rsid w:val="00941B3B"/>
    <w:rsid w:val="009453A9"/>
    <w:rsid w:val="009455E7"/>
    <w:rsid w:val="00945A5D"/>
    <w:rsid w:val="0094721A"/>
    <w:rsid w:val="0095306E"/>
    <w:rsid w:val="00956114"/>
    <w:rsid w:val="00957315"/>
    <w:rsid w:val="00963CBA"/>
    <w:rsid w:val="0096615E"/>
    <w:rsid w:val="009728A6"/>
    <w:rsid w:val="00972DC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2FE"/>
    <w:rsid w:val="009E07F3"/>
    <w:rsid w:val="009E7C3D"/>
    <w:rsid w:val="009E7D42"/>
    <w:rsid w:val="009F0986"/>
    <w:rsid w:val="009F0F06"/>
    <w:rsid w:val="009F3682"/>
    <w:rsid w:val="00A01893"/>
    <w:rsid w:val="00A01CA0"/>
    <w:rsid w:val="00A02A86"/>
    <w:rsid w:val="00A07D3F"/>
    <w:rsid w:val="00A12A07"/>
    <w:rsid w:val="00A1306F"/>
    <w:rsid w:val="00A1427D"/>
    <w:rsid w:val="00A144E4"/>
    <w:rsid w:val="00A15610"/>
    <w:rsid w:val="00A23D44"/>
    <w:rsid w:val="00A265FB"/>
    <w:rsid w:val="00A26C3A"/>
    <w:rsid w:val="00A27CC3"/>
    <w:rsid w:val="00A30D54"/>
    <w:rsid w:val="00A378FE"/>
    <w:rsid w:val="00A44526"/>
    <w:rsid w:val="00A523CD"/>
    <w:rsid w:val="00A52D35"/>
    <w:rsid w:val="00A54CB0"/>
    <w:rsid w:val="00A5634F"/>
    <w:rsid w:val="00A56E44"/>
    <w:rsid w:val="00A5730E"/>
    <w:rsid w:val="00A62A79"/>
    <w:rsid w:val="00A659AB"/>
    <w:rsid w:val="00A70FBE"/>
    <w:rsid w:val="00A72F22"/>
    <w:rsid w:val="00A748A6"/>
    <w:rsid w:val="00A75EC9"/>
    <w:rsid w:val="00A879A4"/>
    <w:rsid w:val="00AA2776"/>
    <w:rsid w:val="00AA7A27"/>
    <w:rsid w:val="00AB07F9"/>
    <w:rsid w:val="00AB5F1C"/>
    <w:rsid w:val="00AC0B01"/>
    <w:rsid w:val="00AC0F0F"/>
    <w:rsid w:val="00AC4C05"/>
    <w:rsid w:val="00AC7000"/>
    <w:rsid w:val="00AD0A40"/>
    <w:rsid w:val="00AD432E"/>
    <w:rsid w:val="00AE1EFD"/>
    <w:rsid w:val="00AE4E4A"/>
    <w:rsid w:val="00AE6D17"/>
    <w:rsid w:val="00AF08FB"/>
    <w:rsid w:val="00AF15BD"/>
    <w:rsid w:val="00AF59F5"/>
    <w:rsid w:val="00B10FD2"/>
    <w:rsid w:val="00B11AF3"/>
    <w:rsid w:val="00B15195"/>
    <w:rsid w:val="00B15BBF"/>
    <w:rsid w:val="00B16968"/>
    <w:rsid w:val="00B21E13"/>
    <w:rsid w:val="00B30179"/>
    <w:rsid w:val="00B3317B"/>
    <w:rsid w:val="00B34FDD"/>
    <w:rsid w:val="00B35340"/>
    <w:rsid w:val="00B41A91"/>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3E1A"/>
    <w:rsid w:val="00BE42B3"/>
    <w:rsid w:val="00BE618E"/>
    <w:rsid w:val="00BE6FDC"/>
    <w:rsid w:val="00BF0A10"/>
    <w:rsid w:val="00BF74F4"/>
    <w:rsid w:val="00BF75FB"/>
    <w:rsid w:val="00C014CB"/>
    <w:rsid w:val="00C03A41"/>
    <w:rsid w:val="00C138F4"/>
    <w:rsid w:val="00C20E03"/>
    <w:rsid w:val="00C22CAD"/>
    <w:rsid w:val="00C2655B"/>
    <w:rsid w:val="00C267DA"/>
    <w:rsid w:val="00C306AC"/>
    <w:rsid w:val="00C310A2"/>
    <w:rsid w:val="00C31F3B"/>
    <w:rsid w:val="00C35120"/>
    <w:rsid w:val="00C37579"/>
    <w:rsid w:val="00C401CA"/>
    <w:rsid w:val="00C40BFC"/>
    <w:rsid w:val="00C42216"/>
    <w:rsid w:val="00C432E4"/>
    <w:rsid w:val="00C440B9"/>
    <w:rsid w:val="00C463DD"/>
    <w:rsid w:val="00C46A6B"/>
    <w:rsid w:val="00C53593"/>
    <w:rsid w:val="00C62646"/>
    <w:rsid w:val="00C62F76"/>
    <w:rsid w:val="00C71EEC"/>
    <w:rsid w:val="00C727EB"/>
    <w:rsid w:val="00C745C3"/>
    <w:rsid w:val="00C74F57"/>
    <w:rsid w:val="00C775B6"/>
    <w:rsid w:val="00C77C86"/>
    <w:rsid w:val="00C77EC3"/>
    <w:rsid w:val="00CA0657"/>
    <w:rsid w:val="00CA7EB9"/>
    <w:rsid w:val="00CB2D65"/>
    <w:rsid w:val="00CB46F2"/>
    <w:rsid w:val="00CB5596"/>
    <w:rsid w:val="00CC76D8"/>
    <w:rsid w:val="00CD019F"/>
    <w:rsid w:val="00CD3225"/>
    <w:rsid w:val="00CD6D47"/>
    <w:rsid w:val="00CE2972"/>
    <w:rsid w:val="00CE4A8F"/>
    <w:rsid w:val="00CE4BDC"/>
    <w:rsid w:val="00CF06AB"/>
    <w:rsid w:val="00CF7B1D"/>
    <w:rsid w:val="00D029F6"/>
    <w:rsid w:val="00D0416E"/>
    <w:rsid w:val="00D065F7"/>
    <w:rsid w:val="00D07A85"/>
    <w:rsid w:val="00D104B2"/>
    <w:rsid w:val="00D10B86"/>
    <w:rsid w:val="00D13F61"/>
    <w:rsid w:val="00D1475B"/>
    <w:rsid w:val="00D165AD"/>
    <w:rsid w:val="00D177EA"/>
    <w:rsid w:val="00D2031B"/>
    <w:rsid w:val="00D22F26"/>
    <w:rsid w:val="00D245B8"/>
    <w:rsid w:val="00D25FE2"/>
    <w:rsid w:val="00D306D8"/>
    <w:rsid w:val="00D31E6C"/>
    <w:rsid w:val="00D348C6"/>
    <w:rsid w:val="00D352FD"/>
    <w:rsid w:val="00D362F4"/>
    <w:rsid w:val="00D40FAF"/>
    <w:rsid w:val="00D43252"/>
    <w:rsid w:val="00D44570"/>
    <w:rsid w:val="00D52DF6"/>
    <w:rsid w:val="00D602D2"/>
    <w:rsid w:val="00D60DAD"/>
    <w:rsid w:val="00D620B9"/>
    <w:rsid w:val="00D66887"/>
    <w:rsid w:val="00D70C58"/>
    <w:rsid w:val="00D72562"/>
    <w:rsid w:val="00D753D8"/>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B6C2E"/>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4927"/>
    <w:rsid w:val="00E50048"/>
    <w:rsid w:val="00E50FDA"/>
    <w:rsid w:val="00E53D59"/>
    <w:rsid w:val="00E55367"/>
    <w:rsid w:val="00E5644E"/>
    <w:rsid w:val="00E611F5"/>
    <w:rsid w:val="00E65177"/>
    <w:rsid w:val="00E706EC"/>
    <w:rsid w:val="00E70B5D"/>
    <w:rsid w:val="00E71518"/>
    <w:rsid w:val="00E7260F"/>
    <w:rsid w:val="00E74795"/>
    <w:rsid w:val="00E76EF5"/>
    <w:rsid w:val="00E77D02"/>
    <w:rsid w:val="00E83D20"/>
    <w:rsid w:val="00E8535A"/>
    <w:rsid w:val="00E93AB9"/>
    <w:rsid w:val="00E951BD"/>
    <w:rsid w:val="00E96630"/>
    <w:rsid w:val="00EA15FC"/>
    <w:rsid w:val="00EA17B1"/>
    <w:rsid w:val="00EA5668"/>
    <w:rsid w:val="00EA772F"/>
    <w:rsid w:val="00EB04C4"/>
    <w:rsid w:val="00EB380E"/>
    <w:rsid w:val="00EB6832"/>
    <w:rsid w:val="00EC04D8"/>
    <w:rsid w:val="00ED0658"/>
    <w:rsid w:val="00ED2602"/>
    <w:rsid w:val="00ED6653"/>
    <w:rsid w:val="00ED7A2A"/>
    <w:rsid w:val="00EE59FB"/>
    <w:rsid w:val="00EE692B"/>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67FD4"/>
    <w:rsid w:val="00F75381"/>
    <w:rsid w:val="00F7751B"/>
    <w:rsid w:val="00F83A4F"/>
    <w:rsid w:val="00F86345"/>
    <w:rsid w:val="00F9483C"/>
    <w:rsid w:val="00F96F9B"/>
    <w:rsid w:val="00FA69F9"/>
    <w:rsid w:val="00FB1BE8"/>
    <w:rsid w:val="00FB232E"/>
    <w:rsid w:val="00FB294E"/>
    <w:rsid w:val="00FB72D6"/>
    <w:rsid w:val="00FB7F4C"/>
    <w:rsid w:val="00FC4AD9"/>
    <w:rsid w:val="00FC4EFC"/>
    <w:rsid w:val="00FC62F5"/>
    <w:rsid w:val="00FC68B7"/>
    <w:rsid w:val="00FD104C"/>
    <w:rsid w:val="00FD14B8"/>
    <w:rsid w:val="00FD50F3"/>
    <w:rsid w:val="00FD6B2B"/>
    <w:rsid w:val="00FD6B94"/>
    <w:rsid w:val="00FE1AAA"/>
    <w:rsid w:val="00FE1B0B"/>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paragraph" w:styleId="ListParagraph">
    <w:name w:val="List Paragraph"/>
    <w:basedOn w:val="Normal"/>
    <w:uiPriority w:val="34"/>
    <w:qFormat/>
    <w:rsid w:val="005C7D7F"/>
    <w:pPr>
      <w:widowControl w:val="0"/>
      <w:suppressAutoHyphens w:val="0"/>
      <w:spacing w:line="240" w:lineRule="auto"/>
    </w:pPr>
    <w:rPr>
      <w:rFonts w:asciiTheme="minorHAnsi" w:eastAsiaTheme="minorHAnsi" w:hAnsiTheme="minorHAnsi" w:cstheme="minorBidi"/>
      <w:sz w:val="22"/>
      <w:szCs w:val="22"/>
      <w:lang w:val="en-US"/>
    </w:rPr>
  </w:style>
  <w:style w:type="character" w:customStyle="1" w:styleId="Heading1Char">
    <w:name w:val="Heading 1 Char"/>
    <w:aliases w:val="Table_G Char"/>
    <w:basedOn w:val="DefaultParagraphFont"/>
    <w:link w:val="Heading1"/>
    <w:uiPriority w:val="1"/>
    <w:rsid w:val="00111793"/>
    <w:rPr>
      <w:lang w:eastAsia="en-US"/>
    </w:rPr>
  </w:style>
  <w:style w:type="character" w:customStyle="1" w:styleId="FootnoteTextChar">
    <w:name w:val="Footnote Text Char"/>
    <w:aliases w:val="5_G Char"/>
    <w:link w:val="FootnoteText"/>
    <w:rsid w:val="00E93AB9"/>
    <w:rPr>
      <w:sz w:val="18"/>
      <w:lang w:eastAsia="en-US"/>
    </w:rPr>
  </w:style>
  <w:style w:type="paragraph" w:styleId="Caption">
    <w:name w:val="caption"/>
    <w:basedOn w:val="Normal"/>
    <w:next w:val="Normal"/>
    <w:semiHidden/>
    <w:unhideWhenUsed/>
    <w:qFormat/>
    <w:rsid w:val="009E02FE"/>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paragraph" w:styleId="ListParagraph">
    <w:name w:val="List Paragraph"/>
    <w:basedOn w:val="Normal"/>
    <w:uiPriority w:val="34"/>
    <w:qFormat/>
    <w:rsid w:val="005C7D7F"/>
    <w:pPr>
      <w:widowControl w:val="0"/>
      <w:suppressAutoHyphens w:val="0"/>
      <w:spacing w:line="240" w:lineRule="auto"/>
    </w:pPr>
    <w:rPr>
      <w:rFonts w:asciiTheme="minorHAnsi" w:eastAsiaTheme="minorHAnsi" w:hAnsiTheme="minorHAnsi" w:cstheme="minorBidi"/>
      <w:sz w:val="22"/>
      <w:szCs w:val="22"/>
      <w:lang w:val="en-US"/>
    </w:rPr>
  </w:style>
  <w:style w:type="character" w:customStyle="1" w:styleId="Heading1Char">
    <w:name w:val="Heading 1 Char"/>
    <w:aliases w:val="Table_G Char"/>
    <w:basedOn w:val="DefaultParagraphFont"/>
    <w:link w:val="Heading1"/>
    <w:uiPriority w:val="1"/>
    <w:rsid w:val="00111793"/>
    <w:rPr>
      <w:lang w:eastAsia="en-US"/>
    </w:rPr>
  </w:style>
  <w:style w:type="character" w:customStyle="1" w:styleId="FootnoteTextChar">
    <w:name w:val="Footnote Text Char"/>
    <w:aliases w:val="5_G Char"/>
    <w:link w:val="FootnoteText"/>
    <w:rsid w:val="00E93AB9"/>
    <w:rPr>
      <w:sz w:val="18"/>
      <w:lang w:eastAsia="en-US"/>
    </w:rPr>
  </w:style>
  <w:style w:type="paragraph" w:styleId="Caption">
    <w:name w:val="caption"/>
    <w:basedOn w:val="Normal"/>
    <w:next w:val="Normal"/>
    <w:semiHidden/>
    <w:unhideWhenUsed/>
    <w:qFormat/>
    <w:rsid w:val="009E02FE"/>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FFO-ADS\Folder%20Redirection\GBescoby\Documents\Antioxidants\Fishmeal%20storage%20trial\Peru\Results%20TAS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01689956049976"/>
          <c:y val="1.5326698439839593E-2"/>
          <c:w val="0.86382489082283731"/>
          <c:h val="0.5948992058643860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5721-46AA-99C5-67BDB51B87C2}"/>
              </c:ext>
            </c:extLst>
          </c:dPt>
          <c:dPt>
            <c:idx val="1"/>
            <c:invertIfNegative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3-5721-46AA-99C5-67BDB51B87C2}"/>
              </c:ext>
            </c:extLst>
          </c:dPt>
          <c:dPt>
            <c:idx val="2"/>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5-5721-46AA-99C5-67BDB51B87C2}"/>
              </c:ext>
            </c:extLst>
          </c:dPt>
          <c:dPt>
            <c:idx val="3"/>
            <c:invertIfNegative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7-5721-46AA-99C5-67BDB51B87C2}"/>
              </c:ext>
            </c:extLst>
          </c:dPt>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9-5721-46AA-99C5-67BDB51B87C2}"/>
              </c:ext>
            </c:extLst>
          </c:dPt>
          <c:dPt>
            <c:idx val="5"/>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B-5721-46AA-99C5-67BDB51B87C2}"/>
              </c:ext>
            </c:extLst>
          </c:dPt>
          <c:dPt>
            <c:idx val="6"/>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D-5721-46AA-99C5-67BDB51B87C2}"/>
              </c:ext>
            </c:extLst>
          </c:dPt>
          <c:dPt>
            <c:idx val="7"/>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F-5721-46AA-99C5-67BDB51B87C2}"/>
              </c:ext>
            </c:extLst>
          </c:dPt>
          <c:dPt>
            <c:idx val="8"/>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11-5721-46AA-99C5-67BDB51B87C2}"/>
              </c:ext>
            </c:extLst>
          </c:dPt>
          <c:dPt>
            <c:idx val="9"/>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13-5721-46AA-99C5-67BDB51B87C2}"/>
              </c:ext>
            </c:extLst>
          </c:dPt>
          <c:dPt>
            <c:idx val="10"/>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15-5721-46AA-99C5-67BDB51B87C2}"/>
              </c:ext>
            </c:extLst>
          </c:dPt>
          <c:dPt>
            <c:idx val="11"/>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17-5721-46AA-99C5-67BDB51B87C2}"/>
              </c:ext>
            </c:extLst>
          </c:dPt>
          <c:cat>
            <c:strRef>
              <c:f>Results!$C$84:$C$95</c:f>
              <c:strCache>
                <c:ptCount val="12"/>
                <c:pt idx="0">
                  <c:v>EQ 300 ppm 50kg</c:v>
                </c:pt>
                <c:pt idx="1">
                  <c:v>EQ 30 ppm 50kg</c:v>
                </c:pt>
                <c:pt idx="2">
                  <c:v>EQ 300 ppm 1ton</c:v>
                </c:pt>
                <c:pt idx="3">
                  <c:v>EQ 50 ppm 1ton</c:v>
                </c:pt>
                <c:pt idx="4">
                  <c:v>BHT 2000 ppm 50kg</c:v>
                </c:pt>
                <c:pt idx="5">
                  <c:v>BHT 4000 ppm 50kg</c:v>
                </c:pt>
                <c:pt idx="6">
                  <c:v>BHT 2000 ppm 1ton</c:v>
                </c:pt>
                <c:pt idx="7">
                  <c:v>BHT 4000 ppm 1ton</c:v>
                </c:pt>
                <c:pt idx="8">
                  <c:v>TocP 2000 ppm 50kg</c:v>
                </c:pt>
                <c:pt idx="9">
                  <c:v>TocP 4000 ppm 50kg</c:v>
                </c:pt>
                <c:pt idx="10">
                  <c:v>TocP 2000 ppm 1ton</c:v>
                </c:pt>
                <c:pt idx="11">
                  <c:v>TocP 4000 ppm 1ton</c:v>
                </c:pt>
              </c:strCache>
            </c:strRef>
          </c:cat>
          <c:val>
            <c:numRef>
              <c:f>Results!$K$84:$K$95</c:f>
              <c:numCache>
                <c:formatCode>0.0</c:formatCode>
                <c:ptCount val="12"/>
                <c:pt idx="0" formatCode="General">
                  <c:v>146.30000000000001</c:v>
                </c:pt>
                <c:pt idx="1">
                  <c:v>145</c:v>
                </c:pt>
                <c:pt idx="2">
                  <c:v>154</c:v>
                </c:pt>
                <c:pt idx="3" formatCode="General">
                  <c:v>169.9</c:v>
                </c:pt>
                <c:pt idx="4" formatCode="General">
                  <c:v>149.9</c:v>
                </c:pt>
                <c:pt idx="5" formatCode="General">
                  <c:v>151.4</c:v>
                </c:pt>
                <c:pt idx="6" formatCode="General">
                  <c:v>158.9</c:v>
                </c:pt>
                <c:pt idx="7" formatCode="General">
                  <c:v>161.19999999999999</c:v>
                </c:pt>
                <c:pt idx="8" formatCode="General">
                  <c:v>147.5</c:v>
                </c:pt>
                <c:pt idx="9" formatCode="General">
                  <c:v>147.6</c:v>
                </c:pt>
                <c:pt idx="10" formatCode="General">
                  <c:v>155.30000000000001</c:v>
                </c:pt>
                <c:pt idx="11" formatCode="General">
                  <c:v>157.80000000000001</c:v>
                </c:pt>
              </c:numCache>
            </c:numRef>
          </c:val>
          <c:extLst xmlns:c16r2="http://schemas.microsoft.com/office/drawing/2015/06/chart">
            <c:ext xmlns:c16="http://schemas.microsoft.com/office/drawing/2014/chart" uri="{C3380CC4-5D6E-409C-BE32-E72D297353CC}">
              <c16:uniqueId val="{00000018-5721-46AA-99C5-67BDB51B87C2}"/>
            </c:ext>
          </c:extLst>
        </c:ser>
        <c:dLbls>
          <c:showLegendKey val="0"/>
          <c:showVal val="0"/>
          <c:showCatName val="0"/>
          <c:showSerName val="0"/>
          <c:showPercent val="0"/>
          <c:showBubbleSize val="0"/>
        </c:dLbls>
        <c:gapWidth val="219"/>
        <c:overlap val="-27"/>
        <c:axId val="50108928"/>
        <c:axId val="108174080"/>
      </c:barChart>
      <c:catAx>
        <c:axId val="50108928"/>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b="1">
                    <a:solidFill>
                      <a:sysClr val="windowText" lastClr="000000"/>
                    </a:solidFill>
                    <a:latin typeface="Times New Roman" panose="02020603050405020304" pitchFamily="18" charset="0"/>
                    <a:cs typeface="Times New Roman" panose="02020603050405020304" pitchFamily="18" charset="0"/>
                  </a:rPr>
                  <a:t>Treatment</a:t>
                </a:r>
              </a:p>
            </c:rich>
          </c:tx>
          <c:layout>
            <c:manualLayout>
              <c:xMode val="edge"/>
              <c:yMode val="edge"/>
              <c:x val="0.46889074606866255"/>
              <c:y val="0.93341478313989001"/>
            </c:manualLayout>
          </c:layout>
          <c:overlay val="0"/>
          <c:spPr>
            <a:solidFill>
              <a:sysClr val="window" lastClr="FFFFFF"/>
            </a:solid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8174080"/>
        <c:crosses val="autoZero"/>
        <c:auto val="1"/>
        <c:lblAlgn val="ctr"/>
        <c:lblOffset val="100"/>
        <c:tickLblSkip val="1"/>
        <c:noMultiLvlLbl val="0"/>
      </c:catAx>
      <c:valAx>
        <c:axId val="108174080"/>
        <c:scaling>
          <c:orientation val="minMax"/>
          <c:max val="220"/>
          <c:min val="1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b="1">
                    <a:solidFill>
                      <a:sysClr val="windowText" lastClr="000000"/>
                    </a:solidFill>
                    <a:latin typeface="Times New Roman" panose="02020603050405020304" pitchFamily="18" charset="0"/>
                    <a:cs typeface="Times New Roman" panose="02020603050405020304" pitchFamily="18" charset="0"/>
                  </a:rPr>
                  <a:t> Temperature</a:t>
                </a:r>
                <a:r>
                  <a:rPr lang="en-GB" sz="1200" b="1" baseline="0">
                    <a:solidFill>
                      <a:sysClr val="windowText" lastClr="000000"/>
                    </a:solidFill>
                    <a:latin typeface="Times New Roman" panose="02020603050405020304" pitchFamily="18" charset="0"/>
                    <a:cs typeface="Times New Roman" panose="02020603050405020304" pitchFamily="18" charset="0"/>
                  </a:rPr>
                  <a:t> </a:t>
                </a:r>
                <a:r>
                  <a:rPr lang="en-GB" sz="1200" b="1">
                    <a:solidFill>
                      <a:sysClr val="windowText" lastClr="000000"/>
                    </a:solidFill>
                    <a:latin typeface="Times New Roman" panose="02020603050405020304" pitchFamily="18" charset="0"/>
                    <a:cs typeface="Times New Roman" panose="02020603050405020304" pitchFamily="18" charset="0"/>
                  </a:rPr>
                  <a:t>(°C)</a:t>
                </a:r>
              </a:p>
            </c:rich>
          </c:tx>
          <c:layout>
            <c:manualLayout>
              <c:xMode val="edge"/>
              <c:yMode val="edge"/>
              <c:x val="1.1079104808331486E-2"/>
              <c:y val="0.2032684014378226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10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0.12298</cdr:x>
      <cdr:y>0.13319</cdr:y>
    </cdr:from>
    <cdr:to>
      <cdr:x>0.98382</cdr:x>
      <cdr:y>0.13549</cdr:y>
    </cdr:to>
    <cdr:cxnSp macro="">
      <cdr:nvCxnSpPr>
        <cdr:cNvPr id="3" name="Straight Connector 2">
          <a:extLst xmlns:a="http://schemas.openxmlformats.org/drawingml/2006/main">
            <a:ext uri="{FF2B5EF4-FFF2-40B4-BE49-F238E27FC236}">
              <a16:creationId xmlns="" xmlns:a16="http://schemas.microsoft.com/office/drawing/2014/main" id="{6E6FCDDA-7FE5-4598-BF73-0228FBC3126E}"/>
            </a:ext>
          </a:extLst>
        </cdr:cNvPr>
        <cdr:cNvCxnSpPr/>
      </cdr:nvCxnSpPr>
      <cdr:spPr>
        <a:xfrm xmlns:a="http://schemas.openxmlformats.org/drawingml/2006/main" flipV="1">
          <a:off x="704850" y="563971"/>
          <a:ext cx="4933950" cy="9699"/>
        </a:xfrm>
        <a:prstGeom xmlns:a="http://schemas.openxmlformats.org/drawingml/2006/main" prst="line">
          <a:avLst/>
        </a:prstGeom>
        <a:ln xmlns:a="http://schemas.openxmlformats.org/drawingml/2006/main" w="15875">
          <a:solidFill>
            <a:srgbClr val="FF0000"/>
          </a:solidFill>
          <a:prstDash val="dash"/>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0.2526</cdr:x>
      <cdr:y>0.02553</cdr:y>
    </cdr:from>
    <cdr:to>
      <cdr:x>0.94394</cdr:x>
      <cdr:y>0.08738</cdr:y>
    </cdr:to>
    <cdr:sp macro="" textlink="">
      <cdr:nvSpPr>
        <cdr:cNvPr id="5" name="Text Box 2"/>
        <cdr:cNvSpPr txBox="1">
          <a:spLocks xmlns:a="http://schemas.openxmlformats.org/drawingml/2006/main" noChangeArrowheads="1"/>
        </cdr:cNvSpPr>
      </cdr:nvSpPr>
      <cdr:spPr bwMode="auto">
        <a:xfrm xmlns:a="http://schemas.openxmlformats.org/drawingml/2006/main">
          <a:off x="1447801" y="108091"/>
          <a:ext cx="3962400" cy="261888"/>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lumMod val="75000"/>
            </a:schemeClr>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1100" baseline="0">
              <a:effectLst/>
              <a:latin typeface="Times New Roman" panose="02020603050405020304" pitchFamily="18" charset="0"/>
              <a:ea typeface="Calibri" panose="020F0502020204030204" pitchFamily="34" charset="0"/>
              <a:cs typeface="Times New Roman" panose="02020603050405020304" pitchFamily="18" charset="0"/>
            </a:rPr>
            <a:t>                  </a:t>
          </a:r>
          <a:r>
            <a:rPr lang="en-GB" sz="1100">
              <a:effectLst/>
              <a:latin typeface="Times New Roman" panose="02020603050405020304" pitchFamily="18" charset="0"/>
              <a:ea typeface="Calibri" panose="020F0502020204030204" pitchFamily="34" charset="0"/>
              <a:cs typeface="Times New Roman" panose="02020603050405020304" pitchFamily="18" charset="0"/>
            </a:rPr>
            <a:t> Max temperature above which sample will fail test</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FEA2-F31B-4821-9939-EE0D6A15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1334</Words>
  <Characters>7609</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2016-11-14T16:01:00Z</cp:lastPrinted>
  <dcterms:created xsi:type="dcterms:W3CDTF">2016-11-14T15:31:00Z</dcterms:created>
  <dcterms:modified xsi:type="dcterms:W3CDTF">2016-11-14T16:01:00Z</dcterms:modified>
</cp:coreProperties>
</file>