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132EA9" w:rsidRPr="00810663" w:rsidTr="000305D3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132EA9" w:rsidRPr="00810663" w:rsidRDefault="00132EA9" w:rsidP="009818D6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132EA9" w:rsidRPr="00810663" w:rsidRDefault="00132EA9" w:rsidP="009C3129">
            <w:pPr>
              <w:spacing w:after="80" w:line="300" w:lineRule="exact"/>
              <w:rPr>
                <w:sz w:val="28"/>
              </w:rPr>
            </w:pPr>
            <w:r w:rsidRPr="00810663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132EA9" w:rsidRPr="00810663" w:rsidRDefault="009818D6" w:rsidP="009818D6">
            <w:pPr>
              <w:jc w:val="right"/>
            </w:pPr>
            <w:r w:rsidRPr="00810663">
              <w:rPr>
                <w:sz w:val="40"/>
              </w:rPr>
              <w:t>ST</w:t>
            </w:r>
            <w:r w:rsidRPr="00810663">
              <w:t>/SG/AC.10/C.3/99/Add.1</w:t>
            </w:r>
          </w:p>
        </w:tc>
      </w:tr>
      <w:tr w:rsidR="00132EA9" w:rsidRPr="00810663" w:rsidTr="009C312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132EA9" w:rsidRPr="00810663" w:rsidRDefault="00132EA9" w:rsidP="009C3129">
            <w:pPr>
              <w:spacing w:before="120"/>
              <w:jc w:val="center"/>
            </w:pPr>
            <w:r w:rsidRPr="00810663">
              <w:rPr>
                <w:noProof/>
                <w:lang w:val="en-GB" w:eastAsia="en-GB"/>
              </w:rPr>
              <w:drawing>
                <wp:inline distT="0" distB="0" distL="0" distR="0" wp14:anchorId="0727E0AA" wp14:editId="1FE2952E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132EA9" w:rsidRPr="00810663" w:rsidRDefault="00132EA9" w:rsidP="009C312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810663">
              <w:rPr>
                <w:b/>
                <w:sz w:val="40"/>
                <w:szCs w:val="40"/>
              </w:rPr>
              <w:t>Secrétariat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132EA9" w:rsidRPr="00810663" w:rsidRDefault="009818D6" w:rsidP="009C3129">
            <w:pPr>
              <w:spacing w:before="240"/>
            </w:pPr>
            <w:r w:rsidRPr="00810663">
              <w:t>Distr. générale</w:t>
            </w:r>
          </w:p>
          <w:p w:rsidR="009818D6" w:rsidRPr="00810663" w:rsidRDefault="009818D6" w:rsidP="009818D6">
            <w:pPr>
              <w:spacing w:line="240" w:lineRule="exact"/>
            </w:pPr>
            <w:r w:rsidRPr="00810663">
              <w:t>16 septembre 2016</w:t>
            </w:r>
          </w:p>
          <w:p w:rsidR="009818D6" w:rsidRPr="00810663" w:rsidRDefault="009818D6" w:rsidP="009818D6">
            <w:pPr>
              <w:spacing w:line="240" w:lineRule="exact"/>
            </w:pPr>
            <w:r w:rsidRPr="00810663">
              <w:t>Français</w:t>
            </w:r>
          </w:p>
          <w:p w:rsidR="009818D6" w:rsidRPr="00810663" w:rsidRDefault="009818D6" w:rsidP="009818D6">
            <w:pPr>
              <w:spacing w:line="240" w:lineRule="exact"/>
            </w:pPr>
            <w:r w:rsidRPr="00810663">
              <w:t>Original</w:t>
            </w:r>
            <w:r w:rsidR="00810663" w:rsidRPr="00810663">
              <w:t> :</w:t>
            </w:r>
            <w:r w:rsidRPr="00810663">
              <w:t xml:space="preserve"> anglais</w:t>
            </w:r>
          </w:p>
        </w:tc>
      </w:tr>
    </w:tbl>
    <w:p w:rsidR="009818D6" w:rsidRPr="00810663" w:rsidRDefault="009818D6" w:rsidP="00873FD8">
      <w:pPr>
        <w:spacing w:before="120" w:after="120"/>
        <w:rPr>
          <w:b/>
          <w:bCs/>
          <w:sz w:val="24"/>
          <w:szCs w:val="24"/>
        </w:rPr>
      </w:pPr>
      <w:r w:rsidRPr="00810663">
        <w:rPr>
          <w:b/>
          <w:bCs/>
          <w:sz w:val="24"/>
          <w:szCs w:val="24"/>
        </w:rPr>
        <w:t xml:space="preserve">Comité d’experts du transport des marchandises dangereuses </w:t>
      </w:r>
      <w:r w:rsidR="00873FD8" w:rsidRPr="00810663">
        <w:rPr>
          <w:b/>
          <w:bCs/>
          <w:sz w:val="24"/>
          <w:szCs w:val="24"/>
        </w:rPr>
        <w:br/>
      </w:r>
      <w:r w:rsidRPr="00810663">
        <w:rPr>
          <w:b/>
          <w:bCs/>
          <w:sz w:val="24"/>
          <w:szCs w:val="24"/>
        </w:rPr>
        <w:t xml:space="preserve">et du Système général harmonisé de classification </w:t>
      </w:r>
      <w:r w:rsidR="00873FD8" w:rsidRPr="00810663">
        <w:rPr>
          <w:b/>
          <w:bCs/>
          <w:sz w:val="24"/>
          <w:szCs w:val="24"/>
        </w:rPr>
        <w:br/>
      </w:r>
      <w:r w:rsidRPr="00810663">
        <w:rPr>
          <w:b/>
          <w:bCs/>
          <w:sz w:val="24"/>
          <w:szCs w:val="24"/>
        </w:rPr>
        <w:t>et d’étiquetage des produits chimiques</w:t>
      </w:r>
    </w:p>
    <w:p w:rsidR="009818D6" w:rsidRPr="00810663" w:rsidRDefault="009818D6" w:rsidP="00873FD8">
      <w:pPr>
        <w:spacing w:after="120"/>
        <w:rPr>
          <w:rFonts w:ascii="Helv" w:hAnsi="Helv" w:cs="Helv"/>
          <w:b/>
          <w:bCs/>
          <w:color w:val="000000"/>
        </w:rPr>
      </w:pPr>
      <w:r w:rsidRPr="00810663">
        <w:rPr>
          <w:b/>
          <w:bCs/>
        </w:rPr>
        <w:t>Sous-Comité d’experts du transport des marchandises dangereuses</w:t>
      </w:r>
    </w:p>
    <w:p w:rsidR="009818D6" w:rsidRPr="00810663" w:rsidRDefault="009818D6" w:rsidP="00873FD8">
      <w:pPr>
        <w:rPr>
          <w:b/>
          <w:bCs/>
        </w:rPr>
      </w:pPr>
      <w:r w:rsidRPr="00810663">
        <w:rPr>
          <w:b/>
          <w:bCs/>
        </w:rPr>
        <w:t>Cinquantième session</w:t>
      </w:r>
    </w:p>
    <w:p w:rsidR="009818D6" w:rsidRPr="00810663" w:rsidRDefault="009818D6" w:rsidP="00873FD8">
      <w:r w:rsidRPr="00810663">
        <w:t>Genève, 28 novembre</w:t>
      </w:r>
      <w:r w:rsidR="00873FD8" w:rsidRPr="00810663">
        <w:t>-6 décembre 2016</w:t>
      </w:r>
    </w:p>
    <w:p w:rsidR="009818D6" w:rsidRPr="00810663" w:rsidRDefault="009818D6" w:rsidP="00873FD8">
      <w:r w:rsidRPr="00810663">
        <w:t>Point 1 de l’ordre du jour provisoire</w:t>
      </w:r>
    </w:p>
    <w:p w:rsidR="009818D6" w:rsidRPr="00810663" w:rsidRDefault="009818D6" w:rsidP="00873FD8">
      <w:pPr>
        <w:rPr>
          <w:b/>
          <w:bCs/>
        </w:rPr>
      </w:pPr>
      <w:r w:rsidRPr="00810663">
        <w:rPr>
          <w:b/>
          <w:bCs/>
        </w:rPr>
        <w:t>Adoption de l’ordre du jour</w:t>
      </w:r>
    </w:p>
    <w:p w:rsidR="009818D6" w:rsidRPr="00810663" w:rsidRDefault="009818D6" w:rsidP="00810663">
      <w:pPr>
        <w:pStyle w:val="HChG"/>
      </w:pPr>
      <w:r w:rsidRPr="00810663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5281BAC2" wp14:editId="55E69564">
                <wp:simplePos x="0" y="0"/>
                <wp:positionH relativeFrom="column">
                  <wp:posOffset>5163820</wp:posOffset>
                </wp:positionH>
                <wp:positionV relativeFrom="page">
                  <wp:posOffset>10778490</wp:posOffset>
                </wp:positionV>
                <wp:extent cx="63500" cy="342900"/>
                <wp:effectExtent l="0" t="0" r="12700" b="19050"/>
                <wp:wrapNone/>
                <wp:docPr id="5" name="Right Brac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" cy="342900"/>
                        </a:xfrm>
                        <a:prstGeom prst="rightBrace">
                          <a:avLst>
                            <a:gd name="adj1" fmla="val 4500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Right Brace 5" o:spid="_x0000_s1026" type="#_x0000_t88" style="position:absolute;margin-left:406.6pt;margin-top:848.7pt;width: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U4xfwIAAC4FAAAOAAAAZHJzL2Uyb0RvYy54bWysVFFv0zAQfkfiP1h+75J0SbdGS6fRtAhp&#10;wMTgB7i20xgcO9hu0w3x3zk7SWnZC0LkwTnnLt/dd/7ON7eHRqI9N1ZoVeDkIsaIK6qZUNsCf/m8&#10;nlxjZB1RjEiteIGfuMW3i9evbro251Nda8m4QQCibN61Ba6da/MosrTmDbEXuuUKnJU2DXGwNduI&#10;GdIBeiOjaRzPok4b1hpNubXwteydeBHwq4pT97GqLHdIFhhqc2E1Yd34NVrckHxrSFsLOpRB/qGK&#10;hggFSY9QJXEE7Yx4AdUIarTVlbuguol0VQnKAwdgk8R/sHmsScsDF2iObY9tsv8Pln7YPxgkWIEz&#10;jBRp4Ig+iW3t0BtDKEeZb1DX2hziHtsH4yna9l7TbxYc0ZnHbyzEoE33XjMAIjunQ1MOlWn8n0AX&#10;HULvn4695weHKHycXWYxHBAFz2U6nYPtE5B8/Lc11r3lukHeKLDxRYYaQwayv7cu9J8NLAj7mmBU&#10;NRKOc08kSgF+PO6TmOlpjA8Z8w6IUMGY2cMrvRZSBtFIhboCz7NpFiqwWgrmnaFFZrtZSoMgMRAN&#10;z0DnLMzonWIBrOaErQbbESF7G5JL5fGgSQM/366gqx/zeL66Xl2nk3Q6W03SuCwnd+tlOpmtk6us&#10;vCyXyzL56UtL0rwWjHHlqxs1nqR/p6Fh2np1HlV+xsKekl2H5yXZ6LyMcLTAZXwHdkFOXkG95Daa&#10;PYGajO6HFi4ZMGptnjHqYGALbL/viOEYyXcKJmKepKmf8LBJs6spbMypZ3PqIYoCVIEdRr25dP2t&#10;sGuDtOAuC8eq9B2ouBJulHtf1aB9GMrAYLhA/NSf7kPU72tu8QsAAP//AwBQSwMEFAAGAAgAAAAh&#10;AISecAfjAAAADQEAAA8AAABkcnMvZG93bnJldi54bWxMj81OwzAQhO9IvIO1SNyok7S0IcSpCogL&#10;P0KUSoibE7tJhL2ObLcJb8/2BMed+TQ7U64na9hR+9A7FJDOEmAaG6d6bAXsPh6vcmAhSlTSONQC&#10;fnSAdXV+VspCuRHf9XEbW0YhGAopoItxKDgPTaetDDM3aCRv77yVkU7fcuXlSOHW8CxJltzKHulD&#10;Jwd93+nme3uwAvZf3dw9vTw819Z/vu7M3eatHlshLi+mzS2wqKf4B8OpPlWHijrV7oAqMCMgT+cZ&#10;oWQsb1YLYITk2UmqSVpdpwvgVcn/r6h+AQAA//8DAFBLAQItABQABgAIAAAAIQC2gziS/gAAAOEB&#10;AAATAAAAAAAAAAAAAAAAAAAAAABbQ29udGVudF9UeXBlc10ueG1sUEsBAi0AFAAGAAgAAAAhADj9&#10;If/WAAAAlAEAAAsAAAAAAAAAAAAAAAAALwEAAF9yZWxzLy5yZWxzUEsBAi0AFAAGAAgAAAAhAF/x&#10;TjF/AgAALgUAAA4AAAAAAAAAAAAAAAAALgIAAGRycy9lMm9Eb2MueG1sUEsBAi0AFAAGAAgAAAAh&#10;AISecAfjAAAADQEAAA8AAAAAAAAAAAAAAAAA2QQAAGRycy9kb3ducmV2LnhtbFBLBQYAAAAABAAE&#10;APMAAADpBQAAAAA=&#10;">
                <w10:wrap anchory="page"/>
                <w10:anchorlock/>
              </v:shape>
            </w:pict>
          </mc:Fallback>
        </mc:AlternateContent>
      </w:r>
      <w:r w:rsidRPr="00810663">
        <w:tab/>
      </w:r>
      <w:r w:rsidRPr="00810663">
        <w:tab/>
        <w:t>Ordre du jour provisoire de la cinquantième session</w:t>
      </w:r>
    </w:p>
    <w:p w:rsidR="009818D6" w:rsidRPr="00810663" w:rsidRDefault="009818D6" w:rsidP="00810663">
      <w:pPr>
        <w:pStyle w:val="H23G"/>
      </w:pPr>
      <w:r w:rsidRPr="00810663">
        <w:tab/>
      </w:r>
      <w:r w:rsidRPr="00810663">
        <w:tab/>
        <w:t>Additif</w:t>
      </w:r>
    </w:p>
    <w:p w:rsidR="009818D6" w:rsidRPr="00810663" w:rsidRDefault="009818D6" w:rsidP="00810663">
      <w:pPr>
        <w:pStyle w:val="H1G"/>
      </w:pPr>
      <w:r w:rsidRPr="00810663">
        <w:tab/>
      </w:r>
      <w:r w:rsidRPr="00810663">
        <w:tab/>
        <w:t>Liste des documents</w:t>
      </w:r>
    </w:p>
    <w:p w:rsidR="009818D6" w:rsidRPr="00810663" w:rsidRDefault="009818D6" w:rsidP="00810663">
      <w:pPr>
        <w:pStyle w:val="H1G"/>
      </w:pPr>
      <w:r w:rsidRPr="00810663">
        <w:tab/>
        <w:t>1.</w:t>
      </w:r>
      <w:r w:rsidRPr="00810663">
        <w:tab/>
        <w:t>Adoption de l’ordre du jour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66"/>
        <w:gridCol w:w="4904"/>
      </w:tblGrid>
      <w:tr w:rsidR="009818D6" w:rsidRPr="00810663" w:rsidTr="00DB0B72">
        <w:tc>
          <w:tcPr>
            <w:tcW w:w="2466" w:type="dxa"/>
            <w:shd w:val="clear" w:color="auto" w:fill="auto"/>
          </w:tcPr>
          <w:p w:rsidR="009818D6" w:rsidRPr="00810663" w:rsidRDefault="009818D6" w:rsidP="00810663">
            <w:pPr>
              <w:pStyle w:val="SingleTxtG"/>
              <w:spacing w:before="40"/>
              <w:ind w:left="0" w:right="57"/>
              <w:jc w:val="left"/>
            </w:pPr>
            <w:r w:rsidRPr="00810663">
              <w:t>ST/SG/AC.10/C.3/99</w:t>
            </w:r>
          </w:p>
        </w:tc>
        <w:tc>
          <w:tcPr>
            <w:tcW w:w="4904" w:type="dxa"/>
            <w:shd w:val="clear" w:color="auto" w:fill="auto"/>
          </w:tcPr>
          <w:p w:rsidR="009818D6" w:rsidRPr="00810663" w:rsidRDefault="009818D6" w:rsidP="00810663">
            <w:pPr>
              <w:pStyle w:val="SingleTxtG"/>
              <w:spacing w:before="40"/>
              <w:ind w:left="0" w:right="0"/>
              <w:jc w:val="left"/>
            </w:pPr>
            <w:r w:rsidRPr="00810663">
              <w:t>Ordre du jour provisoire de la cinquantième session</w:t>
            </w:r>
          </w:p>
        </w:tc>
      </w:tr>
      <w:tr w:rsidR="009818D6" w:rsidRPr="00810663" w:rsidTr="00DB0B72">
        <w:tc>
          <w:tcPr>
            <w:tcW w:w="2466" w:type="dxa"/>
            <w:shd w:val="clear" w:color="auto" w:fill="auto"/>
          </w:tcPr>
          <w:p w:rsidR="009818D6" w:rsidRPr="00810663" w:rsidRDefault="009818D6" w:rsidP="00810663">
            <w:pPr>
              <w:pStyle w:val="SingleTxtG"/>
              <w:spacing w:before="40"/>
              <w:ind w:left="0" w:right="57"/>
              <w:jc w:val="left"/>
            </w:pPr>
            <w:r w:rsidRPr="00810663">
              <w:t>ST/SG/AC.10/C.3/99/Add.1</w:t>
            </w:r>
          </w:p>
        </w:tc>
        <w:tc>
          <w:tcPr>
            <w:tcW w:w="4904" w:type="dxa"/>
            <w:shd w:val="clear" w:color="auto" w:fill="auto"/>
          </w:tcPr>
          <w:p w:rsidR="009818D6" w:rsidRPr="00810663" w:rsidRDefault="009818D6" w:rsidP="00810663">
            <w:pPr>
              <w:pStyle w:val="SingleTxtG"/>
              <w:spacing w:before="40"/>
              <w:ind w:left="0" w:right="0"/>
              <w:jc w:val="left"/>
            </w:pPr>
            <w:r w:rsidRPr="00810663">
              <w:t>Liste des documents</w:t>
            </w:r>
          </w:p>
        </w:tc>
      </w:tr>
    </w:tbl>
    <w:p w:rsidR="009818D6" w:rsidRPr="00810663" w:rsidRDefault="009818D6" w:rsidP="00810663">
      <w:pPr>
        <w:pStyle w:val="H23G"/>
      </w:pPr>
      <w:r w:rsidRPr="00810663">
        <w:tab/>
      </w:r>
      <w:r w:rsidRPr="00810663">
        <w:tab/>
        <w:t>Documents de référence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66"/>
        <w:gridCol w:w="4904"/>
      </w:tblGrid>
      <w:tr w:rsidR="009818D6" w:rsidRPr="00810663" w:rsidTr="00DB0B72">
        <w:tc>
          <w:tcPr>
            <w:tcW w:w="2466" w:type="dxa"/>
            <w:shd w:val="clear" w:color="auto" w:fill="auto"/>
          </w:tcPr>
          <w:p w:rsidR="009818D6" w:rsidRPr="00810663" w:rsidRDefault="009818D6" w:rsidP="00810663">
            <w:pPr>
              <w:pStyle w:val="SingleTxtG"/>
              <w:spacing w:before="40"/>
              <w:ind w:left="0" w:right="57"/>
              <w:jc w:val="left"/>
            </w:pPr>
            <w:r w:rsidRPr="00810663">
              <w:t>ST/SG/AC.10/1/Rev.19</w:t>
            </w:r>
          </w:p>
        </w:tc>
        <w:tc>
          <w:tcPr>
            <w:tcW w:w="4904" w:type="dxa"/>
            <w:shd w:val="clear" w:color="auto" w:fill="auto"/>
          </w:tcPr>
          <w:p w:rsidR="009818D6" w:rsidRPr="00810663" w:rsidRDefault="009818D6" w:rsidP="00DB0B72">
            <w:pPr>
              <w:spacing w:after="120"/>
            </w:pPr>
            <w:r w:rsidRPr="00810663">
              <w:t>Recommandations relatives au transport des marchandises dangereuses, Règlement type, dix-neuvième édition révisée</w:t>
            </w:r>
          </w:p>
        </w:tc>
      </w:tr>
      <w:tr w:rsidR="009818D6" w:rsidRPr="00810663" w:rsidTr="00DB0B72">
        <w:tc>
          <w:tcPr>
            <w:tcW w:w="2466" w:type="dxa"/>
            <w:shd w:val="clear" w:color="auto" w:fill="auto"/>
          </w:tcPr>
          <w:p w:rsidR="009818D6" w:rsidRPr="00810663" w:rsidRDefault="009818D6" w:rsidP="00810663">
            <w:pPr>
              <w:pStyle w:val="SingleTxtG"/>
              <w:spacing w:before="40"/>
              <w:ind w:left="0" w:right="57"/>
              <w:jc w:val="left"/>
            </w:pPr>
            <w:r w:rsidRPr="00810663">
              <w:t>ST/SG/AC.10/11/Rev.6</w:t>
            </w:r>
          </w:p>
        </w:tc>
        <w:tc>
          <w:tcPr>
            <w:tcW w:w="4904" w:type="dxa"/>
            <w:shd w:val="clear" w:color="auto" w:fill="auto"/>
          </w:tcPr>
          <w:p w:rsidR="009818D6" w:rsidRPr="00810663" w:rsidRDefault="009818D6" w:rsidP="00DB0B72">
            <w:pPr>
              <w:spacing w:after="120"/>
            </w:pPr>
            <w:r w:rsidRPr="00810663">
              <w:t>Recommandations relatives au transport des marchandises dangereuses, Manuel d’épreuves et de critères, sixième édition révisée</w:t>
            </w:r>
          </w:p>
        </w:tc>
      </w:tr>
      <w:tr w:rsidR="009818D6" w:rsidRPr="00810663" w:rsidTr="00DB0B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right w:w="0" w:type="dxa"/>
          </w:tblCellMar>
        </w:tblPrEx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18D6" w:rsidRPr="00810663" w:rsidRDefault="009818D6" w:rsidP="00810663">
            <w:pPr>
              <w:pStyle w:val="SingleTxtG"/>
              <w:spacing w:before="40"/>
              <w:ind w:left="0" w:right="57"/>
              <w:jc w:val="left"/>
            </w:pPr>
            <w:r w:rsidRPr="00810663">
              <w:t>ST/SG/AC.10/30/Rev.6</w:t>
            </w:r>
          </w:p>
        </w:tc>
        <w:tc>
          <w:tcPr>
            <w:tcW w:w="4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18D6" w:rsidRPr="00810663" w:rsidRDefault="009818D6" w:rsidP="00DB0B72">
            <w:pPr>
              <w:pStyle w:val="SingleTxtG"/>
              <w:spacing w:before="40"/>
              <w:ind w:left="0" w:right="0"/>
              <w:jc w:val="left"/>
            </w:pPr>
            <w:r w:rsidRPr="00810663">
              <w:t>Système général harmonisé de classification et d’étiquetage des produits chimiques (SGH), sixième édition révisée</w:t>
            </w:r>
          </w:p>
        </w:tc>
      </w:tr>
      <w:tr w:rsidR="009818D6" w:rsidRPr="00810663" w:rsidTr="00DB0B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right w:w="0" w:type="dxa"/>
          </w:tblCellMar>
        </w:tblPrEx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18D6" w:rsidRPr="00810663" w:rsidRDefault="009818D6" w:rsidP="00810663">
            <w:pPr>
              <w:pStyle w:val="SingleTxtG"/>
              <w:spacing w:before="40"/>
              <w:ind w:left="0" w:right="57"/>
              <w:jc w:val="left"/>
            </w:pPr>
            <w:r w:rsidRPr="00810663">
              <w:t>ST/SG/AC.10/C.3/94 et Corr.1</w:t>
            </w:r>
          </w:p>
        </w:tc>
        <w:tc>
          <w:tcPr>
            <w:tcW w:w="4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18D6" w:rsidRPr="00810663" w:rsidRDefault="009818D6" w:rsidP="00DB0B72">
            <w:pPr>
              <w:pStyle w:val="SingleTxtG"/>
              <w:spacing w:before="40"/>
              <w:ind w:left="0" w:right="0"/>
              <w:jc w:val="left"/>
            </w:pPr>
            <w:r w:rsidRPr="00810663">
              <w:t>Rapport du Sous-Comité d’experts du transport des marchandises dangereuses sur sa quarante-septième session</w:t>
            </w:r>
          </w:p>
        </w:tc>
      </w:tr>
      <w:tr w:rsidR="009818D6" w:rsidRPr="00810663" w:rsidTr="00DB0B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right w:w="0" w:type="dxa"/>
          </w:tblCellMar>
        </w:tblPrEx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18D6" w:rsidRPr="00810663" w:rsidRDefault="009818D6" w:rsidP="00810663">
            <w:pPr>
              <w:pStyle w:val="SingleTxtG"/>
              <w:spacing w:before="40"/>
              <w:ind w:left="0" w:right="57"/>
              <w:jc w:val="left"/>
            </w:pPr>
            <w:r w:rsidRPr="00810663">
              <w:t>ST/SG/AC.10/C.3/96 et Add.1</w:t>
            </w:r>
          </w:p>
        </w:tc>
        <w:tc>
          <w:tcPr>
            <w:tcW w:w="4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18D6" w:rsidRPr="00810663" w:rsidRDefault="009818D6" w:rsidP="00DB0B72">
            <w:pPr>
              <w:pStyle w:val="SingleTxtG"/>
              <w:spacing w:before="40"/>
              <w:ind w:left="0" w:right="0"/>
              <w:jc w:val="left"/>
            </w:pPr>
            <w:r w:rsidRPr="00810663">
              <w:t>Rapport du Sous-Comité d’experts du transport des marchandises dangereuses sur sa quarante-huitième session</w:t>
            </w:r>
          </w:p>
        </w:tc>
      </w:tr>
      <w:tr w:rsidR="009818D6" w:rsidRPr="00810663" w:rsidTr="00DB0B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right w:w="0" w:type="dxa"/>
          </w:tblCellMar>
        </w:tblPrEx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18D6" w:rsidRPr="00810663" w:rsidRDefault="009818D6" w:rsidP="00810663">
            <w:pPr>
              <w:pStyle w:val="SingleTxtG"/>
              <w:spacing w:before="40"/>
              <w:ind w:left="0" w:right="57"/>
              <w:jc w:val="left"/>
            </w:pPr>
            <w:r w:rsidRPr="00810663">
              <w:lastRenderedPageBreak/>
              <w:t>ST/SG/AC.10/C.3/98 et Add.1</w:t>
            </w:r>
          </w:p>
        </w:tc>
        <w:tc>
          <w:tcPr>
            <w:tcW w:w="4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18D6" w:rsidRPr="00810663" w:rsidRDefault="009818D6" w:rsidP="00DB0B72">
            <w:pPr>
              <w:pStyle w:val="SingleTxtG"/>
              <w:spacing w:before="40"/>
              <w:ind w:left="0" w:right="0"/>
              <w:jc w:val="left"/>
            </w:pPr>
            <w:r w:rsidRPr="00810663">
              <w:t>Rapport du Sous-Comité d’experts du transport des marchandises dangereuses sur sa quarante-neuvième session</w:t>
            </w:r>
          </w:p>
        </w:tc>
      </w:tr>
      <w:tr w:rsidR="009818D6" w:rsidRPr="00810663" w:rsidTr="00DB0B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right w:w="0" w:type="dxa"/>
          </w:tblCellMar>
        </w:tblPrEx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18D6" w:rsidRPr="00810663" w:rsidRDefault="009818D6" w:rsidP="00810663">
            <w:pPr>
              <w:pStyle w:val="SingleTxtG"/>
              <w:spacing w:before="40"/>
              <w:ind w:left="0" w:right="57"/>
              <w:jc w:val="left"/>
            </w:pPr>
            <w:r w:rsidRPr="00810663">
              <w:t>ST/SG/AC.10/C.4/58</w:t>
            </w:r>
          </w:p>
        </w:tc>
        <w:tc>
          <w:tcPr>
            <w:tcW w:w="4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18D6" w:rsidRPr="00810663" w:rsidRDefault="009818D6" w:rsidP="00DB0B72">
            <w:pPr>
              <w:pStyle w:val="SingleTxtG"/>
              <w:spacing w:before="40"/>
              <w:ind w:left="0" w:right="0"/>
              <w:jc w:val="left"/>
            </w:pPr>
            <w:r w:rsidRPr="00810663">
              <w:t>Rapport du Sous-Comité d’experts du Système général harmonisé de classification et d’étiquetage des produits chimiques sur sa vingt-neuvième session</w:t>
            </w:r>
          </w:p>
        </w:tc>
      </w:tr>
      <w:tr w:rsidR="009818D6" w:rsidRPr="00810663" w:rsidTr="00DB0B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right w:w="0" w:type="dxa"/>
          </w:tblCellMar>
        </w:tblPrEx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18D6" w:rsidRPr="00810663" w:rsidRDefault="009818D6" w:rsidP="00810663">
            <w:pPr>
              <w:pStyle w:val="SingleTxtG"/>
              <w:spacing w:before="40"/>
              <w:ind w:left="0" w:right="57"/>
              <w:jc w:val="left"/>
            </w:pPr>
            <w:r w:rsidRPr="00810663">
              <w:t>ST/SG/AC.10/C.4/60</w:t>
            </w:r>
          </w:p>
        </w:tc>
        <w:tc>
          <w:tcPr>
            <w:tcW w:w="4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18D6" w:rsidRPr="00810663" w:rsidRDefault="009818D6" w:rsidP="00DB0B72">
            <w:pPr>
              <w:pStyle w:val="SingleTxtG"/>
              <w:spacing w:before="40"/>
              <w:ind w:left="0" w:right="0"/>
              <w:jc w:val="left"/>
            </w:pPr>
            <w:r w:rsidRPr="00810663">
              <w:t>Rapport du Sous-Comité d’experts du Système général harmonisé de classification et d’étiquetage des produits chimiques sur sa trentième session</w:t>
            </w:r>
          </w:p>
        </w:tc>
      </w:tr>
      <w:tr w:rsidR="009818D6" w:rsidRPr="00810663" w:rsidTr="00DB0B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right w:w="0" w:type="dxa"/>
          </w:tblCellMar>
        </w:tblPrEx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18D6" w:rsidRPr="00810663" w:rsidRDefault="009818D6" w:rsidP="00810663">
            <w:pPr>
              <w:pStyle w:val="SingleTxtG"/>
              <w:spacing w:before="40"/>
              <w:ind w:left="0" w:right="57"/>
              <w:jc w:val="left"/>
            </w:pPr>
            <w:r w:rsidRPr="00810663">
              <w:t>ST/SG/AC.10/C.4/62</w:t>
            </w:r>
          </w:p>
        </w:tc>
        <w:tc>
          <w:tcPr>
            <w:tcW w:w="4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18D6" w:rsidRPr="00810663" w:rsidRDefault="009818D6" w:rsidP="00DB0B72">
            <w:pPr>
              <w:pStyle w:val="SingleTxtG"/>
              <w:spacing w:before="40"/>
              <w:ind w:left="0" w:right="0"/>
              <w:jc w:val="left"/>
            </w:pPr>
            <w:r w:rsidRPr="00810663">
              <w:t>Rapport du Sous-Comité d’experts du Système général harmonisé de classification et d’étiquetage des produits chimiques sur sa trente et unième session</w:t>
            </w:r>
          </w:p>
        </w:tc>
      </w:tr>
    </w:tbl>
    <w:p w:rsidR="009818D6" w:rsidRPr="00810663" w:rsidRDefault="00810663" w:rsidP="00810663">
      <w:pPr>
        <w:pStyle w:val="H1G"/>
        <w:rPr>
          <w:spacing w:val="-2"/>
        </w:rPr>
      </w:pPr>
      <w:r w:rsidRPr="00810663">
        <w:rPr>
          <w:spacing w:val="-2"/>
        </w:rPr>
        <w:tab/>
        <w:t>2.</w:t>
      </w:r>
      <w:r w:rsidRPr="00810663">
        <w:rPr>
          <w:spacing w:val="-2"/>
        </w:rPr>
        <w:tab/>
      </w:r>
      <w:r w:rsidR="009818D6" w:rsidRPr="00810663">
        <w:rPr>
          <w:spacing w:val="-2"/>
        </w:rPr>
        <w:t>Recommandations du Sous-Comité formulées à ses quarante-septième, quarante-huitième et quarante-neuvième sessions et questions en suspens</w:t>
      </w:r>
    </w:p>
    <w:p w:rsidR="009818D6" w:rsidRPr="00810663" w:rsidRDefault="00810663" w:rsidP="00810663">
      <w:pPr>
        <w:pStyle w:val="H23G"/>
      </w:pPr>
      <w:r w:rsidRPr="00810663">
        <w:tab/>
      </w:r>
      <w:r w:rsidR="009818D6" w:rsidRPr="00810663">
        <w:t>a)</w:t>
      </w:r>
      <w:r w:rsidR="009818D6" w:rsidRPr="00810663">
        <w:tab/>
        <w:t>Examen des projets d’amendements déjà adoptés durant la période biennale</w:t>
      </w:r>
    </w:p>
    <w:tbl>
      <w:tblPr>
        <w:tblW w:w="7370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66"/>
        <w:gridCol w:w="4904"/>
      </w:tblGrid>
      <w:tr w:rsidR="009818D6" w:rsidRPr="00810663" w:rsidTr="00DB0B72"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18D6" w:rsidRPr="00810663" w:rsidRDefault="009818D6" w:rsidP="00810663">
            <w:pPr>
              <w:pStyle w:val="SingleTxtG"/>
              <w:spacing w:before="40"/>
              <w:ind w:left="0" w:right="57"/>
              <w:jc w:val="left"/>
            </w:pPr>
            <w:r w:rsidRPr="00810663">
              <w:t>ST/SG/AC.10/C.3/2016/55 (Secrétariat)</w:t>
            </w:r>
          </w:p>
        </w:tc>
        <w:tc>
          <w:tcPr>
            <w:tcW w:w="4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18D6" w:rsidRPr="00810663" w:rsidRDefault="009818D6" w:rsidP="00DB0B72">
            <w:pPr>
              <w:pStyle w:val="SingleTxtG"/>
              <w:spacing w:before="40"/>
              <w:ind w:left="0" w:right="0"/>
              <w:jc w:val="left"/>
            </w:pPr>
            <w:r w:rsidRPr="00810663">
              <w:t>Liste récapitulative des projets d’amendements adoptés aux quarante-septième, quarante-huitième et quarante-neuvième sessions</w:t>
            </w:r>
          </w:p>
        </w:tc>
      </w:tr>
    </w:tbl>
    <w:p w:rsidR="009818D6" w:rsidRPr="00810663" w:rsidRDefault="009818D6" w:rsidP="00810663">
      <w:pPr>
        <w:pStyle w:val="H23G"/>
      </w:pPr>
      <w:r w:rsidRPr="00810663">
        <w:tab/>
        <w:t>b)</w:t>
      </w:r>
      <w:r w:rsidRPr="00810663">
        <w:tab/>
        <w:t>Explosifs et questions connexes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9818D6" w:rsidRPr="00810663" w:rsidTr="00DB0B72">
        <w:tc>
          <w:tcPr>
            <w:tcW w:w="2450" w:type="dxa"/>
            <w:shd w:val="clear" w:color="auto" w:fill="auto"/>
          </w:tcPr>
          <w:p w:rsidR="009818D6" w:rsidRPr="00810663" w:rsidRDefault="009818D6" w:rsidP="00810663">
            <w:pPr>
              <w:spacing w:before="40" w:after="120"/>
              <w:ind w:right="57"/>
            </w:pPr>
            <w:r w:rsidRPr="00810663">
              <w:t>ST/SG/AC.10/C.3/2016/53 (AEISG)</w:t>
            </w:r>
          </w:p>
        </w:tc>
        <w:tc>
          <w:tcPr>
            <w:tcW w:w="4920" w:type="dxa"/>
            <w:shd w:val="clear" w:color="auto" w:fill="auto"/>
          </w:tcPr>
          <w:p w:rsidR="009818D6" w:rsidRPr="00810663" w:rsidRDefault="00810663" w:rsidP="00810663">
            <w:pPr>
              <w:spacing w:before="40" w:after="120"/>
            </w:pPr>
            <w:r>
              <w:t>Chapitre 2.</w:t>
            </w:r>
            <w:r w:rsidR="009818D6" w:rsidRPr="00810663">
              <w:t xml:space="preserve">1 du Règlement type </w:t>
            </w:r>
            <w:r>
              <w:t>− définition de la classe </w:t>
            </w:r>
            <w:r w:rsidR="009818D6" w:rsidRPr="00810663">
              <w:t>1, chapitre 2</w:t>
            </w:r>
            <w:r>
              <w:t>.</w:t>
            </w:r>
            <w:r w:rsidR="009818D6" w:rsidRPr="00810663">
              <w:t>1 du SGH − classe des matières et objets explosibles</w:t>
            </w:r>
          </w:p>
        </w:tc>
      </w:tr>
      <w:tr w:rsidR="009818D6" w:rsidRPr="00810663" w:rsidTr="00DB0B72">
        <w:tc>
          <w:tcPr>
            <w:tcW w:w="2450" w:type="dxa"/>
            <w:shd w:val="clear" w:color="auto" w:fill="auto"/>
          </w:tcPr>
          <w:p w:rsidR="009818D6" w:rsidRPr="00810663" w:rsidRDefault="009818D6" w:rsidP="00810663">
            <w:pPr>
              <w:spacing w:before="40" w:after="120"/>
              <w:ind w:right="57"/>
            </w:pPr>
            <w:r w:rsidRPr="00810663">
              <w:t>ST/SG/AC.10/C.3/2016/60 (AEISG)</w:t>
            </w:r>
          </w:p>
        </w:tc>
        <w:tc>
          <w:tcPr>
            <w:tcW w:w="4920" w:type="dxa"/>
            <w:shd w:val="clear" w:color="auto" w:fill="auto"/>
          </w:tcPr>
          <w:p w:rsidR="009818D6" w:rsidRPr="00810663" w:rsidRDefault="009818D6" w:rsidP="00DB0B72">
            <w:pPr>
              <w:spacing w:before="40" w:after="120"/>
            </w:pPr>
            <w:r w:rsidRPr="00810663">
              <w:t>Propositions visant à modifier la section 10.3.3 (Manuel d’épreuves et de critères)</w:t>
            </w:r>
          </w:p>
        </w:tc>
      </w:tr>
      <w:tr w:rsidR="009818D6" w:rsidRPr="00810663" w:rsidTr="00DB0B72">
        <w:tc>
          <w:tcPr>
            <w:tcW w:w="2450" w:type="dxa"/>
            <w:shd w:val="clear" w:color="auto" w:fill="auto"/>
          </w:tcPr>
          <w:p w:rsidR="009818D6" w:rsidRPr="00810663" w:rsidRDefault="009818D6" w:rsidP="00810663">
            <w:pPr>
              <w:spacing w:before="40" w:after="120"/>
              <w:ind w:right="57"/>
            </w:pPr>
            <w:r w:rsidRPr="00810663">
              <w:t>ST/SG/AC.10/C.3/2016/61 (CEFIC)</w:t>
            </w:r>
          </w:p>
        </w:tc>
        <w:tc>
          <w:tcPr>
            <w:tcW w:w="4920" w:type="dxa"/>
            <w:shd w:val="clear" w:color="auto" w:fill="auto"/>
          </w:tcPr>
          <w:p w:rsidR="009818D6" w:rsidRPr="00810663" w:rsidRDefault="009818D6" w:rsidP="00DB0B72">
            <w:pPr>
              <w:spacing w:before="40" w:after="120"/>
            </w:pPr>
            <w:r w:rsidRPr="00810663">
              <w:t>Transport d’échantillons énergétiques en vue d’essais ultérieurs</w:t>
            </w:r>
          </w:p>
        </w:tc>
      </w:tr>
      <w:tr w:rsidR="009818D6" w:rsidRPr="00810663" w:rsidTr="00DB0B72">
        <w:tc>
          <w:tcPr>
            <w:tcW w:w="2450" w:type="dxa"/>
            <w:shd w:val="clear" w:color="auto" w:fill="auto"/>
          </w:tcPr>
          <w:p w:rsidR="009818D6" w:rsidRPr="00810663" w:rsidRDefault="009818D6" w:rsidP="00810663">
            <w:pPr>
              <w:spacing w:before="40" w:after="120"/>
              <w:ind w:right="57"/>
            </w:pPr>
            <w:r w:rsidRPr="00810663">
              <w:t>ST/SG/AC.10/C.3/2016/66 (Suède)</w:t>
            </w:r>
          </w:p>
        </w:tc>
        <w:tc>
          <w:tcPr>
            <w:tcW w:w="4920" w:type="dxa"/>
            <w:shd w:val="clear" w:color="auto" w:fill="auto"/>
          </w:tcPr>
          <w:p w:rsidR="009818D6" w:rsidRPr="00810663" w:rsidRDefault="009818D6" w:rsidP="00810663">
            <w:pPr>
              <w:spacing w:before="40" w:after="120"/>
            </w:pPr>
            <w:r w:rsidRPr="00810663">
              <w:t>Précisions concernant la classification des engrais au nitrate d’ammonium − proposition de nouvelle section 39 dans le Manuel d’épreuves et de critères</w:t>
            </w:r>
          </w:p>
        </w:tc>
      </w:tr>
    </w:tbl>
    <w:p w:rsidR="009818D6" w:rsidRPr="00810663" w:rsidRDefault="009818D6" w:rsidP="00810663">
      <w:pPr>
        <w:pStyle w:val="H23G"/>
      </w:pPr>
      <w:r w:rsidRPr="00810663">
        <w:tab/>
        <w:t>c)</w:t>
      </w:r>
      <w:r w:rsidRPr="00810663">
        <w:tab/>
        <w:t>Inscription, classement et emballage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9818D6" w:rsidRPr="00810663" w:rsidTr="00DB0B72">
        <w:tc>
          <w:tcPr>
            <w:tcW w:w="2450" w:type="dxa"/>
            <w:shd w:val="clear" w:color="auto" w:fill="auto"/>
          </w:tcPr>
          <w:p w:rsidR="009818D6" w:rsidRPr="00810663" w:rsidRDefault="009818D6" w:rsidP="00810663">
            <w:pPr>
              <w:spacing w:before="40" w:after="120"/>
              <w:ind w:right="57"/>
            </w:pPr>
            <w:r w:rsidRPr="00810663">
              <w:t xml:space="preserve">ST/SG/AC.10/C.3/2016/50 (Canada, CEFIC, AISE) Document INF.5 </w:t>
            </w:r>
            <w:r w:rsidR="00810663">
              <w:br/>
            </w:r>
            <w:r w:rsidRPr="00810663">
              <w:t>(Canada, CEFIC, AISE)</w:t>
            </w:r>
          </w:p>
        </w:tc>
        <w:tc>
          <w:tcPr>
            <w:tcW w:w="4920" w:type="dxa"/>
            <w:shd w:val="clear" w:color="auto" w:fill="auto"/>
          </w:tcPr>
          <w:p w:rsidR="009818D6" w:rsidRPr="00810663" w:rsidRDefault="009818D6" w:rsidP="00810663">
            <w:pPr>
              <w:pStyle w:val="SingleTxtG"/>
              <w:spacing w:before="40"/>
              <w:ind w:left="0" w:right="0"/>
              <w:jc w:val="left"/>
            </w:pPr>
            <w:r w:rsidRPr="00810663">
              <w:t>Texte modifié pour le chapitre 2.8 révisé</w:t>
            </w:r>
            <w:r w:rsidRPr="00810663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1" layoutInCell="1" allowOverlap="1" wp14:anchorId="0C648B4A" wp14:editId="084044CB">
                      <wp:simplePos x="0" y="0"/>
                      <wp:positionH relativeFrom="column">
                        <wp:posOffset>-94615</wp:posOffset>
                      </wp:positionH>
                      <wp:positionV relativeFrom="page">
                        <wp:posOffset>67310</wp:posOffset>
                      </wp:positionV>
                      <wp:extent cx="63500" cy="550545"/>
                      <wp:effectExtent l="0" t="0" r="12700" b="20955"/>
                      <wp:wrapNone/>
                      <wp:docPr id="6" name="Right Brac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3500" cy="550545"/>
                              </a:xfrm>
                              <a:prstGeom prst="rightBrace">
                                <a:avLst>
                                  <a:gd name="adj1" fmla="val 4500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6" o:spid="_x0000_s1026" type="#_x0000_t88" style="position:absolute;margin-left:-7.45pt;margin-top:5.3pt;width:5pt;height:43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jx7gQIAAC4FAAAOAAAAZHJzL2Uyb0RvYy54bWysVFFv0zAQfkfiP1h+b5N0SbdGTafRtAhp&#10;wMTgB7i20xgcO9hu0w3x3zk7aWnZC0LkwTnnLt/dd/7O89tDI9GeGyu0KnAyjjHiimom1LbAXz6v&#10;RzcYWUcUI1IrXuAnbvHt4vWredfmfKJrLRk3CECUzbu2wLVzbR5Flta8IXasW67AWWnTEAdbs42Y&#10;IR2gNzKaxPE06rRhrdGUWwtfy96JFwG/qjh1H6vKcodkgaE2F1YT1o1fo8Wc5FtD2lrQoQzyD1U0&#10;RChIeoIqiSNoZ8QLqEZQo62u3JjqJtJVJSgPHIBNEv/B5rEmLQ9coDm2PbXJ/j9Y+mH/YJBgBZ5i&#10;pEgDR/RJbGuH3hhCOZr6BnWtzSHusX0wnqJt7zX9ZsERXXj8xkIM2nTvNQMgsnM6NOVQmcb/CXTR&#10;IfT+6dR7fnCIwsfpVRbDAVHwZFmcpZnPHJH8+G9rrHvLdYO8UWDjiww1hgxkf29d6D8bWBD2NcGo&#10;aiQc555IlAL88bjPYibnMT4kxEDeARGsY2YPr/RaSBlEIxXqCjzLJlmowGopmHeGFpntZikNgsRA&#10;NDwDnYswo3eKBbCaE7YabEeE7G1ILpXHgyYN/Hy7gq5+zOLZ6mZ1k47SyXQ1SuOyHN2tl+louk6u&#10;s/KqXC7L5KcvLUnzWjDGla/uqPEk/TsNDdPWq/Ok8gsW9pzsOjwvyUaXZYSjBS7Hd2AX5OQV1Etu&#10;o9kTqMnofmjhkgGj1uYZow4GtsD2+44YjpF8p2AiZkma+gkPmzS7nsDGnHs25x6iKEAV2GHUm0vX&#10;3wq7NkgL7rJwrErfgYor4Y5y76satA9DGRgMF4if+vN9iPp9zS1+AQAA//8DAFBLAwQUAAYACAAA&#10;ACEA7JlnKN0AAAAIAQAADwAAAGRycy9kb3ducmV2LnhtbEyPy07DMBBF90j8gzVIbFBqt/SZxqkQ&#10;ErsKiYDUrRtPk6jxOMRuE/6e6QqWV/fozplsN7pWXLEPjScN04kCgVR621Cl4evzLVmDCNGQNa0n&#10;1PCDAXb5/V1mUusH+sBrESvBIxRSo6GOsUulDGWNzoSJ75C4O/nemcixr6TtzcDjrpUzpZbSmYb4&#10;Qm06fK2xPBcXp2H/fljPhmK+souFPKnvp8OwZz39+DC+bEFEHOMfDDd9VoecnY7+QjaIVkMynW8Y&#10;5UItQTCQ3PJRw2b1DDLP5P8H8l8AAAD//wMAUEsBAi0AFAAGAAgAAAAhALaDOJL+AAAA4QEAABMA&#10;AAAAAAAAAAAAAAAAAAAAAFtDb250ZW50X1R5cGVzXS54bWxQSwECLQAUAAYACAAAACEAOP0h/9YA&#10;AACUAQAACwAAAAAAAAAAAAAAAAAvAQAAX3JlbHMvLnJlbHNQSwECLQAUAAYACAAAACEAOHI8e4EC&#10;AAAuBQAADgAAAAAAAAAAAAAAAAAuAgAAZHJzL2Uyb0RvYy54bWxQSwECLQAUAAYACAAAACEA7Jln&#10;KN0AAAAIAQAADwAAAAAAAAAAAAAAAADbBAAAZHJzL2Rvd25yZXYueG1sUEsFBgAAAAAEAAQA8wAA&#10;AOUFAAAAAA==&#10;" adj="1121">
                      <w10:wrap anchory="page"/>
                      <w10:anchorlock/>
                    </v:shape>
                  </w:pict>
                </mc:Fallback>
              </mc:AlternateContent>
            </w:r>
          </w:p>
        </w:tc>
      </w:tr>
      <w:tr w:rsidR="009818D6" w:rsidRPr="00810663" w:rsidTr="00DB0B72">
        <w:tc>
          <w:tcPr>
            <w:tcW w:w="2450" w:type="dxa"/>
            <w:shd w:val="clear" w:color="auto" w:fill="auto"/>
          </w:tcPr>
          <w:p w:rsidR="009818D6" w:rsidRPr="00810663" w:rsidRDefault="009818D6" w:rsidP="00810663">
            <w:pPr>
              <w:spacing w:before="40" w:after="120"/>
              <w:ind w:right="57"/>
            </w:pPr>
            <w:r w:rsidRPr="00810663">
              <w:t>ST/SG/AC.10/C.3/2016/54 (Royaume-Uni)</w:t>
            </w:r>
          </w:p>
        </w:tc>
        <w:tc>
          <w:tcPr>
            <w:tcW w:w="4920" w:type="dxa"/>
            <w:shd w:val="clear" w:color="auto" w:fill="auto"/>
          </w:tcPr>
          <w:p w:rsidR="009818D6" w:rsidRPr="00810663" w:rsidRDefault="009818D6" w:rsidP="00DB0B72">
            <w:pPr>
              <w:pStyle w:val="SingleTxtG"/>
              <w:spacing w:before="40"/>
              <w:ind w:left="0" w:right="0"/>
              <w:jc w:val="left"/>
            </w:pPr>
            <w:r w:rsidRPr="00810663">
              <w:t>Marchandises dangereuses contenues dans des machines, des appareils ou des objets, N.S.A.</w:t>
            </w:r>
          </w:p>
        </w:tc>
      </w:tr>
      <w:tr w:rsidR="009818D6" w:rsidRPr="00810663" w:rsidTr="00DB0B72">
        <w:tc>
          <w:tcPr>
            <w:tcW w:w="2450" w:type="dxa"/>
            <w:shd w:val="clear" w:color="auto" w:fill="auto"/>
          </w:tcPr>
          <w:p w:rsidR="009818D6" w:rsidRPr="00810663" w:rsidRDefault="009818D6" w:rsidP="00810663">
            <w:pPr>
              <w:spacing w:before="40" w:after="120"/>
              <w:ind w:right="57"/>
            </w:pPr>
            <w:r w:rsidRPr="00810663">
              <w:t>ST/SG/AC.10/C.3/2016/49 (Allemagne)</w:t>
            </w:r>
          </w:p>
        </w:tc>
        <w:tc>
          <w:tcPr>
            <w:tcW w:w="4920" w:type="dxa"/>
            <w:shd w:val="clear" w:color="auto" w:fill="auto"/>
          </w:tcPr>
          <w:p w:rsidR="009818D6" w:rsidRPr="00810663" w:rsidRDefault="009818D6" w:rsidP="00DB0B72">
            <w:pPr>
              <w:pStyle w:val="SingleTxtG"/>
              <w:spacing w:before="40"/>
              <w:ind w:left="0" w:right="0"/>
              <w:jc w:val="left"/>
            </w:pPr>
            <w:r w:rsidRPr="00810663">
              <w:t>Marchandises dangereuses contenues dans des machines, des appareils ou des objets, N.S.A.</w:t>
            </w:r>
          </w:p>
        </w:tc>
      </w:tr>
      <w:tr w:rsidR="009818D6" w:rsidRPr="00810663" w:rsidTr="00810663">
        <w:trPr>
          <w:cantSplit/>
        </w:trPr>
        <w:tc>
          <w:tcPr>
            <w:tcW w:w="2450" w:type="dxa"/>
            <w:shd w:val="clear" w:color="auto" w:fill="auto"/>
          </w:tcPr>
          <w:p w:rsidR="009818D6" w:rsidRPr="00810663" w:rsidRDefault="009818D6" w:rsidP="00810663">
            <w:pPr>
              <w:spacing w:before="40" w:after="120"/>
              <w:ind w:right="57"/>
            </w:pPr>
            <w:r w:rsidRPr="00810663">
              <w:lastRenderedPageBreak/>
              <w:t>ST/SG/AC.10/C.3/2016/59 (COSTHA)</w:t>
            </w:r>
          </w:p>
        </w:tc>
        <w:tc>
          <w:tcPr>
            <w:tcW w:w="4920" w:type="dxa"/>
            <w:shd w:val="clear" w:color="auto" w:fill="auto"/>
          </w:tcPr>
          <w:p w:rsidR="009818D6" w:rsidRPr="00810663" w:rsidRDefault="009818D6" w:rsidP="00DB0B72">
            <w:pPr>
              <w:pStyle w:val="SingleTxtG"/>
              <w:spacing w:before="40"/>
              <w:ind w:left="0" w:right="0"/>
              <w:jc w:val="left"/>
            </w:pPr>
            <w:r w:rsidRPr="00810663">
              <w:t>Proposition visant à modifier l’instruction d’emballage P902</w:t>
            </w:r>
          </w:p>
        </w:tc>
      </w:tr>
      <w:tr w:rsidR="009818D6" w:rsidRPr="00810663" w:rsidTr="00DB0B72">
        <w:tc>
          <w:tcPr>
            <w:tcW w:w="2450" w:type="dxa"/>
            <w:shd w:val="clear" w:color="auto" w:fill="auto"/>
          </w:tcPr>
          <w:p w:rsidR="009818D6" w:rsidRPr="00810663" w:rsidRDefault="009818D6" w:rsidP="00810663">
            <w:pPr>
              <w:spacing w:before="40" w:after="120"/>
              <w:ind w:right="57"/>
            </w:pPr>
            <w:r w:rsidRPr="00810663">
              <w:t>ST/SG/AC.10/C.3/2016/64 (République de Corée)</w:t>
            </w:r>
          </w:p>
        </w:tc>
        <w:tc>
          <w:tcPr>
            <w:tcW w:w="4920" w:type="dxa"/>
            <w:shd w:val="clear" w:color="auto" w:fill="auto"/>
          </w:tcPr>
          <w:p w:rsidR="009818D6" w:rsidRPr="00810663" w:rsidRDefault="009818D6" w:rsidP="00DB0B72">
            <w:pPr>
              <w:pStyle w:val="SingleTxtG"/>
              <w:spacing w:before="40"/>
              <w:ind w:left="0" w:right="0"/>
              <w:jc w:val="left"/>
            </w:pPr>
            <w:r w:rsidRPr="00810663">
              <w:t>Indications relatives à la toxicité des numéros ONU 2248, 2264 et 2357</w:t>
            </w:r>
          </w:p>
        </w:tc>
      </w:tr>
      <w:tr w:rsidR="009818D6" w:rsidRPr="00810663" w:rsidTr="00DB0B72">
        <w:tc>
          <w:tcPr>
            <w:tcW w:w="2450" w:type="dxa"/>
            <w:shd w:val="clear" w:color="auto" w:fill="auto"/>
          </w:tcPr>
          <w:p w:rsidR="009818D6" w:rsidRPr="00810663" w:rsidRDefault="009818D6" w:rsidP="00810663">
            <w:pPr>
              <w:spacing w:before="40" w:after="120"/>
              <w:ind w:right="57"/>
            </w:pPr>
            <w:r w:rsidRPr="00810663">
              <w:t>ST/SG/AC.10/C.3/2016/65 (Royaume-Uni et Canada)</w:t>
            </w:r>
          </w:p>
        </w:tc>
        <w:tc>
          <w:tcPr>
            <w:tcW w:w="4920" w:type="dxa"/>
            <w:shd w:val="clear" w:color="auto" w:fill="auto"/>
          </w:tcPr>
          <w:p w:rsidR="009818D6" w:rsidRPr="00810663" w:rsidRDefault="009818D6" w:rsidP="00DB0B72">
            <w:pPr>
              <w:pStyle w:val="SingleTxtG"/>
              <w:spacing w:before="40"/>
              <w:ind w:left="0" w:right="0"/>
              <w:jc w:val="left"/>
            </w:pPr>
            <w:r w:rsidRPr="00810663">
              <w:t>Transport de déchets infectieux de la catégorie A</w:t>
            </w:r>
          </w:p>
        </w:tc>
      </w:tr>
      <w:tr w:rsidR="009818D6" w:rsidRPr="00810663" w:rsidTr="00DB0B72">
        <w:tc>
          <w:tcPr>
            <w:tcW w:w="2450" w:type="dxa"/>
            <w:shd w:val="clear" w:color="auto" w:fill="auto"/>
          </w:tcPr>
          <w:p w:rsidR="009818D6" w:rsidRPr="00810663" w:rsidRDefault="009818D6" w:rsidP="00810663">
            <w:pPr>
              <w:spacing w:before="40" w:after="120"/>
              <w:ind w:right="57"/>
            </w:pPr>
            <w:r w:rsidRPr="00810663">
              <w:t>ST/SG/AC.10/C.3/2016/69 (Allemagne)</w:t>
            </w:r>
          </w:p>
        </w:tc>
        <w:tc>
          <w:tcPr>
            <w:tcW w:w="4920" w:type="dxa"/>
            <w:shd w:val="clear" w:color="auto" w:fill="auto"/>
          </w:tcPr>
          <w:p w:rsidR="009818D6" w:rsidRPr="00810663" w:rsidRDefault="009818D6" w:rsidP="00DB0B72">
            <w:pPr>
              <w:pStyle w:val="SingleTxtG"/>
              <w:spacing w:before="40"/>
              <w:ind w:left="0" w:right="0"/>
              <w:jc w:val="left"/>
            </w:pPr>
            <w:r w:rsidRPr="00810663">
              <w:t>Emballages pour matières infectieuses</w:t>
            </w:r>
          </w:p>
        </w:tc>
      </w:tr>
      <w:tr w:rsidR="009818D6" w:rsidRPr="00810663" w:rsidTr="00DB0B72">
        <w:tc>
          <w:tcPr>
            <w:tcW w:w="2450" w:type="dxa"/>
            <w:shd w:val="clear" w:color="auto" w:fill="auto"/>
          </w:tcPr>
          <w:p w:rsidR="009818D6" w:rsidRPr="00810663" w:rsidRDefault="009818D6" w:rsidP="00810663">
            <w:pPr>
              <w:spacing w:before="40" w:after="120"/>
              <w:ind w:right="57"/>
            </w:pPr>
            <w:r w:rsidRPr="00810663">
              <w:t>ST/SG/AC.10/C.3/2016/72 (Autriche)</w:t>
            </w:r>
          </w:p>
        </w:tc>
        <w:tc>
          <w:tcPr>
            <w:tcW w:w="4920" w:type="dxa"/>
            <w:shd w:val="clear" w:color="auto" w:fill="auto"/>
          </w:tcPr>
          <w:p w:rsidR="009818D6" w:rsidRPr="00810663" w:rsidRDefault="009818D6" w:rsidP="00810663">
            <w:pPr>
              <w:pStyle w:val="SingleTxtG"/>
              <w:spacing w:before="40"/>
              <w:ind w:left="0" w:right="0"/>
              <w:jc w:val="left"/>
            </w:pPr>
            <w:r w:rsidRPr="00810663">
              <w:t>Désignation officielle de transport des matières susceptibles de polymériser qui ne satisfont à aucun autre des critères d’inclusion dans les classes 1 à 8</w:t>
            </w:r>
          </w:p>
        </w:tc>
      </w:tr>
      <w:tr w:rsidR="009818D6" w:rsidRPr="00810663" w:rsidTr="00DB0B72">
        <w:tc>
          <w:tcPr>
            <w:tcW w:w="2450" w:type="dxa"/>
            <w:shd w:val="clear" w:color="auto" w:fill="auto"/>
          </w:tcPr>
          <w:p w:rsidR="009818D6" w:rsidRPr="00810663" w:rsidRDefault="009818D6" w:rsidP="00E4683D">
            <w:pPr>
              <w:spacing w:before="40" w:after="120"/>
              <w:ind w:right="57"/>
            </w:pPr>
            <w:r w:rsidRPr="00810663">
              <w:t>ST/SG/AC.10/C.3/2016/</w:t>
            </w:r>
            <w:r w:rsidR="00E4683D">
              <w:t>77</w:t>
            </w:r>
            <w:r w:rsidRPr="00810663">
              <w:t xml:space="preserve"> (OMS, FAO)</w:t>
            </w:r>
          </w:p>
        </w:tc>
        <w:tc>
          <w:tcPr>
            <w:tcW w:w="4920" w:type="dxa"/>
            <w:shd w:val="clear" w:color="auto" w:fill="auto"/>
          </w:tcPr>
          <w:p w:rsidR="009818D6" w:rsidRPr="00810663" w:rsidRDefault="009818D6" w:rsidP="00810663">
            <w:pPr>
              <w:pStyle w:val="SingleTxtG"/>
              <w:spacing w:before="40"/>
              <w:ind w:left="0" w:right="0"/>
              <w:jc w:val="left"/>
            </w:pPr>
            <w:r w:rsidRPr="00810663">
              <w:t xml:space="preserve">Classification des animaux infectés </w:t>
            </w:r>
            <w:r w:rsidR="00810663">
              <w:t>−</w:t>
            </w:r>
            <w:r w:rsidRPr="00810663">
              <w:t xml:space="preserve"> proposition révisée</w:t>
            </w:r>
          </w:p>
        </w:tc>
      </w:tr>
      <w:tr w:rsidR="009818D6" w:rsidRPr="00810663" w:rsidTr="00DB0B72">
        <w:tc>
          <w:tcPr>
            <w:tcW w:w="2450" w:type="dxa"/>
            <w:shd w:val="clear" w:color="auto" w:fill="auto"/>
          </w:tcPr>
          <w:p w:rsidR="009818D6" w:rsidRPr="00810663" w:rsidRDefault="009818D6" w:rsidP="00810663">
            <w:pPr>
              <w:spacing w:before="40" w:after="120"/>
              <w:ind w:right="57"/>
            </w:pPr>
            <w:r w:rsidRPr="00810663">
              <w:t>ST/SG/AC.10/C.3/2016/82 (IFFO)</w:t>
            </w:r>
          </w:p>
        </w:tc>
        <w:tc>
          <w:tcPr>
            <w:tcW w:w="4920" w:type="dxa"/>
            <w:shd w:val="clear" w:color="auto" w:fill="auto"/>
          </w:tcPr>
          <w:p w:rsidR="009818D6" w:rsidRPr="00810663" w:rsidRDefault="009818D6" w:rsidP="00DB0B72">
            <w:pPr>
              <w:pStyle w:val="SingleTxtG"/>
              <w:spacing w:before="40"/>
              <w:ind w:left="0" w:right="0"/>
              <w:jc w:val="left"/>
            </w:pPr>
            <w:r w:rsidRPr="00810663">
              <w:t>Disposition spéciale 308 relative à la farine de poisson (déchets de poisson) stabilisée (ONU 2216), classe 9</w:t>
            </w:r>
          </w:p>
        </w:tc>
      </w:tr>
    </w:tbl>
    <w:p w:rsidR="009818D6" w:rsidRPr="00810663" w:rsidRDefault="009818D6" w:rsidP="00810663">
      <w:pPr>
        <w:pStyle w:val="H23G"/>
      </w:pPr>
      <w:r w:rsidRPr="00810663">
        <w:tab/>
        <w:t>d)</w:t>
      </w:r>
      <w:r w:rsidRPr="00810663">
        <w:tab/>
        <w:t>Systèmes de stockage de l’électricité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9818D6" w:rsidRPr="00810663" w:rsidTr="00DB0B72">
        <w:tc>
          <w:tcPr>
            <w:tcW w:w="2450" w:type="dxa"/>
            <w:shd w:val="clear" w:color="auto" w:fill="auto"/>
          </w:tcPr>
          <w:p w:rsidR="009818D6" w:rsidRPr="00810663" w:rsidRDefault="009818D6" w:rsidP="00DB0B72">
            <w:pPr>
              <w:spacing w:before="40" w:after="120"/>
            </w:pPr>
            <w:r w:rsidRPr="00810663">
              <w:t>ST/SG/AC.10/C.3/2016/52 (Allemagne)</w:t>
            </w:r>
          </w:p>
        </w:tc>
        <w:tc>
          <w:tcPr>
            <w:tcW w:w="4920" w:type="dxa"/>
            <w:shd w:val="clear" w:color="auto" w:fill="auto"/>
          </w:tcPr>
          <w:p w:rsidR="009818D6" w:rsidRPr="00810663" w:rsidRDefault="009818D6" w:rsidP="00DB0B72">
            <w:pPr>
              <w:pStyle w:val="SingleTxtG"/>
              <w:spacing w:before="40"/>
              <w:ind w:left="0" w:right="0"/>
              <w:jc w:val="left"/>
            </w:pPr>
            <w:r w:rsidRPr="00810663">
              <w:t>Grands emballages contenant des piles au lithium produites en séries limitées ou des prototypes de piles au lithium</w:t>
            </w:r>
          </w:p>
        </w:tc>
      </w:tr>
      <w:tr w:rsidR="009818D6" w:rsidRPr="00810663" w:rsidTr="00DB0B72">
        <w:tc>
          <w:tcPr>
            <w:tcW w:w="2450" w:type="dxa"/>
            <w:shd w:val="clear" w:color="auto" w:fill="auto"/>
          </w:tcPr>
          <w:p w:rsidR="009818D6" w:rsidRPr="00810663" w:rsidRDefault="009818D6" w:rsidP="00DB0B72">
            <w:pPr>
              <w:spacing w:before="40" w:after="120"/>
            </w:pPr>
            <w:r w:rsidRPr="00810663">
              <w:t>ST/SG/AC.10/C.3/2016/56 (Allemagne)</w:t>
            </w:r>
          </w:p>
        </w:tc>
        <w:tc>
          <w:tcPr>
            <w:tcW w:w="4920" w:type="dxa"/>
            <w:shd w:val="clear" w:color="auto" w:fill="auto"/>
          </w:tcPr>
          <w:p w:rsidR="009818D6" w:rsidRPr="00810663" w:rsidRDefault="009818D6" w:rsidP="00DB0B72">
            <w:pPr>
              <w:pStyle w:val="SingleTxtG"/>
              <w:spacing w:before="40"/>
              <w:ind w:left="0" w:right="0"/>
              <w:jc w:val="left"/>
            </w:pPr>
            <w:r w:rsidRPr="00810663">
              <w:t>Engins de transport équipés de dispositifs de localisation de conteneur contenant des piles au lithium</w:t>
            </w:r>
          </w:p>
        </w:tc>
      </w:tr>
      <w:tr w:rsidR="009818D6" w:rsidRPr="00810663" w:rsidTr="00DB0B72">
        <w:tc>
          <w:tcPr>
            <w:tcW w:w="2450" w:type="dxa"/>
            <w:shd w:val="clear" w:color="auto" w:fill="auto"/>
          </w:tcPr>
          <w:p w:rsidR="009818D6" w:rsidRPr="00810663" w:rsidRDefault="009818D6" w:rsidP="00DB0B72">
            <w:pPr>
              <w:spacing w:before="40" w:after="120"/>
            </w:pPr>
            <w:r w:rsidRPr="00810663">
              <w:t>ST/SG/AC.10/C.3/2016/67 (OICA RECHARGE)</w:t>
            </w:r>
          </w:p>
        </w:tc>
        <w:tc>
          <w:tcPr>
            <w:tcW w:w="4920" w:type="dxa"/>
            <w:shd w:val="clear" w:color="auto" w:fill="auto"/>
          </w:tcPr>
          <w:p w:rsidR="009818D6" w:rsidRPr="00810663" w:rsidRDefault="009818D6" w:rsidP="005C2EB5">
            <w:pPr>
              <w:pStyle w:val="SingleTxtG"/>
              <w:spacing w:before="40"/>
              <w:ind w:left="0" w:right="0"/>
              <w:jc w:val="left"/>
            </w:pPr>
            <w:r w:rsidRPr="00810663">
              <w:t xml:space="preserve">Transport de </w:t>
            </w:r>
            <w:r w:rsidR="005C2EB5">
              <w:t xml:space="preserve">piles au lithium </w:t>
            </w:r>
            <w:r w:rsidRPr="00810663">
              <w:t>endommagées</w:t>
            </w:r>
            <w:r w:rsidR="005C2EB5">
              <w:t xml:space="preserve"> ou </w:t>
            </w:r>
            <w:r w:rsidRPr="00810663">
              <w:t>défectueuses, étape 1</w:t>
            </w:r>
          </w:p>
        </w:tc>
      </w:tr>
      <w:tr w:rsidR="009818D6" w:rsidRPr="00810663" w:rsidTr="00DB0B72">
        <w:tc>
          <w:tcPr>
            <w:tcW w:w="2450" w:type="dxa"/>
            <w:shd w:val="clear" w:color="auto" w:fill="auto"/>
          </w:tcPr>
          <w:p w:rsidR="009818D6" w:rsidRPr="00810663" w:rsidRDefault="009818D6" w:rsidP="00DB0B72">
            <w:pPr>
              <w:spacing w:before="40" w:after="120"/>
            </w:pPr>
            <w:r w:rsidRPr="00810663">
              <w:t>ST/SG/AC.10/C.3/2016/68 (RECHARGE, PRBA)</w:t>
            </w:r>
          </w:p>
        </w:tc>
        <w:tc>
          <w:tcPr>
            <w:tcW w:w="4920" w:type="dxa"/>
            <w:shd w:val="clear" w:color="auto" w:fill="auto"/>
          </w:tcPr>
          <w:p w:rsidR="009818D6" w:rsidRPr="00810663" w:rsidRDefault="009818D6" w:rsidP="005C2EB5">
            <w:pPr>
              <w:pStyle w:val="SingleTxtG"/>
              <w:spacing w:before="40"/>
              <w:ind w:left="0" w:right="0"/>
              <w:jc w:val="left"/>
              <w:rPr>
                <w:szCs w:val="28"/>
              </w:rPr>
            </w:pPr>
            <w:r w:rsidRPr="00810663">
              <w:t xml:space="preserve">Harmonisation des </w:t>
            </w:r>
            <w:r w:rsidR="005C2EB5">
              <w:t>batteries</w:t>
            </w:r>
            <w:r w:rsidRPr="00810663">
              <w:t xml:space="preserve"> rechargeables au lithium métal polymère</w:t>
            </w:r>
          </w:p>
        </w:tc>
      </w:tr>
      <w:tr w:rsidR="009818D6" w:rsidRPr="00810663" w:rsidTr="00DB0B72">
        <w:tc>
          <w:tcPr>
            <w:tcW w:w="2450" w:type="dxa"/>
            <w:shd w:val="clear" w:color="auto" w:fill="auto"/>
          </w:tcPr>
          <w:p w:rsidR="009818D6" w:rsidRPr="00810663" w:rsidRDefault="009818D6" w:rsidP="00DB0B72">
            <w:pPr>
              <w:keepNext/>
              <w:keepLines/>
              <w:spacing w:before="40" w:after="120"/>
            </w:pPr>
            <w:r w:rsidRPr="00810663">
              <w:t>ST/SG/AC.10/C.3/2016/74 (PRBA)</w:t>
            </w:r>
          </w:p>
        </w:tc>
        <w:tc>
          <w:tcPr>
            <w:tcW w:w="4920" w:type="dxa"/>
            <w:shd w:val="clear" w:color="auto" w:fill="auto"/>
          </w:tcPr>
          <w:p w:rsidR="009818D6" w:rsidRPr="00810663" w:rsidRDefault="009818D6" w:rsidP="00DB0B72">
            <w:pPr>
              <w:pStyle w:val="SingleTxtG"/>
              <w:keepNext/>
              <w:keepLines/>
              <w:spacing w:before="40"/>
              <w:ind w:left="0" w:right="0"/>
              <w:jc w:val="left"/>
            </w:pPr>
            <w:r w:rsidRPr="00810663">
              <w:t xml:space="preserve">Rapport d’essais de </w:t>
            </w:r>
            <w:r w:rsidR="005C2EB5">
              <w:t xml:space="preserve">piles au lithium </w:t>
            </w:r>
          </w:p>
        </w:tc>
      </w:tr>
      <w:tr w:rsidR="009818D6" w:rsidRPr="00810663" w:rsidTr="00DB0B72">
        <w:tc>
          <w:tcPr>
            <w:tcW w:w="2450" w:type="dxa"/>
            <w:shd w:val="clear" w:color="auto" w:fill="auto"/>
          </w:tcPr>
          <w:p w:rsidR="009818D6" w:rsidRPr="00810663" w:rsidRDefault="009818D6" w:rsidP="00DB0B72">
            <w:pPr>
              <w:keepNext/>
              <w:keepLines/>
              <w:spacing w:before="40" w:after="120"/>
            </w:pPr>
            <w:r w:rsidRPr="00810663">
              <w:t>ST/SG/AC.10/C.3/2016/75 (France)</w:t>
            </w:r>
          </w:p>
        </w:tc>
        <w:tc>
          <w:tcPr>
            <w:tcW w:w="4920" w:type="dxa"/>
            <w:shd w:val="clear" w:color="auto" w:fill="auto"/>
          </w:tcPr>
          <w:p w:rsidR="009818D6" w:rsidRPr="00810663" w:rsidRDefault="009818D6" w:rsidP="005C2EB5">
            <w:pPr>
              <w:pStyle w:val="SingleTxtG"/>
              <w:keepNext/>
              <w:keepLines/>
              <w:spacing w:before="40"/>
              <w:ind w:left="0" w:right="0"/>
              <w:jc w:val="left"/>
            </w:pPr>
            <w:r w:rsidRPr="00810663">
              <w:t xml:space="preserve">Rapport d’essais sur des </w:t>
            </w:r>
            <w:r w:rsidR="005C2EB5">
              <w:t xml:space="preserve">piles au lithium </w:t>
            </w:r>
          </w:p>
        </w:tc>
      </w:tr>
      <w:tr w:rsidR="009818D6" w:rsidRPr="00810663" w:rsidTr="00DB0B72">
        <w:tc>
          <w:tcPr>
            <w:tcW w:w="2450" w:type="dxa"/>
            <w:shd w:val="clear" w:color="auto" w:fill="auto"/>
          </w:tcPr>
          <w:p w:rsidR="009818D6" w:rsidRPr="00810663" w:rsidRDefault="009818D6" w:rsidP="00DB0B72">
            <w:pPr>
              <w:spacing w:before="40" w:after="120"/>
            </w:pPr>
            <w:r w:rsidRPr="00810663">
              <w:t>ST/SG/AC.10/C.3/2016/76 (PRBA)</w:t>
            </w:r>
          </w:p>
        </w:tc>
        <w:tc>
          <w:tcPr>
            <w:tcW w:w="4920" w:type="dxa"/>
            <w:shd w:val="clear" w:color="auto" w:fill="auto"/>
          </w:tcPr>
          <w:p w:rsidR="009818D6" w:rsidRPr="00810663" w:rsidRDefault="009818D6" w:rsidP="005C2EB5">
            <w:pPr>
              <w:pStyle w:val="SingleTxtG"/>
              <w:spacing w:before="40"/>
              <w:ind w:left="0" w:right="0"/>
              <w:jc w:val="left"/>
            </w:pPr>
            <w:r w:rsidRPr="00810663">
              <w:t xml:space="preserve">Prescriptions d’emballage des </w:t>
            </w:r>
            <w:r w:rsidR="005C2EB5">
              <w:t xml:space="preserve">piles au lithium </w:t>
            </w:r>
            <w:r w:rsidRPr="00810663">
              <w:t>endommagées ou défectueuses</w:t>
            </w:r>
          </w:p>
        </w:tc>
      </w:tr>
      <w:tr w:rsidR="009818D6" w:rsidRPr="00810663" w:rsidTr="00DB0B72">
        <w:tc>
          <w:tcPr>
            <w:tcW w:w="2450" w:type="dxa"/>
            <w:shd w:val="clear" w:color="auto" w:fill="auto"/>
          </w:tcPr>
          <w:p w:rsidR="009818D6" w:rsidRPr="00810663" w:rsidRDefault="009818D6" w:rsidP="00DB0B72">
            <w:pPr>
              <w:spacing w:before="40" w:after="120"/>
            </w:pPr>
            <w:r w:rsidRPr="00810663">
              <w:t>ST/SG/AC.10/C.3/2016/81 (PRBA,RECHARGE)</w:t>
            </w:r>
          </w:p>
        </w:tc>
        <w:tc>
          <w:tcPr>
            <w:tcW w:w="4920" w:type="dxa"/>
            <w:shd w:val="clear" w:color="auto" w:fill="auto"/>
          </w:tcPr>
          <w:p w:rsidR="009818D6" w:rsidRPr="00810663" w:rsidRDefault="009818D6" w:rsidP="005C2EB5">
            <w:pPr>
              <w:pStyle w:val="SingleTxtG"/>
              <w:spacing w:before="40"/>
              <w:ind w:left="0" w:right="0"/>
              <w:jc w:val="left"/>
            </w:pPr>
            <w:r w:rsidRPr="00810663">
              <w:t xml:space="preserve">Épreuve thermique T.2 réalisée sur des </w:t>
            </w:r>
            <w:r w:rsidR="005C2EB5">
              <w:t xml:space="preserve">piles au lithium </w:t>
            </w:r>
          </w:p>
        </w:tc>
      </w:tr>
    </w:tbl>
    <w:p w:rsidR="009818D6" w:rsidRPr="00810663" w:rsidRDefault="009818D6" w:rsidP="00810663">
      <w:pPr>
        <w:pStyle w:val="H23G"/>
      </w:pPr>
      <w:r w:rsidRPr="00810663">
        <w:tab/>
        <w:t>e)</w:t>
      </w:r>
      <w:r w:rsidRPr="00810663">
        <w:tab/>
        <w:t>Transport de gaz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9818D6" w:rsidRPr="00810663" w:rsidTr="00DB0B72">
        <w:tc>
          <w:tcPr>
            <w:tcW w:w="2450" w:type="dxa"/>
            <w:shd w:val="clear" w:color="auto" w:fill="auto"/>
          </w:tcPr>
          <w:p w:rsidR="009818D6" w:rsidRPr="00810663" w:rsidRDefault="009818D6" w:rsidP="00DB0B72">
            <w:pPr>
              <w:spacing w:before="40" w:after="120"/>
            </w:pPr>
            <w:r w:rsidRPr="00810663">
              <w:t>ST/SG/AC.10/C.3/2016/51 (Allemagne)</w:t>
            </w:r>
          </w:p>
        </w:tc>
        <w:tc>
          <w:tcPr>
            <w:tcW w:w="4920" w:type="dxa"/>
            <w:shd w:val="clear" w:color="auto" w:fill="auto"/>
          </w:tcPr>
          <w:p w:rsidR="009818D6" w:rsidRPr="00810663" w:rsidRDefault="009818D6" w:rsidP="005C2EB5">
            <w:pPr>
              <w:pStyle w:val="SingleTxtG"/>
              <w:spacing w:before="40"/>
              <w:ind w:left="0" w:right="0"/>
              <w:jc w:val="left"/>
            </w:pPr>
            <w:r w:rsidRPr="00810663">
              <w:t xml:space="preserve">Transport de réservoirs à gaz destinés </w:t>
            </w:r>
            <w:r w:rsidR="005C2EB5">
              <w:t>à des</w:t>
            </w:r>
            <w:r w:rsidRPr="00810663">
              <w:t xml:space="preserve"> véhicules automobiles</w:t>
            </w:r>
          </w:p>
        </w:tc>
      </w:tr>
    </w:tbl>
    <w:p w:rsidR="009818D6" w:rsidRPr="00810663" w:rsidRDefault="009818D6" w:rsidP="00810663">
      <w:pPr>
        <w:pStyle w:val="H23G"/>
      </w:pPr>
      <w:r w:rsidRPr="00810663">
        <w:lastRenderedPageBreak/>
        <w:tab/>
        <w:t>f)</w:t>
      </w:r>
      <w:r w:rsidRPr="00810663">
        <w:tab/>
        <w:t>Questions diverses en suspens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9818D6" w:rsidRPr="00810663" w:rsidTr="005C2EB5">
        <w:trPr>
          <w:cantSplit/>
        </w:trPr>
        <w:tc>
          <w:tcPr>
            <w:tcW w:w="2450" w:type="dxa"/>
            <w:shd w:val="clear" w:color="auto" w:fill="auto"/>
          </w:tcPr>
          <w:p w:rsidR="009818D6" w:rsidRPr="00810663" w:rsidRDefault="009818D6" w:rsidP="00DB0B72">
            <w:pPr>
              <w:spacing w:before="40" w:after="120"/>
            </w:pPr>
            <w:r w:rsidRPr="00810663">
              <w:t>ST/SG/AC.10/C.3/2016/70 (Allemagne)</w:t>
            </w:r>
          </w:p>
        </w:tc>
        <w:tc>
          <w:tcPr>
            <w:tcW w:w="4920" w:type="dxa"/>
            <w:shd w:val="clear" w:color="auto" w:fill="auto"/>
          </w:tcPr>
          <w:p w:rsidR="009818D6" w:rsidRPr="00810663" w:rsidRDefault="009818D6" w:rsidP="005C2EB5">
            <w:pPr>
              <w:pStyle w:val="SingleTxtG"/>
              <w:spacing w:before="40"/>
              <w:ind w:left="0" w:right="0"/>
              <w:jc w:val="left"/>
            </w:pPr>
            <w:r w:rsidRPr="00810663">
              <w:t xml:space="preserve">Matières susceptibles de former des polymères </w:t>
            </w:r>
            <w:r w:rsidR="005C2EB5">
              <w:t>−</w:t>
            </w:r>
            <w:r w:rsidRPr="00810663">
              <w:t xml:space="preserve"> Indication de la température critique et de la température de régulation</w:t>
            </w:r>
          </w:p>
        </w:tc>
      </w:tr>
    </w:tbl>
    <w:p w:rsidR="009818D6" w:rsidRPr="00810663" w:rsidRDefault="00810663" w:rsidP="00810663">
      <w:pPr>
        <w:pStyle w:val="H1G"/>
      </w:pPr>
      <w:r w:rsidRPr="00810663">
        <w:tab/>
        <w:t>3.</w:t>
      </w:r>
      <w:r w:rsidRPr="00810663">
        <w:tab/>
      </w:r>
      <w:r w:rsidR="009818D6" w:rsidRPr="00810663">
        <w:t>Harmonisation générale des règlements de transport des marchandises dangereuses avec le Règlement type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9818D6" w:rsidRPr="00810663" w:rsidTr="00DB0B72">
        <w:tc>
          <w:tcPr>
            <w:tcW w:w="2450" w:type="dxa"/>
            <w:shd w:val="clear" w:color="auto" w:fill="auto"/>
          </w:tcPr>
          <w:p w:rsidR="009818D6" w:rsidRPr="00810663" w:rsidRDefault="009818D6" w:rsidP="005C2EB5">
            <w:pPr>
              <w:spacing w:before="40" w:after="120"/>
            </w:pPr>
            <w:r w:rsidRPr="00810663">
              <w:t>ST/SG/AC.10/C.3/2016/63 et document INF.4 (Espagne)</w:t>
            </w:r>
          </w:p>
        </w:tc>
        <w:tc>
          <w:tcPr>
            <w:tcW w:w="4920" w:type="dxa"/>
            <w:shd w:val="clear" w:color="auto" w:fill="auto"/>
          </w:tcPr>
          <w:p w:rsidR="009818D6" w:rsidRPr="00810663" w:rsidRDefault="009818D6" w:rsidP="005C2EB5">
            <w:pPr>
              <w:pStyle w:val="SingleTxtG"/>
              <w:spacing w:before="40"/>
              <w:ind w:left="0" w:right="0"/>
              <w:jc w:val="left"/>
            </w:pPr>
            <w:r w:rsidRPr="00810663">
              <w:t xml:space="preserve">Différences concernant le </w:t>
            </w:r>
            <w:r w:rsidR="005C2EB5">
              <w:t xml:space="preserve">numéro </w:t>
            </w:r>
            <w:r w:rsidRPr="00810663">
              <w:t>ONU 1386 dans le Code IMSBC et le Code IMDG et le Règlement type</w:t>
            </w:r>
          </w:p>
        </w:tc>
      </w:tr>
    </w:tbl>
    <w:p w:rsidR="009818D6" w:rsidRPr="00810663" w:rsidRDefault="00810663" w:rsidP="00810663">
      <w:pPr>
        <w:pStyle w:val="H1G"/>
      </w:pPr>
      <w:r w:rsidRPr="00810663">
        <w:tab/>
        <w:t>4.</w:t>
      </w:r>
      <w:r w:rsidRPr="00810663">
        <w:tab/>
      </w:r>
      <w:r w:rsidR="009818D6" w:rsidRPr="00810663">
        <w:t>Principes directeurs du Règlement type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9818D6" w:rsidRPr="00810663" w:rsidTr="00DB0B72">
        <w:tc>
          <w:tcPr>
            <w:tcW w:w="2450" w:type="dxa"/>
            <w:shd w:val="clear" w:color="auto" w:fill="auto"/>
          </w:tcPr>
          <w:p w:rsidR="009818D6" w:rsidRPr="00810663" w:rsidRDefault="009818D6" w:rsidP="005C2EB5">
            <w:pPr>
              <w:spacing w:before="40" w:after="120"/>
            </w:pPr>
            <w:r w:rsidRPr="00810663">
              <w:t xml:space="preserve">ST/SG/AC.10/C.3/2016/78 et document INF.6 </w:t>
            </w:r>
            <w:r w:rsidR="00F57DCC">
              <w:br/>
            </w:r>
            <w:r w:rsidRPr="00810663">
              <w:t>(États-Unis d’Amérique)</w:t>
            </w:r>
          </w:p>
        </w:tc>
        <w:tc>
          <w:tcPr>
            <w:tcW w:w="4920" w:type="dxa"/>
            <w:shd w:val="clear" w:color="auto" w:fill="auto"/>
          </w:tcPr>
          <w:p w:rsidR="009818D6" w:rsidRPr="00810663" w:rsidRDefault="009818D6" w:rsidP="00DB0B72">
            <w:pPr>
              <w:spacing w:before="40" w:after="120"/>
            </w:pPr>
            <w:r w:rsidRPr="00810663">
              <w:t>Affectation de codes E</w:t>
            </w:r>
            <w:r w:rsidRPr="00810663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1" layoutInCell="1" allowOverlap="1" wp14:anchorId="76F079A2" wp14:editId="0277237B">
                      <wp:simplePos x="0" y="0"/>
                      <wp:positionH relativeFrom="column">
                        <wp:posOffset>-89535</wp:posOffset>
                      </wp:positionH>
                      <wp:positionV relativeFrom="page">
                        <wp:posOffset>73025</wp:posOffset>
                      </wp:positionV>
                      <wp:extent cx="63500" cy="443230"/>
                      <wp:effectExtent l="0" t="0" r="12700" b="13970"/>
                      <wp:wrapNone/>
                      <wp:docPr id="7" name="Right Brac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3500" cy="443230"/>
                              </a:xfrm>
                              <a:prstGeom prst="rightBrace">
                                <a:avLst>
                                  <a:gd name="adj1" fmla="val 4500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7" o:spid="_x0000_s1026" type="#_x0000_t88" style="position:absolute;margin-left:-7.05pt;margin-top:5.75pt;width:5pt;height:34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ym+gQIAAC4FAAAOAAAAZHJzL2Uyb0RvYy54bWysVNFu0zAUfUfiHyy/d0natF2jpdNoWoQ0&#10;YGLwAa7tNAbHDrbbdEP8O9dOUlr2ghB5cOzcm+N7js/1ze2xlujAjRVa5Ti5ijHiimom1C7HXz5v&#10;RtcYWUcUI1IrnuMnbvHt8vWrm7bJ+FhXWjJuEIAom7VNjivnmiyKLK14TeyVbriCYKlNTRwszS5i&#10;hrSAXstoHMezqNWGNUZTbi18LbogXgb8suTUfSxLyx2SOYbaXBhNGLd+jJY3JNsZ0lSC9mWQf6ii&#10;JkLBpieogjiC9ka8gKoFNdrq0l1RXUe6LAXlgQOwSeI/2DxWpOGBC4hjm5NM9v/B0g+HB4MEy/Ec&#10;I0VqOKJPYlc59MYQytHcC9Q2NoO8x+bBeIq2udf0m4VAdBHxCws5aNu+1wyAyN7pIMqxNLX/E+ii&#10;Y9D+6aQ9PzpE4eNsMo3hgChE0nQynoSjiUg2/NsY695yXSM/ybHxRYYaww7kcG9d0J/1LAj7mmBU&#10;1hKO80AkSgF+OO6znPF5jk8Z9u0RoYJhZw+v9EZIGUwjFWpzvJiOp6ECq6VgPhgkMrvtShoEGwPR&#10;8HghAewizei9YgGs4oSt+7kjQnZzyJfK44FIPT8vV/DVj0W8WF+vr9NROp6tR2lcFKO7zSodzTbJ&#10;fFpMitWqSH760pI0qwRjXPnqBo8n6d95qO+2zp0nl1+wsOdkN+F5STa6LCNoAVyGd2AX7OQd1Flu&#10;q9kTuMnormnhkoFJpc0zRi00bI7t9z0xHCP5TkFHLJI09R0eFul0PoaFOY9szyNEUYDKscOom65c&#10;dyvsm2AtuMvCsSp9By4uhRvs3lXVex+aMjDoLxDf9efrkPX7mlv+AgAA//8DAFBLAwQUAAYACAAA&#10;ACEAVVIDg9wAAAAIAQAADwAAAGRycy9kb3ducmV2LnhtbEyPMW/CMBCF90r9D9YhdQuOoUUojYMq&#10;pEpdOkAZ6GbiI4mIz5FtIPTX95ja8el9evdduRpdLy4YYudJg5rmIJBqbztqNOy+3rMliJgMWdN7&#10;Qg03jLCqHh9KU1h/pQ1etqkRPEKxMBralIZCyli36Eyc+gGJu6MPziSOoZE2mCuPu17O8nwhnemI&#10;L7RmwHWL9Wl7dhrwM3zH9WZuU3eiW9r9fMzy/V7rp8n49goi4Zj+YLjrszpU7HTwZ7JR9Boy9awY&#10;5UK9gGAgu+eDhqWag6xK+f+B6hcAAP//AwBQSwECLQAUAAYACAAAACEAtoM4kv4AAADhAQAAEwAA&#10;AAAAAAAAAAAAAAAAAAAAW0NvbnRlbnRfVHlwZXNdLnhtbFBLAQItABQABgAIAAAAIQA4/SH/1gAA&#10;AJQBAAALAAAAAAAAAAAAAAAAAC8BAABfcmVscy8ucmVsc1BLAQItABQABgAIAAAAIQCFRym+gQIA&#10;AC4FAAAOAAAAAAAAAAAAAAAAAC4CAABkcnMvZTJvRG9jLnhtbFBLAQItABQABgAIAAAAIQBVUgOD&#10;3AAAAAgBAAAPAAAAAAAAAAAAAAAAANsEAABkcnMvZG93bnJldi54bWxQSwUGAAAAAAQABADzAAAA&#10;5AUAAAAA&#10;" adj="1393">
                      <w10:wrap anchory="page"/>
                      <w10:anchorlock/>
                    </v:shape>
                  </w:pict>
                </mc:Fallback>
              </mc:AlternateContent>
            </w:r>
          </w:p>
        </w:tc>
      </w:tr>
    </w:tbl>
    <w:p w:rsidR="009818D6" w:rsidRPr="00810663" w:rsidRDefault="00810663" w:rsidP="00810663">
      <w:pPr>
        <w:pStyle w:val="H1G"/>
      </w:pPr>
      <w:r w:rsidRPr="00810663">
        <w:tab/>
        <w:t>5.</w:t>
      </w:r>
      <w:r w:rsidRPr="00810663">
        <w:tab/>
      </w:r>
      <w:r w:rsidR="009818D6" w:rsidRPr="00810663">
        <w:t>Coopération avec l’Agence internationale de l’énergie atomique</w:t>
      </w:r>
    </w:p>
    <w:p w:rsidR="009818D6" w:rsidRPr="00810663" w:rsidRDefault="009818D6" w:rsidP="00F57DCC">
      <w:pPr>
        <w:pStyle w:val="SingleTxtG"/>
        <w:ind w:firstLine="567"/>
      </w:pPr>
      <w:r w:rsidRPr="00810663">
        <w:t>Au moment de la rédaction du présent document, aucun document n’avait été soumis au titre de ce point de l’ordre du jour.</w:t>
      </w:r>
    </w:p>
    <w:p w:rsidR="009818D6" w:rsidRPr="00810663" w:rsidRDefault="00810663" w:rsidP="00810663">
      <w:pPr>
        <w:pStyle w:val="H1G"/>
      </w:pPr>
      <w:r w:rsidRPr="00810663">
        <w:tab/>
        <w:t>6.</w:t>
      </w:r>
      <w:r w:rsidRPr="00810663">
        <w:tab/>
      </w:r>
      <w:r w:rsidR="009818D6" w:rsidRPr="00810663">
        <w:t>Nouvelles propositions d’amendements au Règlement type pour le transport des marchandises dangereuses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9818D6" w:rsidRPr="00810663" w:rsidTr="00DB0B72">
        <w:tc>
          <w:tcPr>
            <w:tcW w:w="2450" w:type="dxa"/>
            <w:shd w:val="clear" w:color="auto" w:fill="auto"/>
          </w:tcPr>
          <w:p w:rsidR="009818D6" w:rsidRPr="00810663" w:rsidRDefault="009818D6" w:rsidP="00E92D75">
            <w:pPr>
              <w:spacing w:before="40" w:after="120"/>
            </w:pPr>
            <w:r w:rsidRPr="00810663">
              <w:t xml:space="preserve">ST/SG/AC.10/C.3/2016/57 et document </w:t>
            </w:r>
            <w:r w:rsidRPr="00810663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1" layoutInCell="1" allowOverlap="1" wp14:anchorId="2F98E141" wp14:editId="17063D9B">
                      <wp:simplePos x="0" y="0"/>
                      <wp:positionH relativeFrom="column">
                        <wp:posOffset>1487170</wp:posOffset>
                      </wp:positionH>
                      <wp:positionV relativeFrom="page">
                        <wp:posOffset>20955</wp:posOffset>
                      </wp:positionV>
                      <wp:extent cx="45085" cy="368300"/>
                      <wp:effectExtent l="0" t="0" r="12065" b="12700"/>
                      <wp:wrapNone/>
                      <wp:docPr id="8" name="Right Brac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5085" cy="368300"/>
                              </a:xfrm>
                              <a:prstGeom prst="rightBrace">
                                <a:avLst>
                                  <a:gd name="adj1" fmla="val 4500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8" o:spid="_x0000_s1026" type="#_x0000_t88" style="position:absolute;margin-left:117.1pt;margin-top:1.65pt;width:3.55pt;height:2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1GbggIAAC4FAAAOAAAAZHJzL2Uyb0RvYy54bWysVF1v2yAUfZ+0/4B4T22nTppYdaouTqZJ&#10;+6jW7QcQwDEbBgYkTjftv++CnSxZX6ZpfsDge32453Aut3eHVqI9t05oVeLsKsWIK6qZUNsSf/60&#10;Hs0wcp4oRqRWvMRP3OG7xcsXt50p+Fg3WjJuEYAoV3SmxI33pkgSRxveEnelDVcQrLVtiYel3SbM&#10;kg7QW5mM03SadNoyYzXlzsHXqg/iRcSva079h7p23CNZYqjNx9HGcRPGZHFLiq0lphF0KIP8QxUt&#10;EQo2PUFVxBO0s+IZVCuo1U7X/orqNtF1LSiPHIBNlv7B5rEhhkcuII4zJ5nc/4Ol7/cPFglWYjgo&#10;RVo4oo9i23j0yhLK0SwI1BlXQN6jebCBojNvNf3qIJBcRMLCQQ7adO80AyCy8zqKcqhtG/4EuugQ&#10;tX86ac8PHlH4mE/S2QQjCpHr6ew6jUeTkOL4r7HOv+a6RWFSYhuKjDXGHcj+rfNRfzawIOxLhlHd&#10;SjjOPZEI8HtMOKOznPF5Tkg57jsgQgXHnQO80mshZTSNVKgr8XwynsQKnJaChWCUyG43S2kRbAxE&#10;4xOEBLCLNKt3ikWwhhO2GuaeCNnPIV+qgAciDfyCXNFXP+bpfDVbzfJRPp6uRnlaVaP79TIfTdfZ&#10;zaS6rpbLKvsZSsvyohGMcRWqO3o8y//OQ0O39e48ufyChTsnu47Pc7LJZRlRC+ByfEd20U7BQb3l&#10;Npo9gZus7psWLhmYNNp+x6iDhi2x+7YjlmMk3yjoiHmW56HD4yKf3IxhYc8jm/MIURSgSuwx6qdL&#10;398KOxOtBXdZPFal78HFtfBHu/dVDd6HpowMhgskdP35Omb9vuYWvwAAAP//AwBQSwMEFAAGAAgA&#10;AAAhAMkMzdXbAAAACAEAAA8AAABkcnMvZG93bnJldi54bWxMj81OwzAQhO9IvIO1SNyo06QqKM2m&#10;QhFwhRYewIm3iSG2o9j54e1ZTnDaXc1o9pviuNpezDQG4x3CdpOAINd4bVyL8PH+fPcAIkTltOq9&#10;I4RvCnAsr68KlWu/uBPN59gKDnEhVwhdjEMuZWg6sips/ECOtYsfrYp8jq3Uo1o43PYyTZK9tMo4&#10;/tCpgaqOmq/zZBHeqjXMr+tink735qWuWrL154R4e7M+HkBEWuOfGX7xGR1KZqr95HQQPUKa7VK2&#10;ImQZCNbT3ZaXGmHPU5aF/F+g/AEAAP//AwBQSwECLQAUAAYACAAAACEAtoM4kv4AAADhAQAAEwAA&#10;AAAAAAAAAAAAAAAAAAAAW0NvbnRlbnRfVHlwZXNdLnhtbFBLAQItABQABgAIAAAAIQA4/SH/1gAA&#10;AJQBAAALAAAAAAAAAAAAAAAAAC8BAABfcmVscy8ucmVsc1BLAQItABQABgAIAAAAIQAgi1GbggIA&#10;AC4FAAAOAAAAAAAAAAAAAAAAAC4CAABkcnMvZTJvRG9jLnhtbFBLAQItABQABgAIAAAAIQDJDM3V&#10;2wAAAAgBAAAPAAAAAAAAAAAAAAAAANwEAABkcnMvZG93bnJldi54bWxQSwUGAAAAAAQABADzAAAA&#10;5AUAAAAA&#10;" adj="1190">
                      <w10:wrap anchory="page"/>
                      <w10:anchorlock/>
                    </v:shape>
                  </w:pict>
                </mc:Fallback>
              </mc:AlternateContent>
            </w:r>
            <w:r w:rsidRPr="00810663">
              <w:t>INF.3 (ICPP)</w:t>
            </w:r>
          </w:p>
        </w:tc>
        <w:tc>
          <w:tcPr>
            <w:tcW w:w="4920" w:type="dxa"/>
            <w:shd w:val="clear" w:color="auto" w:fill="auto"/>
          </w:tcPr>
          <w:p w:rsidR="009818D6" w:rsidRPr="00810663" w:rsidRDefault="009818D6" w:rsidP="00DB0B72">
            <w:pPr>
              <w:spacing w:before="40" w:after="120"/>
            </w:pPr>
            <w:r w:rsidRPr="00810663">
              <w:t>Emballages (y compris les GRV et les grands emballages)</w:t>
            </w:r>
          </w:p>
        </w:tc>
      </w:tr>
      <w:tr w:rsidR="009818D6" w:rsidRPr="00810663" w:rsidTr="00DB0B72">
        <w:tc>
          <w:tcPr>
            <w:tcW w:w="2450" w:type="dxa"/>
            <w:shd w:val="clear" w:color="auto" w:fill="auto"/>
          </w:tcPr>
          <w:p w:rsidR="009818D6" w:rsidRPr="00810663" w:rsidRDefault="009818D6" w:rsidP="00DB0B72">
            <w:pPr>
              <w:spacing w:before="40" w:after="120"/>
            </w:pPr>
            <w:r w:rsidRPr="00810663">
              <w:t>ST/SG/AC.10/C.3/2016/71 (PRBA, RECHARGE)</w:t>
            </w:r>
          </w:p>
        </w:tc>
        <w:tc>
          <w:tcPr>
            <w:tcW w:w="4920" w:type="dxa"/>
            <w:shd w:val="clear" w:color="auto" w:fill="auto"/>
          </w:tcPr>
          <w:p w:rsidR="009818D6" w:rsidRPr="00810663" w:rsidRDefault="009818D6" w:rsidP="00E92D75">
            <w:pPr>
              <w:spacing w:before="40" w:after="120"/>
            </w:pPr>
            <w:r w:rsidRPr="00810663">
              <w:t xml:space="preserve">Amendements à la section 2.9.4 </w:t>
            </w:r>
            <w:r w:rsidR="00E92D75">
              <w:t xml:space="preserve">− </w:t>
            </w:r>
            <w:r w:rsidRPr="00810663">
              <w:t>batteries au lithium et disposition spéciale 310</w:t>
            </w:r>
          </w:p>
        </w:tc>
      </w:tr>
      <w:tr w:rsidR="009818D6" w:rsidRPr="00810663" w:rsidTr="00DB0B72">
        <w:tc>
          <w:tcPr>
            <w:tcW w:w="2450" w:type="dxa"/>
            <w:shd w:val="clear" w:color="auto" w:fill="auto"/>
          </w:tcPr>
          <w:p w:rsidR="009818D6" w:rsidRPr="00810663" w:rsidRDefault="009818D6" w:rsidP="00DB0B72">
            <w:pPr>
              <w:spacing w:before="40" w:after="120"/>
            </w:pPr>
            <w:r w:rsidRPr="00810663">
              <w:t>ST/SG/AC.10/C.3/2016/79 (États-Unis d’Amérique)</w:t>
            </w:r>
          </w:p>
        </w:tc>
        <w:tc>
          <w:tcPr>
            <w:tcW w:w="4920" w:type="dxa"/>
            <w:shd w:val="clear" w:color="auto" w:fill="auto"/>
          </w:tcPr>
          <w:p w:rsidR="009818D6" w:rsidRPr="00810663" w:rsidRDefault="009818D6" w:rsidP="00DB0B72">
            <w:pPr>
              <w:spacing w:before="40" w:after="120"/>
            </w:pPr>
            <w:r w:rsidRPr="00810663">
              <w:t>Prescriptions d’</w:t>
            </w:r>
            <w:r w:rsidR="00E92D75">
              <w:t>essais des revêtements en</w:t>
            </w:r>
            <w:r w:rsidRPr="00810663">
              <w:t xml:space="preserve"> plomb des citernes mobiles contenant du brome</w:t>
            </w:r>
          </w:p>
        </w:tc>
      </w:tr>
      <w:tr w:rsidR="009818D6" w:rsidRPr="00810663" w:rsidTr="00DB0B72">
        <w:tc>
          <w:tcPr>
            <w:tcW w:w="2450" w:type="dxa"/>
            <w:shd w:val="clear" w:color="auto" w:fill="auto"/>
          </w:tcPr>
          <w:p w:rsidR="009818D6" w:rsidRPr="00810663" w:rsidRDefault="009818D6" w:rsidP="00DB0B72">
            <w:pPr>
              <w:spacing w:before="40" w:after="120"/>
            </w:pPr>
            <w:r w:rsidRPr="00810663">
              <w:t>ST/SG/AC.10/C.3/2016/80 (États-Unis d’Amérique)</w:t>
            </w:r>
          </w:p>
        </w:tc>
        <w:tc>
          <w:tcPr>
            <w:tcW w:w="4920" w:type="dxa"/>
            <w:shd w:val="clear" w:color="auto" w:fill="auto"/>
          </w:tcPr>
          <w:p w:rsidR="009818D6" w:rsidRPr="00810663" w:rsidRDefault="009818D6" w:rsidP="00DB0B72">
            <w:pPr>
              <w:spacing w:before="40" w:after="120"/>
            </w:pPr>
            <w:r w:rsidRPr="00810663">
              <w:t>Classification des mélanges de matières dangereuses pour l’environnement</w:t>
            </w:r>
          </w:p>
        </w:tc>
      </w:tr>
    </w:tbl>
    <w:p w:rsidR="009818D6" w:rsidRPr="00810663" w:rsidRDefault="00810663" w:rsidP="00F57DCC">
      <w:pPr>
        <w:pStyle w:val="H1G"/>
      </w:pPr>
      <w:r w:rsidRPr="00810663">
        <w:tab/>
        <w:t>7.</w:t>
      </w:r>
      <w:r w:rsidRPr="00810663">
        <w:tab/>
      </w:r>
      <w:r w:rsidR="009818D6" w:rsidRPr="00810663">
        <w:t>Questions relatives au Système général harmonisé de classification et</w:t>
      </w:r>
      <w:r w:rsidR="00F57DCC">
        <w:t> </w:t>
      </w:r>
      <w:r w:rsidR="009818D6" w:rsidRPr="00810663">
        <w:t>d’étiquetage des produits chimiques (SGH)</w:t>
      </w:r>
    </w:p>
    <w:p w:rsidR="009818D6" w:rsidRPr="00810663" w:rsidRDefault="009818D6" w:rsidP="00810663">
      <w:pPr>
        <w:pStyle w:val="H23G"/>
      </w:pPr>
      <w:r w:rsidRPr="00810663">
        <w:tab/>
        <w:t>a)</w:t>
      </w:r>
      <w:r w:rsidRPr="00810663">
        <w:tab/>
        <w:t>Critères relatifs à l’hydroréactivité</w:t>
      </w:r>
    </w:p>
    <w:p w:rsidR="009818D6" w:rsidRPr="00810663" w:rsidRDefault="009818D6" w:rsidP="00F57DCC">
      <w:pPr>
        <w:pStyle w:val="SingleTxtG"/>
        <w:ind w:firstLine="567"/>
      </w:pPr>
      <w:r w:rsidRPr="00810663">
        <w:t>Au moment de la rédaction du présent document, aucun document n’avait été soumis au titre de ce sous-point de l’ordre du jour.</w:t>
      </w:r>
    </w:p>
    <w:p w:rsidR="009818D6" w:rsidRPr="00810663" w:rsidRDefault="009818D6" w:rsidP="00810663">
      <w:pPr>
        <w:pStyle w:val="H23G"/>
      </w:pPr>
      <w:r w:rsidRPr="00810663">
        <w:lastRenderedPageBreak/>
        <w:tab/>
        <w:t>b)</w:t>
      </w:r>
      <w:r w:rsidRPr="00810663">
        <w:tab/>
        <w:t>Épreuves et critères relatifs aux matières liquides et solides comburantes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9818D6" w:rsidRPr="00810663" w:rsidTr="00F57DCC">
        <w:trPr>
          <w:cantSplit/>
        </w:trPr>
        <w:tc>
          <w:tcPr>
            <w:tcW w:w="2450" w:type="dxa"/>
            <w:shd w:val="clear" w:color="auto" w:fill="auto"/>
          </w:tcPr>
          <w:p w:rsidR="009818D6" w:rsidRPr="00810663" w:rsidRDefault="009818D6" w:rsidP="00DB0B72">
            <w:pPr>
              <w:spacing w:before="40" w:after="120"/>
            </w:pPr>
            <w:r w:rsidRPr="00810663">
              <w:t>ST/SG/AC.10/C.3/2016/73 (France)</w:t>
            </w:r>
          </w:p>
        </w:tc>
        <w:tc>
          <w:tcPr>
            <w:tcW w:w="4920" w:type="dxa"/>
            <w:shd w:val="clear" w:color="auto" w:fill="auto"/>
          </w:tcPr>
          <w:p w:rsidR="009818D6" w:rsidRPr="00810663" w:rsidRDefault="009818D6" w:rsidP="00DB0B72">
            <w:pPr>
              <w:spacing w:before="40" w:after="120"/>
            </w:pPr>
            <w:r w:rsidRPr="00810663">
              <w:t>Épreuves et critères pour les matières liquides comburantes (épreuve O.2) et solides comburantes (épreuve O.3) − Résultats définitifs du programme d’épreuves interlaboratoire</w:t>
            </w:r>
            <w:r w:rsidR="00F57DCC">
              <w:t>s</w:t>
            </w:r>
            <w:r w:rsidRPr="00810663">
              <w:t xml:space="preserve"> et propositions d’amendements aux descriptions des épreuves</w:t>
            </w:r>
          </w:p>
        </w:tc>
      </w:tr>
    </w:tbl>
    <w:p w:rsidR="009818D6" w:rsidRPr="00810663" w:rsidRDefault="009818D6" w:rsidP="00810663">
      <w:pPr>
        <w:pStyle w:val="H23G"/>
      </w:pPr>
      <w:r w:rsidRPr="00810663">
        <w:tab/>
        <w:t>c)</w:t>
      </w:r>
      <w:r w:rsidRPr="00810663">
        <w:tab/>
        <w:t>Critères de classification relatifs aux gaz inflammables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9818D6" w:rsidRPr="00810663" w:rsidTr="00DB0B72">
        <w:tc>
          <w:tcPr>
            <w:tcW w:w="2450" w:type="dxa"/>
            <w:shd w:val="clear" w:color="auto" w:fill="auto"/>
          </w:tcPr>
          <w:p w:rsidR="009818D6" w:rsidRPr="00810663" w:rsidRDefault="009818D6" w:rsidP="00DB0B72">
            <w:pPr>
              <w:spacing w:before="40" w:after="120"/>
            </w:pPr>
            <w:r w:rsidRPr="00810663">
              <w:t>ST/SG/AC.10/C.3/2016/58 (Belgique, Japon)</w:t>
            </w:r>
          </w:p>
        </w:tc>
        <w:tc>
          <w:tcPr>
            <w:tcW w:w="4920" w:type="dxa"/>
            <w:shd w:val="clear" w:color="auto" w:fill="auto"/>
          </w:tcPr>
          <w:p w:rsidR="009818D6" w:rsidRPr="00810663" w:rsidRDefault="009818D6" w:rsidP="00DB0B72">
            <w:pPr>
              <w:spacing w:before="40" w:after="120"/>
            </w:pPr>
            <w:r w:rsidRPr="00810663">
              <w:t>Proposition de modification des critères de classification et de la communication des dangers des gaz inflammables</w:t>
            </w:r>
          </w:p>
        </w:tc>
      </w:tr>
    </w:tbl>
    <w:p w:rsidR="009818D6" w:rsidRPr="00810663" w:rsidRDefault="009818D6" w:rsidP="00810663">
      <w:pPr>
        <w:pStyle w:val="H23G"/>
      </w:pPr>
      <w:r w:rsidRPr="00810663">
        <w:tab/>
        <w:t>d)</w:t>
      </w:r>
      <w:r w:rsidRPr="00810663">
        <w:tab/>
        <w:t>Jugement d’experts et force probante des données</w:t>
      </w:r>
    </w:p>
    <w:p w:rsidR="009818D6" w:rsidRPr="00810663" w:rsidRDefault="009818D6" w:rsidP="00810663">
      <w:pPr>
        <w:pStyle w:val="SingleTxtG"/>
        <w:ind w:firstLine="567"/>
      </w:pPr>
      <w:r w:rsidRPr="00810663">
        <w:t>Au moment de la rédaction du présent document, aucun document n’avait été soumis au titre de ce sous-point de l’ordre du jour.</w:t>
      </w:r>
    </w:p>
    <w:p w:rsidR="009818D6" w:rsidRPr="00810663" w:rsidRDefault="009818D6" w:rsidP="00810663">
      <w:pPr>
        <w:pStyle w:val="H23G"/>
      </w:pPr>
      <w:r w:rsidRPr="00810663">
        <w:tab/>
        <w:t>e)</w:t>
      </w:r>
      <w:r w:rsidRPr="00810663">
        <w:tab/>
        <w:t>Critères relatifs à la corrosivité</w:t>
      </w:r>
    </w:p>
    <w:p w:rsidR="009818D6" w:rsidRPr="00810663" w:rsidRDefault="009818D6" w:rsidP="00810663">
      <w:pPr>
        <w:pStyle w:val="SingleTxtG"/>
        <w:ind w:firstLine="567"/>
      </w:pPr>
      <w:r w:rsidRPr="00810663">
        <w:t>Au moment de la rédaction du présent document, aucun document n’avait été soumis au titre de ce sous-point de l’ordre du jour.</w:t>
      </w:r>
    </w:p>
    <w:p w:rsidR="009818D6" w:rsidRPr="00810663" w:rsidRDefault="009818D6" w:rsidP="00F57DCC">
      <w:pPr>
        <w:pStyle w:val="H23G"/>
      </w:pPr>
      <w:r w:rsidRPr="00810663">
        <w:tab/>
        <w:t>f)</w:t>
      </w:r>
      <w:r w:rsidRPr="00810663">
        <w:tab/>
        <w:t xml:space="preserve">Mise à jour des </w:t>
      </w:r>
      <w:r w:rsidR="00F57DCC">
        <w:t>renvois</w:t>
      </w:r>
      <w:r w:rsidRPr="00810663">
        <w:t xml:space="preserve"> aux directives de l’OCDE</w:t>
      </w:r>
    </w:p>
    <w:p w:rsidR="009818D6" w:rsidRPr="00810663" w:rsidRDefault="009818D6" w:rsidP="00810663">
      <w:pPr>
        <w:pStyle w:val="SingleTxtG"/>
        <w:ind w:firstLine="567"/>
      </w:pPr>
      <w:r w:rsidRPr="00810663">
        <w:t>Au moment de la rédaction du présent document, aucun document n’avait été soumis au titre de ce sous-point de l’ordre du jour.</w:t>
      </w:r>
    </w:p>
    <w:p w:rsidR="009818D6" w:rsidRPr="00810663" w:rsidRDefault="009818D6" w:rsidP="00810663">
      <w:pPr>
        <w:pStyle w:val="H23G"/>
      </w:pPr>
      <w:r w:rsidRPr="00810663">
        <w:tab/>
        <w:t>g)</w:t>
      </w:r>
      <w:r w:rsidRPr="00810663">
        <w:tab/>
        <w:t>Utilisation du Manuel d’épreuves et de critères dans le contexte du SGH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9818D6" w:rsidRPr="00810663" w:rsidTr="00DB0B72">
        <w:tc>
          <w:tcPr>
            <w:tcW w:w="2450" w:type="dxa"/>
            <w:shd w:val="clear" w:color="auto" w:fill="auto"/>
          </w:tcPr>
          <w:p w:rsidR="009818D6" w:rsidRPr="00810663" w:rsidRDefault="00F57DCC" w:rsidP="00F57DCC">
            <w:pPr>
              <w:spacing w:before="40" w:after="120"/>
            </w:pPr>
            <w:r>
              <w:t>ST/SG/AC.10/C.3/2016/83 et d</w:t>
            </w:r>
            <w:r w:rsidR="009818D6" w:rsidRPr="00810663">
              <w:t>ocuments informels</w:t>
            </w:r>
            <w:r w:rsidR="00810663" w:rsidRPr="00810663">
              <w:t> :</w:t>
            </w:r>
            <w:r w:rsidR="009818D6" w:rsidRPr="00810663">
              <w:t xml:space="preserve"> INF.7 et 1</w:t>
            </w:r>
            <w:r>
              <w:t xml:space="preserve"> à 5 (Président du </w:t>
            </w:r>
            <w:r w:rsidR="009818D6" w:rsidRPr="00810663">
              <w:t>Groupe de travail des</w:t>
            </w:r>
            <w:r>
              <w:t> </w:t>
            </w:r>
            <w:r w:rsidR="009818D6" w:rsidRPr="00810663">
              <w:t>explosifs)</w:t>
            </w:r>
          </w:p>
        </w:tc>
        <w:tc>
          <w:tcPr>
            <w:tcW w:w="4920" w:type="dxa"/>
            <w:shd w:val="clear" w:color="auto" w:fill="auto"/>
          </w:tcPr>
          <w:p w:rsidR="009818D6" w:rsidRPr="00810663" w:rsidRDefault="009818D6" w:rsidP="00DB0B72">
            <w:pPr>
              <w:spacing w:before="40" w:after="120"/>
            </w:pPr>
            <w:r w:rsidRPr="00810663">
              <w:t>Utilisation du Manuel d’épreuves et de critères dans le contexte du SGH</w:t>
            </w:r>
          </w:p>
        </w:tc>
      </w:tr>
    </w:tbl>
    <w:p w:rsidR="009818D6" w:rsidRPr="00810663" w:rsidRDefault="009818D6" w:rsidP="00810663">
      <w:pPr>
        <w:pStyle w:val="H23G"/>
      </w:pPr>
      <w:r w:rsidRPr="00810663">
        <w:tab/>
        <w:t>h)</w:t>
      </w:r>
      <w:r w:rsidRPr="00810663">
        <w:tab/>
        <w:t>Examen du chapitre 2.1 du SGH</w:t>
      </w:r>
    </w:p>
    <w:p w:rsidR="009818D6" w:rsidRPr="00810663" w:rsidRDefault="009818D6" w:rsidP="00E50BE5">
      <w:pPr>
        <w:pStyle w:val="SingleTxtG"/>
        <w:ind w:firstLine="567"/>
      </w:pPr>
      <w:r w:rsidRPr="00810663">
        <w:t>Au moment de la rédaction du présent document, aucun document n’avait été soumis au titre de ce sous-point de l’ordre du jour.</w:t>
      </w:r>
    </w:p>
    <w:p w:rsidR="009818D6" w:rsidRPr="00810663" w:rsidRDefault="009818D6" w:rsidP="009818D6">
      <w:pPr>
        <w:pStyle w:val="H23G"/>
        <w:rPr>
          <w:b w:val="0"/>
        </w:rPr>
      </w:pPr>
      <w:r w:rsidRPr="00810663">
        <w:tab/>
        <w:t>i)</w:t>
      </w:r>
      <w:r w:rsidRPr="00810663">
        <w:tab/>
        <w:t>Divers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9818D6" w:rsidRPr="00810663" w:rsidTr="00DB0B72">
        <w:tc>
          <w:tcPr>
            <w:tcW w:w="2450" w:type="dxa"/>
            <w:shd w:val="clear" w:color="auto" w:fill="auto"/>
          </w:tcPr>
          <w:p w:rsidR="009818D6" w:rsidRPr="00810663" w:rsidRDefault="009818D6" w:rsidP="00DB0B72">
            <w:pPr>
              <w:spacing w:before="40" w:after="120"/>
            </w:pPr>
            <w:r w:rsidRPr="00810663">
              <w:t>ST/SG/AC.10/C.3/2016/62 (Allemagne)</w:t>
            </w:r>
          </w:p>
        </w:tc>
        <w:tc>
          <w:tcPr>
            <w:tcW w:w="4920" w:type="dxa"/>
            <w:shd w:val="clear" w:color="auto" w:fill="auto"/>
          </w:tcPr>
          <w:p w:rsidR="009818D6" w:rsidRPr="00810663" w:rsidRDefault="009818D6" w:rsidP="00DB0B72">
            <w:pPr>
              <w:spacing w:before="40" w:after="120"/>
            </w:pPr>
            <w:r w:rsidRPr="00810663">
              <w:t>Corrections à apporter à la classification des liquides inflammables</w:t>
            </w:r>
          </w:p>
        </w:tc>
      </w:tr>
    </w:tbl>
    <w:p w:rsidR="009818D6" w:rsidRPr="00810663" w:rsidRDefault="00810663" w:rsidP="00810663">
      <w:pPr>
        <w:pStyle w:val="H1G"/>
      </w:pPr>
      <w:r w:rsidRPr="00810663">
        <w:tab/>
        <w:t>8.</w:t>
      </w:r>
      <w:r w:rsidRPr="00810663">
        <w:tab/>
      </w:r>
      <w:r w:rsidR="009818D6" w:rsidRPr="00810663">
        <w:t>Programme de travail pour la période biennale 2017-2018</w:t>
      </w:r>
    </w:p>
    <w:p w:rsidR="009818D6" w:rsidRPr="00810663" w:rsidRDefault="009818D6" w:rsidP="00810663">
      <w:pPr>
        <w:pStyle w:val="SingleTxtG"/>
        <w:ind w:firstLine="567"/>
      </w:pPr>
      <w:r w:rsidRPr="00810663">
        <w:t>Au moment de la rédaction du présent document, aucun document n’avait été soumis au titre de ce point de l’ordre du jour.</w:t>
      </w:r>
    </w:p>
    <w:p w:rsidR="009818D6" w:rsidRPr="00810663" w:rsidRDefault="00810663" w:rsidP="00810663">
      <w:pPr>
        <w:pStyle w:val="H1G"/>
      </w:pPr>
      <w:r w:rsidRPr="00810663">
        <w:lastRenderedPageBreak/>
        <w:tab/>
        <w:t>9.</w:t>
      </w:r>
      <w:r w:rsidRPr="00810663">
        <w:tab/>
      </w:r>
      <w:r w:rsidR="009818D6" w:rsidRPr="00810663">
        <w:t>Projet de résolution 2017/… du Conseil économique et social</w:t>
      </w:r>
    </w:p>
    <w:p w:rsidR="009818D6" w:rsidRPr="00810663" w:rsidRDefault="009818D6" w:rsidP="00810663">
      <w:pPr>
        <w:pStyle w:val="SingleTxtG"/>
        <w:ind w:firstLine="567"/>
      </w:pPr>
      <w:r w:rsidRPr="00810663">
        <w:t>Au moment de la rédaction du présent document, aucun document n’avait été soumis au titre de ce point de l’ordre du jour.</w:t>
      </w:r>
    </w:p>
    <w:p w:rsidR="009818D6" w:rsidRPr="00810663" w:rsidRDefault="00810663" w:rsidP="00810663">
      <w:pPr>
        <w:pStyle w:val="H1G"/>
      </w:pPr>
      <w:r w:rsidRPr="00810663">
        <w:tab/>
        <w:t>10.</w:t>
      </w:r>
      <w:r w:rsidRPr="00810663">
        <w:tab/>
      </w:r>
      <w:r w:rsidR="009818D6" w:rsidRPr="00810663">
        <w:t>Élection du bureau pour la période biennale 2017-2018</w:t>
      </w:r>
    </w:p>
    <w:p w:rsidR="009818D6" w:rsidRPr="00810663" w:rsidRDefault="009818D6" w:rsidP="00810663">
      <w:pPr>
        <w:pStyle w:val="SingleTxtG"/>
        <w:ind w:firstLine="567"/>
      </w:pPr>
      <w:r w:rsidRPr="00810663">
        <w:t>Au moment de la rédaction du présent document, aucun document n’avait été soumis au titre de ce point de l’ordre du jour.</w:t>
      </w:r>
    </w:p>
    <w:p w:rsidR="009818D6" w:rsidRPr="00810663" w:rsidRDefault="009818D6" w:rsidP="00810663">
      <w:pPr>
        <w:pStyle w:val="H1G"/>
      </w:pPr>
      <w:r w:rsidRPr="00810663">
        <w:tab/>
        <w:t>11.</w:t>
      </w:r>
      <w:r w:rsidRPr="00810663">
        <w:tab/>
        <w:t>Questions diverses</w:t>
      </w:r>
    </w:p>
    <w:p w:rsidR="009818D6" w:rsidRPr="00810663" w:rsidRDefault="009818D6" w:rsidP="00810663">
      <w:pPr>
        <w:pStyle w:val="SingleTxtG"/>
        <w:ind w:firstLine="567"/>
      </w:pPr>
      <w:r w:rsidRPr="00810663">
        <w:t>Au moment de la rédaction du présent document, aucun document n’avait été soumis au titre de ce point de l’ordre du jour.</w:t>
      </w:r>
    </w:p>
    <w:p w:rsidR="009818D6" w:rsidRPr="00810663" w:rsidRDefault="009818D6" w:rsidP="00810663">
      <w:pPr>
        <w:pStyle w:val="H1G"/>
      </w:pPr>
      <w:r w:rsidRPr="00810663">
        <w:tab/>
        <w:t>12.</w:t>
      </w:r>
      <w:r w:rsidRPr="00810663">
        <w:tab/>
        <w:t>Adoption du rapport</w:t>
      </w:r>
    </w:p>
    <w:p w:rsidR="009818D6" w:rsidRPr="00810663" w:rsidRDefault="009818D6" w:rsidP="009818D6">
      <w:pPr>
        <w:pStyle w:val="SingleTxtG"/>
        <w:spacing w:before="240" w:after="0"/>
        <w:jc w:val="center"/>
        <w:rPr>
          <w:u w:val="single"/>
        </w:rPr>
      </w:pPr>
      <w:r w:rsidRPr="00810663">
        <w:rPr>
          <w:u w:val="single"/>
        </w:rPr>
        <w:tab/>
      </w:r>
      <w:r w:rsidRPr="00810663">
        <w:rPr>
          <w:u w:val="single"/>
        </w:rPr>
        <w:tab/>
      </w:r>
      <w:r w:rsidRPr="00810663">
        <w:rPr>
          <w:u w:val="single"/>
        </w:rPr>
        <w:tab/>
      </w:r>
    </w:p>
    <w:sectPr w:rsidR="009818D6" w:rsidRPr="00810663" w:rsidSect="009818D6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4D02" w:rsidRDefault="004B4D02" w:rsidP="00F95C08">
      <w:pPr>
        <w:spacing w:line="240" w:lineRule="auto"/>
      </w:pPr>
    </w:p>
  </w:endnote>
  <w:endnote w:type="continuationSeparator" w:id="0">
    <w:p w:rsidR="004B4D02" w:rsidRPr="00AC3823" w:rsidRDefault="004B4D02" w:rsidP="00AC3823">
      <w:pPr>
        <w:pStyle w:val="Footer"/>
      </w:pPr>
    </w:p>
  </w:endnote>
  <w:endnote w:type="continuationNotice" w:id="1">
    <w:p w:rsidR="004B4D02" w:rsidRDefault="004B4D0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8D6" w:rsidRPr="009818D6" w:rsidRDefault="009818D6" w:rsidP="009818D6">
    <w:pPr>
      <w:pStyle w:val="Footer"/>
      <w:tabs>
        <w:tab w:val="right" w:pos="9638"/>
      </w:tabs>
    </w:pPr>
    <w:r w:rsidRPr="009818D6">
      <w:rPr>
        <w:b/>
        <w:sz w:val="18"/>
      </w:rPr>
      <w:fldChar w:fldCharType="begin"/>
    </w:r>
    <w:r w:rsidRPr="009818D6">
      <w:rPr>
        <w:b/>
        <w:sz w:val="18"/>
      </w:rPr>
      <w:instrText xml:space="preserve"> PAGE  \* MERGEFORMAT </w:instrText>
    </w:r>
    <w:r w:rsidRPr="009818D6">
      <w:rPr>
        <w:b/>
        <w:sz w:val="18"/>
      </w:rPr>
      <w:fldChar w:fldCharType="separate"/>
    </w:r>
    <w:r w:rsidR="00C07439">
      <w:rPr>
        <w:b/>
        <w:noProof/>
        <w:sz w:val="18"/>
      </w:rPr>
      <w:t>6</w:t>
    </w:r>
    <w:r w:rsidRPr="009818D6">
      <w:rPr>
        <w:b/>
        <w:sz w:val="18"/>
      </w:rPr>
      <w:fldChar w:fldCharType="end"/>
    </w:r>
    <w:r>
      <w:rPr>
        <w:b/>
        <w:sz w:val="18"/>
      </w:rPr>
      <w:tab/>
    </w:r>
    <w:r>
      <w:t>GE.16-16066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8D6" w:rsidRPr="009818D6" w:rsidRDefault="009818D6" w:rsidP="009818D6">
    <w:pPr>
      <w:pStyle w:val="Footer"/>
      <w:tabs>
        <w:tab w:val="right" w:pos="9638"/>
      </w:tabs>
      <w:rPr>
        <w:b/>
        <w:sz w:val="18"/>
      </w:rPr>
    </w:pPr>
    <w:r>
      <w:t>GE.16-16066</w:t>
    </w:r>
    <w:r>
      <w:tab/>
    </w:r>
    <w:r w:rsidRPr="009818D6">
      <w:rPr>
        <w:b/>
        <w:sz w:val="18"/>
      </w:rPr>
      <w:fldChar w:fldCharType="begin"/>
    </w:r>
    <w:r w:rsidRPr="009818D6">
      <w:rPr>
        <w:b/>
        <w:sz w:val="18"/>
      </w:rPr>
      <w:instrText xml:space="preserve"> PAGE  \* MERGEFORMAT </w:instrText>
    </w:r>
    <w:r w:rsidRPr="009818D6">
      <w:rPr>
        <w:b/>
        <w:sz w:val="18"/>
      </w:rPr>
      <w:fldChar w:fldCharType="separate"/>
    </w:r>
    <w:r w:rsidR="00C07439">
      <w:rPr>
        <w:b/>
        <w:noProof/>
        <w:sz w:val="18"/>
      </w:rPr>
      <w:t>5</w:t>
    </w:r>
    <w:r w:rsidRPr="009818D6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56F" w:rsidRPr="009818D6" w:rsidRDefault="009818D6" w:rsidP="009818D6">
    <w:pPr>
      <w:pStyle w:val="Footer"/>
      <w:spacing w:before="120"/>
      <w:rPr>
        <w:sz w:val="20"/>
      </w:rPr>
    </w:pPr>
    <w:r>
      <w:rPr>
        <w:sz w:val="20"/>
      </w:rPr>
      <w:t>GE.</w:t>
    </w:r>
    <w:r w:rsidR="0068456F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0" wp14:anchorId="67A6266B" wp14:editId="6C1CD4AC">
          <wp:simplePos x="0" y="0"/>
          <wp:positionH relativeFrom="margin">
            <wp:posOffset>4319905</wp:posOffset>
          </wp:positionH>
          <wp:positionV relativeFrom="margin">
            <wp:posOffset>8279765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16-16066  (F)    061016    071016</w:t>
    </w:r>
    <w:r>
      <w:rPr>
        <w:sz w:val="20"/>
      </w:rPr>
      <w:br/>
    </w:r>
    <w:r w:rsidRPr="009818D6">
      <w:rPr>
        <w:rFonts w:ascii="C39T30Lfz" w:hAnsi="C39T30Lfz"/>
        <w:sz w:val="56"/>
      </w:rPr>
      <w:t></w:t>
    </w:r>
    <w:r w:rsidRPr="009818D6">
      <w:rPr>
        <w:rFonts w:ascii="C39T30Lfz" w:hAnsi="C39T30Lfz"/>
        <w:sz w:val="56"/>
      </w:rPr>
      <w:t></w:t>
    </w:r>
    <w:r w:rsidRPr="009818D6">
      <w:rPr>
        <w:rFonts w:ascii="C39T30Lfz" w:hAnsi="C39T30Lfz"/>
        <w:sz w:val="56"/>
      </w:rPr>
      <w:t></w:t>
    </w:r>
    <w:r w:rsidRPr="009818D6">
      <w:rPr>
        <w:rFonts w:ascii="C39T30Lfz" w:hAnsi="C39T30Lfz"/>
        <w:sz w:val="56"/>
      </w:rPr>
      <w:t></w:t>
    </w:r>
    <w:r w:rsidRPr="009818D6">
      <w:rPr>
        <w:rFonts w:ascii="C39T30Lfz" w:hAnsi="C39T30Lfz"/>
        <w:sz w:val="56"/>
      </w:rPr>
      <w:t></w:t>
    </w:r>
    <w:r w:rsidRPr="009818D6">
      <w:rPr>
        <w:rFonts w:ascii="C39T30Lfz" w:hAnsi="C39T30Lfz"/>
        <w:sz w:val="56"/>
      </w:rPr>
      <w:t></w:t>
    </w:r>
    <w:r w:rsidRPr="009818D6">
      <w:rPr>
        <w:rFonts w:ascii="C39T30Lfz" w:hAnsi="C39T30Lfz"/>
        <w:sz w:val="56"/>
      </w:rPr>
      <w:t></w:t>
    </w:r>
    <w:r w:rsidRPr="009818D6">
      <w:rPr>
        <w:rFonts w:ascii="C39T30Lfz" w:hAnsi="C39T30Lfz"/>
        <w:sz w:val="56"/>
      </w:rPr>
      <w:t></w:t>
    </w:r>
    <w:r w:rsidRPr="009818D6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60288" behindDoc="0" locked="0" layoutInCell="1" allowOverlap="1" wp14:anchorId="10A2354B" wp14:editId="39E3407C">
          <wp:simplePos x="0" y="0"/>
          <wp:positionH relativeFrom="margin">
            <wp:posOffset>5489575</wp:posOffset>
          </wp:positionH>
          <wp:positionV relativeFrom="margin">
            <wp:posOffset>8027670</wp:posOffset>
          </wp:positionV>
          <wp:extent cx="638175" cy="638175"/>
          <wp:effectExtent l="0" t="0" r="9525" b="9525"/>
          <wp:wrapNone/>
          <wp:docPr id="3" name="Image 1" descr="http://undocs.org/m2/QRCode.ashx?DS=ST/SG/AC.10/C.3/99/Add.1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ST/SG/AC.10/C.3/99/Add.1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4D02" w:rsidRPr="00AC3823" w:rsidRDefault="004B4D02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4B4D02" w:rsidRPr="00AC3823" w:rsidRDefault="004B4D02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4B4D02" w:rsidRPr="00AC3823" w:rsidRDefault="004B4D02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8D6" w:rsidRPr="009818D6" w:rsidRDefault="009818D6">
    <w:pPr>
      <w:pStyle w:val="Header"/>
    </w:pPr>
    <w:r>
      <w:t>ST/SG/AC.10/C.3/99/Add.1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8D6" w:rsidRPr="009818D6" w:rsidRDefault="009818D6" w:rsidP="009818D6">
    <w:pPr>
      <w:pStyle w:val="Header"/>
      <w:jc w:val="right"/>
    </w:pPr>
    <w:r>
      <w:t>ST/SG/AC.10/C.3/99/Add.1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>
    <w:nsid w:val="665A6430"/>
    <w:multiLevelType w:val="hybridMultilevel"/>
    <w:tmpl w:val="FE9ADFE8"/>
    <w:lvl w:ilvl="0" w:tplc="A314D37E">
      <w:start w:val="2"/>
      <w:numFmt w:val="decimal"/>
      <w:lvlText w:val="%1."/>
      <w:lvlJc w:val="left"/>
      <w:pPr>
        <w:tabs>
          <w:tab w:val="num" w:pos="1140"/>
        </w:tabs>
        <w:ind w:left="1140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3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D02"/>
    <w:rsid w:val="00017F94"/>
    <w:rsid w:val="00023842"/>
    <w:rsid w:val="000305D3"/>
    <w:rsid w:val="000334F9"/>
    <w:rsid w:val="0007796D"/>
    <w:rsid w:val="000B7790"/>
    <w:rsid w:val="00111F2F"/>
    <w:rsid w:val="00132EA9"/>
    <w:rsid w:val="0014365E"/>
    <w:rsid w:val="00176178"/>
    <w:rsid w:val="001F525A"/>
    <w:rsid w:val="00223272"/>
    <w:rsid w:val="0024779E"/>
    <w:rsid w:val="00283190"/>
    <w:rsid w:val="002832AC"/>
    <w:rsid w:val="002D7C93"/>
    <w:rsid w:val="00441C3B"/>
    <w:rsid w:val="00446FE5"/>
    <w:rsid w:val="00452396"/>
    <w:rsid w:val="004B4D02"/>
    <w:rsid w:val="004E468C"/>
    <w:rsid w:val="005505B7"/>
    <w:rsid w:val="00573BE5"/>
    <w:rsid w:val="00586ED3"/>
    <w:rsid w:val="00596AA9"/>
    <w:rsid w:val="005C2EB5"/>
    <w:rsid w:val="0068456F"/>
    <w:rsid w:val="0071601D"/>
    <w:rsid w:val="007A62E6"/>
    <w:rsid w:val="0080684C"/>
    <w:rsid w:val="00810663"/>
    <w:rsid w:val="00857F76"/>
    <w:rsid w:val="00871C75"/>
    <w:rsid w:val="00873FD8"/>
    <w:rsid w:val="008776DC"/>
    <w:rsid w:val="009705C8"/>
    <w:rsid w:val="009818D6"/>
    <w:rsid w:val="009C1CF4"/>
    <w:rsid w:val="00A30353"/>
    <w:rsid w:val="00AC3823"/>
    <w:rsid w:val="00AE323C"/>
    <w:rsid w:val="00B00181"/>
    <w:rsid w:val="00B00B0D"/>
    <w:rsid w:val="00B423EC"/>
    <w:rsid w:val="00B765F7"/>
    <w:rsid w:val="00BA0CA9"/>
    <w:rsid w:val="00C02897"/>
    <w:rsid w:val="00C07439"/>
    <w:rsid w:val="00D3439C"/>
    <w:rsid w:val="00DB1831"/>
    <w:rsid w:val="00DD3BFD"/>
    <w:rsid w:val="00DF6678"/>
    <w:rsid w:val="00E4683D"/>
    <w:rsid w:val="00E50BE5"/>
    <w:rsid w:val="00E92D75"/>
    <w:rsid w:val="00EF2E22"/>
    <w:rsid w:val="00F57DCC"/>
    <w:rsid w:val="00F660DF"/>
    <w:rsid w:val="00F730C8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283190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283190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2EA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2EA9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9818D6"/>
    <w:rPr>
      <w:rFonts w:ascii="Times New Roman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locked/>
    <w:rsid w:val="009818D6"/>
    <w:rPr>
      <w:rFonts w:ascii="Times New Roman" w:hAnsi="Times New Roman" w:cs="Times New Roman"/>
      <w:b/>
      <w:sz w:val="28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283190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283190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2EA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2EA9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9818D6"/>
    <w:rPr>
      <w:rFonts w:ascii="Times New Roman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locked/>
    <w:rsid w:val="009818D6"/>
    <w:rPr>
      <w:rFonts w:ascii="Times New Roman" w:hAnsi="Times New Roman" w:cs="Times New Roman"/>
      <w:b/>
      <w:sz w:val="2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1389</Words>
  <Characters>7923</Characters>
  <Application>Microsoft Office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ST/SG/AC.10/C.3/99/Add.1</vt:lpstr>
      <vt:lpstr>ST/SG/AC.10/C.3/99/Add.1</vt:lpstr>
    </vt:vector>
  </TitlesOfParts>
  <Company>DCM</Company>
  <LinksUpToDate>false</LinksUpToDate>
  <CharactersWithSpaces>9294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ST/SG/AC.10/C.3/99/Add.1</dc:title>
  <dc:creator>Morin</dc:creator>
  <cp:lastModifiedBy>Laurence Berthet</cp:lastModifiedBy>
  <cp:revision>2</cp:revision>
  <cp:lastPrinted>2016-10-07T12:34:00Z</cp:lastPrinted>
  <dcterms:created xsi:type="dcterms:W3CDTF">2016-10-25T07:22:00Z</dcterms:created>
  <dcterms:modified xsi:type="dcterms:W3CDTF">2016-10-25T07:22:00Z</dcterms:modified>
</cp:coreProperties>
</file>