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F2646" w:rsidTr="00D726FB">
        <w:trPr>
          <w:trHeight w:val="851"/>
        </w:trPr>
        <w:tc>
          <w:tcPr>
            <w:tcW w:w="1259" w:type="dxa"/>
            <w:tcBorders>
              <w:top w:val="nil"/>
              <w:left w:val="nil"/>
              <w:bottom w:val="single" w:sz="4" w:space="0" w:color="auto"/>
              <w:right w:val="nil"/>
            </w:tcBorders>
            <w:shd w:val="clear" w:color="auto" w:fill="auto"/>
          </w:tcPr>
          <w:p w:rsidR="00446DE4" w:rsidRPr="00EF2646" w:rsidRDefault="00446DE4" w:rsidP="00D726FB">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EF2646" w:rsidRDefault="00B3317B" w:rsidP="00D726FB">
            <w:pPr>
              <w:spacing w:after="80" w:line="340" w:lineRule="exact"/>
              <w:rPr>
                <w:sz w:val="28"/>
                <w:szCs w:val="28"/>
              </w:rPr>
            </w:pPr>
            <w:r w:rsidRPr="00EF2646">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EF2646" w:rsidRDefault="008F4F70" w:rsidP="008F4F70">
            <w:pPr>
              <w:jc w:val="right"/>
            </w:pPr>
            <w:r w:rsidRPr="00EF2646">
              <w:rPr>
                <w:sz w:val="40"/>
              </w:rPr>
              <w:t>ST</w:t>
            </w:r>
            <w:r w:rsidRPr="00EF2646">
              <w:t>/SG/AC.10/C.3/98/Add.1</w:t>
            </w:r>
          </w:p>
        </w:tc>
      </w:tr>
      <w:tr w:rsidR="003107FA" w:rsidRPr="00EF2646" w:rsidTr="00D726FB">
        <w:trPr>
          <w:trHeight w:val="2835"/>
        </w:trPr>
        <w:tc>
          <w:tcPr>
            <w:tcW w:w="1259" w:type="dxa"/>
            <w:tcBorders>
              <w:top w:val="single" w:sz="4" w:space="0" w:color="auto"/>
              <w:left w:val="nil"/>
              <w:bottom w:val="single" w:sz="12" w:space="0" w:color="auto"/>
              <w:right w:val="nil"/>
            </w:tcBorders>
            <w:shd w:val="clear" w:color="auto" w:fill="auto"/>
          </w:tcPr>
          <w:p w:rsidR="003107FA" w:rsidRPr="00EF2646" w:rsidRDefault="00B41DB7" w:rsidP="00D726FB">
            <w:pPr>
              <w:spacing w:before="120"/>
              <w:jc w:val="center"/>
            </w:pPr>
            <w:r w:rsidRPr="00EF2646">
              <w:rPr>
                <w:noProof/>
                <w:lang w:eastAsia="en-GB"/>
              </w:rPr>
              <w:drawing>
                <wp:inline distT="0" distB="0" distL="0" distR="0" wp14:anchorId="549B43FE" wp14:editId="638C4EE6">
                  <wp:extent cx="715645" cy="588645"/>
                  <wp:effectExtent l="0" t="0" r="8255" b="1905"/>
                  <wp:docPr id="3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EF2646" w:rsidRDefault="00D96CC5" w:rsidP="00D726FB">
            <w:pPr>
              <w:spacing w:before="120" w:line="420" w:lineRule="exact"/>
              <w:rPr>
                <w:b/>
                <w:sz w:val="40"/>
                <w:szCs w:val="40"/>
              </w:rPr>
            </w:pPr>
            <w:r w:rsidRPr="00EF2646">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8F4F70" w:rsidRPr="00EF2646" w:rsidRDefault="008F4F70" w:rsidP="008F4F70">
            <w:pPr>
              <w:spacing w:before="240" w:line="240" w:lineRule="exact"/>
            </w:pPr>
            <w:r w:rsidRPr="00EF2646">
              <w:t>Distr.: General</w:t>
            </w:r>
          </w:p>
          <w:p w:rsidR="008F4F70" w:rsidRPr="00EF2646" w:rsidRDefault="00D821A0" w:rsidP="008F4F70">
            <w:pPr>
              <w:spacing w:line="240" w:lineRule="exact"/>
            </w:pPr>
            <w:r>
              <w:t>22</w:t>
            </w:r>
            <w:r w:rsidR="00250934" w:rsidRPr="00EF2646">
              <w:t xml:space="preserve"> </w:t>
            </w:r>
            <w:r w:rsidR="00775D28" w:rsidRPr="00EF2646">
              <w:t>August</w:t>
            </w:r>
            <w:r w:rsidR="008F4F70" w:rsidRPr="00EF2646">
              <w:t xml:space="preserve"> 2016</w:t>
            </w:r>
          </w:p>
          <w:p w:rsidR="008258B6" w:rsidRPr="00EF2646" w:rsidRDefault="008258B6" w:rsidP="00D726FB">
            <w:pPr>
              <w:spacing w:line="240" w:lineRule="exact"/>
            </w:pPr>
            <w:r w:rsidRPr="00EF2646">
              <w:t>English</w:t>
            </w:r>
          </w:p>
          <w:p w:rsidR="0029105B" w:rsidRPr="00EF2646" w:rsidRDefault="0029105B" w:rsidP="00D726FB">
            <w:pPr>
              <w:spacing w:line="240" w:lineRule="exact"/>
            </w:pPr>
            <w:r w:rsidRPr="00EF2646">
              <w:t>Original: English</w:t>
            </w:r>
            <w:r w:rsidR="008258B6" w:rsidRPr="00EF2646">
              <w:t xml:space="preserve"> and French</w:t>
            </w:r>
          </w:p>
        </w:tc>
      </w:tr>
    </w:tbl>
    <w:p w:rsidR="009F0F06" w:rsidRPr="00EF2646" w:rsidRDefault="009F0F06" w:rsidP="009F0F06">
      <w:pPr>
        <w:spacing w:before="120"/>
        <w:rPr>
          <w:b/>
          <w:sz w:val="24"/>
          <w:szCs w:val="24"/>
        </w:rPr>
      </w:pPr>
      <w:r w:rsidRPr="00EF2646">
        <w:rPr>
          <w:b/>
          <w:sz w:val="24"/>
          <w:szCs w:val="24"/>
        </w:rPr>
        <w:t>Committee of Experts on the Transport of Dangerous Goods</w:t>
      </w:r>
      <w:r w:rsidRPr="00EF2646">
        <w:rPr>
          <w:b/>
          <w:sz w:val="24"/>
          <w:szCs w:val="24"/>
        </w:rPr>
        <w:br/>
        <w:t>and on the Globally Harmonized System of Classification</w:t>
      </w:r>
      <w:r w:rsidRPr="00EF2646">
        <w:rPr>
          <w:b/>
          <w:sz w:val="24"/>
          <w:szCs w:val="24"/>
        </w:rPr>
        <w:br/>
        <w:t>and Labelling of Chemicals</w:t>
      </w:r>
    </w:p>
    <w:p w:rsidR="009F0F06" w:rsidRPr="00EF2646" w:rsidRDefault="009F0F06" w:rsidP="009F0F06">
      <w:pPr>
        <w:spacing w:before="120"/>
        <w:rPr>
          <w:rFonts w:ascii="Helv" w:hAnsi="Helv" w:cs="Helv"/>
          <w:b/>
          <w:color w:val="000000"/>
        </w:rPr>
      </w:pPr>
      <w:r w:rsidRPr="00EF2646">
        <w:rPr>
          <w:b/>
        </w:rPr>
        <w:t xml:space="preserve">Sub-Committee of Experts on the </w:t>
      </w:r>
      <w:r w:rsidR="00CD3225" w:rsidRPr="00EF2646">
        <w:rPr>
          <w:b/>
        </w:rPr>
        <w:t>Transport of Dangerous Goods</w:t>
      </w:r>
    </w:p>
    <w:p w:rsidR="00F23453" w:rsidRPr="00EF2646" w:rsidRDefault="00F23453" w:rsidP="00815F52">
      <w:pPr>
        <w:pStyle w:val="HChG"/>
        <w:spacing w:before="240" w:after="120"/>
      </w:pPr>
      <w:r w:rsidRPr="00EF2646">
        <w:tab/>
      </w:r>
      <w:r w:rsidRPr="00EF2646">
        <w:tab/>
        <w:t>Report of the Sub-Committee of Experts on the Transport of Dangerous Goods on its forty-</w:t>
      </w:r>
      <w:r w:rsidR="00815F52" w:rsidRPr="00EF2646">
        <w:t>nin</w:t>
      </w:r>
      <w:r w:rsidRPr="00EF2646">
        <w:t>th session</w:t>
      </w:r>
    </w:p>
    <w:p w:rsidR="00F23453" w:rsidRPr="00EF2646" w:rsidRDefault="00F23453" w:rsidP="00815F52">
      <w:pPr>
        <w:pStyle w:val="H23G"/>
        <w:spacing w:before="120" w:after="240"/>
        <w:rPr>
          <w:b w:val="0"/>
        </w:rPr>
      </w:pPr>
      <w:r w:rsidRPr="00EF2646">
        <w:tab/>
      </w:r>
      <w:r w:rsidRPr="00EF2646">
        <w:tab/>
      </w:r>
      <w:proofErr w:type="gramStart"/>
      <w:r w:rsidRPr="00EF2646">
        <w:rPr>
          <w:b w:val="0"/>
        </w:rPr>
        <w:t>held</w:t>
      </w:r>
      <w:proofErr w:type="gramEnd"/>
      <w:r w:rsidRPr="00EF2646">
        <w:rPr>
          <w:b w:val="0"/>
        </w:rPr>
        <w:t xml:space="preserve"> in Geneva from </w:t>
      </w:r>
      <w:r w:rsidR="00815F52" w:rsidRPr="00EF2646">
        <w:rPr>
          <w:b w:val="0"/>
        </w:rPr>
        <w:t>27 June to 6 July 2016</w:t>
      </w:r>
    </w:p>
    <w:p w:rsidR="0029105B" w:rsidRPr="00EF2646" w:rsidRDefault="0029105B" w:rsidP="0029105B">
      <w:pPr>
        <w:pStyle w:val="H23G"/>
      </w:pPr>
      <w:r w:rsidRPr="00EF2646">
        <w:tab/>
      </w:r>
      <w:r w:rsidRPr="00EF2646">
        <w:tab/>
        <w:t>Addendum</w:t>
      </w:r>
    </w:p>
    <w:p w:rsidR="0029105B" w:rsidRPr="00EF2646" w:rsidRDefault="0029105B" w:rsidP="0029105B">
      <w:pPr>
        <w:spacing w:line="200" w:lineRule="atLeast"/>
        <w:rPr>
          <w:sz w:val="28"/>
        </w:rPr>
      </w:pPr>
      <w:r w:rsidRPr="00EF2646">
        <w:rPr>
          <w:sz w:val="28"/>
        </w:rPr>
        <w:t>Table of contents</w:t>
      </w:r>
    </w:p>
    <w:p w:rsidR="0029105B" w:rsidRPr="00EF2646" w:rsidRDefault="0029105B" w:rsidP="0029105B">
      <w:pPr>
        <w:spacing w:line="200" w:lineRule="atLeast"/>
        <w:rPr>
          <w:sz w:val="28"/>
        </w:rPr>
      </w:pPr>
    </w:p>
    <w:p w:rsidR="0029105B" w:rsidRPr="00EF2646" w:rsidRDefault="0029105B" w:rsidP="0029105B">
      <w:pPr>
        <w:pStyle w:val="SingleTxtG"/>
        <w:spacing w:after="60"/>
        <w:ind w:left="0"/>
      </w:pPr>
      <w:r w:rsidRPr="00EF2646">
        <w:t>Annexes</w:t>
      </w:r>
    </w:p>
    <w:p w:rsidR="0029105B" w:rsidRPr="00EF2646" w:rsidRDefault="0029105B" w:rsidP="0029105B">
      <w:pPr>
        <w:tabs>
          <w:tab w:val="right" w:pos="8929"/>
          <w:tab w:val="right" w:pos="9638"/>
        </w:tabs>
        <w:spacing w:after="120"/>
        <w:ind w:left="283"/>
      </w:pPr>
      <w:r w:rsidRPr="00EF2646">
        <w:rPr>
          <w:i/>
          <w:sz w:val="18"/>
        </w:rPr>
        <w:tab/>
        <w:t>Page</w:t>
      </w:r>
    </w:p>
    <w:p w:rsidR="00C57D44" w:rsidRPr="00EF2646" w:rsidRDefault="00C57D44" w:rsidP="00EC7CFE">
      <w:pPr>
        <w:tabs>
          <w:tab w:val="right" w:pos="850"/>
          <w:tab w:val="left" w:pos="1134"/>
          <w:tab w:val="left" w:pos="1559"/>
          <w:tab w:val="left" w:pos="1984"/>
          <w:tab w:val="left" w:leader="dot" w:pos="7654"/>
          <w:tab w:val="right" w:pos="8929"/>
          <w:tab w:val="right" w:pos="9638"/>
        </w:tabs>
        <w:spacing w:line="240" w:lineRule="auto"/>
        <w:ind w:left="1134" w:hanging="567"/>
      </w:pPr>
      <w:r w:rsidRPr="00EF2646">
        <w:t>I.</w:t>
      </w:r>
      <w:r w:rsidRPr="00EF2646">
        <w:tab/>
      </w:r>
      <w:r w:rsidR="00FA4E0D" w:rsidRPr="00EF2646">
        <w:tab/>
      </w:r>
      <w:r w:rsidRPr="00EF2646">
        <w:t xml:space="preserve">Draft amendments to the </w:t>
      </w:r>
      <w:r w:rsidR="00602DBC" w:rsidRPr="00EF2646">
        <w:t xml:space="preserve">sixth revised </w:t>
      </w:r>
      <w:r w:rsidR="00072245" w:rsidRPr="00EF2646">
        <w:t>edition of the Recommendations</w:t>
      </w:r>
      <w:r w:rsidR="00C97D2B" w:rsidRPr="00EF2646">
        <w:t xml:space="preserve"> on the Transport</w:t>
      </w:r>
      <w:r w:rsidR="00072245" w:rsidRPr="00EF2646">
        <w:br/>
        <w:t xml:space="preserve">of Dangerous Goods, </w:t>
      </w:r>
      <w:r w:rsidR="00602DBC" w:rsidRPr="00EF2646">
        <w:t>Manual of Tests and Criteria</w:t>
      </w:r>
      <w:r w:rsidR="00C97D2B" w:rsidRPr="00EF2646">
        <w:t xml:space="preserve"> (ST/SG/AC.10/11/Rev.6)</w:t>
      </w:r>
      <w:r w:rsidR="00072245" w:rsidRPr="00EF2646">
        <w:t>….....</w:t>
      </w:r>
      <w:r w:rsidR="00C97D2B" w:rsidRPr="00EF2646">
        <w:t>................</w:t>
      </w:r>
      <w:r w:rsidR="00072245" w:rsidRPr="00EF2646">
        <w:tab/>
      </w:r>
      <w:r w:rsidR="00FA4E0D" w:rsidRPr="00EF2646">
        <w:t>2</w:t>
      </w:r>
    </w:p>
    <w:p w:rsidR="00602DBC" w:rsidRPr="00EF2646" w:rsidRDefault="00602DBC" w:rsidP="00EC7CFE">
      <w:pPr>
        <w:tabs>
          <w:tab w:val="right" w:pos="850"/>
          <w:tab w:val="left" w:pos="1134"/>
          <w:tab w:val="left" w:pos="1559"/>
          <w:tab w:val="left" w:pos="1984"/>
          <w:tab w:val="left" w:leader="dot" w:pos="7654"/>
          <w:tab w:val="right" w:pos="8929"/>
          <w:tab w:val="right" w:pos="9638"/>
        </w:tabs>
        <w:spacing w:line="240" w:lineRule="auto"/>
        <w:ind w:left="1134" w:hanging="567"/>
      </w:pPr>
      <w:r w:rsidRPr="00EF2646">
        <w:t>II.</w:t>
      </w:r>
      <w:r w:rsidRPr="00EF2646">
        <w:tab/>
      </w:r>
      <w:r w:rsidRPr="00EF2646">
        <w:tab/>
        <w:t xml:space="preserve">Draft amendments to the nineteenth revised edition of the Recommendations </w:t>
      </w:r>
      <w:r w:rsidR="00C97D2B" w:rsidRPr="00EF2646">
        <w:t>on the</w:t>
      </w:r>
    </w:p>
    <w:p w:rsidR="00602DBC" w:rsidRPr="00EF2646" w:rsidRDefault="00602DBC" w:rsidP="008225FC">
      <w:pPr>
        <w:tabs>
          <w:tab w:val="right" w:pos="850"/>
          <w:tab w:val="left" w:pos="1134"/>
          <w:tab w:val="left" w:pos="1559"/>
          <w:tab w:val="left" w:pos="1984"/>
          <w:tab w:val="left" w:leader="dot" w:pos="7654"/>
          <w:tab w:val="right" w:pos="8929"/>
          <w:tab w:val="right" w:pos="9638"/>
        </w:tabs>
        <w:spacing w:line="240" w:lineRule="auto"/>
        <w:ind w:left="1134" w:hanging="567"/>
      </w:pPr>
      <w:r w:rsidRPr="00EF2646">
        <w:tab/>
      </w:r>
      <w:r w:rsidRPr="00EF2646">
        <w:tab/>
        <w:t>Transport of Dangerous Goods, Model Regulation</w:t>
      </w:r>
      <w:r w:rsidR="00FD636C" w:rsidRPr="00EF2646">
        <w:t>s</w:t>
      </w:r>
      <w:r w:rsidR="00C97D2B" w:rsidRPr="00EF2646">
        <w:t xml:space="preserve"> </w:t>
      </w:r>
      <w:r w:rsidR="00EF7ABF" w:rsidRPr="00EF2646">
        <w:t>(ST/SG/AC.10/1/Rev.19)</w:t>
      </w:r>
      <w:r w:rsidRPr="00EF2646">
        <w:t>…………</w:t>
      </w:r>
      <w:r w:rsidR="00EF7ABF" w:rsidRPr="00EF2646">
        <w:t>……</w:t>
      </w:r>
      <w:proofErr w:type="gramStart"/>
      <w:r w:rsidR="00EF7ABF" w:rsidRPr="00EF2646">
        <w:t>..</w:t>
      </w:r>
      <w:proofErr w:type="gramEnd"/>
      <w:r w:rsidR="00EF7ABF" w:rsidRPr="00EF2646">
        <w:tab/>
      </w:r>
      <w:r w:rsidR="008225FC">
        <w:t>6</w:t>
      </w:r>
    </w:p>
    <w:p w:rsidR="00AC7139" w:rsidRPr="00EF2646" w:rsidRDefault="00DB087E" w:rsidP="00AC7139">
      <w:pPr>
        <w:tabs>
          <w:tab w:val="right" w:pos="850"/>
          <w:tab w:val="left" w:pos="1134"/>
          <w:tab w:val="left" w:pos="1559"/>
          <w:tab w:val="left" w:pos="1984"/>
          <w:tab w:val="left" w:leader="dot" w:pos="7654"/>
          <w:tab w:val="right" w:pos="8929"/>
          <w:tab w:val="right" w:pos="9638"/>
        </w:tabs>
        <w:spacing w:line="240" w:lineRule="auto"/>
        <w:ind w:left="1134" w:hanging="567"/>
      </w:pPr>
      <w:r w:rsidRPr="00EF2646">
        <w:t>I</w:t>
      </w:r>
      <w:r w:rsidR="00AC7139" w:rsidRPr="00EF2646">
        <w:t>V.</w:t>
      </w:r>
      <w:r w:rsidR="00AC7139" w:rsidRPr="00EF2646">
        <w:tab/>
      </w:r>
      <w:r w:rsidR="00AC7139" w:rsidRPr="00EF2646">
        <w:tab/>
        <w:t xml:space="preserve">Corrections to the sixth revised edition of the Recommendations </w:t>
      </w:r>
      <w:r w:rsidRPr="00EF2646">
        <w:t>on the transport of</w:t>
      </w:r>
    </w:p>
    <w:p w:rsidR="00AC7139" w:rsidRPr="00EF2646" w:rsidRDefault="00AC7139" w:rsidP="008225FC">
      <w:pPr>
        <w:tabs>
          <w:tab w:val="right" w:pos="850"/>
          <w:tab w:val="left" w:pos="1134"/>
          <w:tab w:val="left" w:pos="1559"/>
          <w:tab w:val="left" w:pos="1984"/>
          <w:tab w:val="left" w:leader="dot" w:pos="7654"/>
          <w:tab w:val="right" w:pos="8929"/>
          <w:tab w:val="right" w:pos="9638"/>
        </w:tabs>
        <w:spacing w:line="240" w:lineRule="auto"/>
        <w:ind w:left="1134" w:hanging="567"/>
      </w:pPr>
      <w:r w:rsidRPr="00EF2646">
        <w:tab/>
      </w:r>
      <w:r w:rsidRPr="00EF2646">
        <w:tab/>
        <w:t>Dangerous Goods, Manual of Tests and Criteria (ST/SG/AC.10/11/Rev.6)………………………………………………………</w:t>
      </w:r>
      <w:r w:rsidR="00E4128C" w:rsidRPr="00EF2646">
        <w:tab/>
        <w:t>……….</w:t>
      </w:r>
      <w:r w:rsidRPr="00EF2646">
        <w:t>….</w:t>
      </w:r>
      <w:r w:rsidRPr="00EF2646">
        <w:tab/>
      </w:r>
      <w:r w:rsidR="008225FC">
        <w:t>25</w:t>
      </w:r>
    </w:p>
    <w:p w:rsidR="00072245" w:rsidRPr="00EF2646" w:rsidRDefault="00557590" w:rsidP="00EC7CFE">
      <w:pPr>
        <w:tabs>
          <w:tab w:val="right" w:pos="850"/>
          <w:tab w:val="left" w:pos="1134"/>
          <w:tab w:val="left" w:pos="1559"/>
          <w:tab w:val="left" w:pos="1984"/>
          <w:tab w:val="left" w:leader="dot" w:pos="7654"/>
          <w:tab w:val="right" w:pos="8929"/>
          <w:tab w:val="right" w:pos="9638"/>
        </w:tabs>
        <w:spacing w:line="240" w:lineRule="auto"/>
        <w:ind w:left="1134" w:hanging="567"/>
      </w:pPr>
      <w:r w:rsidRPr="00EF2646">
        <w:t>V</w:t>
      </w:r>
      <w:r w:rsidR="00526B1E" w:rsidRPr="00EF2646">
        <w:t>.</w:t>
      </w:r>
      <w:r w:rsidR="00526B1E" w:rsidRPr="00EF2646">
        <w:tab/>
      </w:r>
      <w:r w:rsidR="00526B1E" w:rsidRPr="00EF2646">
        <w:tab/>
        <w:t xml:space="preserve">Corrections to the </w:t>
      </w:r>
      <w:r w:rsidR="00602DBC" w:rsidRPr="00EF2646">
        <w:t>nineteen</w:t>
      </w:r>
      <w:r w:rsidR="00072245" w:rsidRPr="00EF2646">
        <w:t xml:space="preserve">th revised edition of the Recommendations on the </w:t>
      </w:r>
      <w:r w:rsidR="00DB087E" w:rsidRPr="00EF2646">
        <w:t>Transport</w:t>
      </w:r>
    </w:p>
    <w:p w:rsidR="00526B1E" w:rsidRPr="00EF2646" w:rsidRDefault="00072245" w:rsidP="008225FC">
      <w:pPr>
        <w:tabs>
          <w:tab w:val="right" w:pos="850"/>
          <w:tab w:val="left" w:pos="1134"/>
          <w:tab w:val="left" w:pos="1559"/>
          <w:tab w:val="left" w:pos="1984"/>
          <w:tab w:val="left" w:leader="dot" w:pos="7654"/>
          <w:tab w:val="right" w:pos="8929"/>
          <w:tab w:val="right" w:pos="9638"/>
        </w:tabs>
        <w:spacing w:line="240" w:lineRule="auto"/>
        <w:ind w:left="1134" w:hanging="567"/>
        <w:rPr>
          <w:rStyle w:val="SingleTxtGChar"/>
        </w:rPr>
      </w:pPr>
      <w:r w:rsidRPr="00EF2646">
        <w:tab/>
      </w:r>
      <w:r w:rsidRPr="00EF2646">
        <w:tab/>
      </w:r>
      <w:proofErr w:type="gramStart"/>
      <w:r w:rsidRPr="00EF2646">
        <w:t>of</w:t>
      </w:r>
      <w:proofErr w:type="gramEnd"/>
      <w:r w:rsidRPr="00EF2646">
        <w:t xml:space="preserve"> Dangerous Goods, Model Regulations </w:t>
      </w:r>
      <w:r w:rsidR="00DB087E" w:rsidRPr="00EF2646">
        <w:t>(ST/SG/AC.10/1/Rev.19)</w:t>
      </w:r>
      <w:r w:rsidR="00526B1E" w:rsidRPr="00EF2646">
        <w:t>………</w:t>
      </w:r>
      <w:r w:rsidRPr="00EF2646">
        <w:t>………………………………….</w:t>
      </w:r>
      <w:r w:rsidR="005649AD" w:rsidRPr="00EF2646">
        <w:tab/>
      </w:r>
      <w:r w:rsidR="00DB087E" w:rsidRPr="00EF2646">
        <w:t>…………..</w:t>
      </w:r>
      <w:r w:rsidR="00DB087E" w:rsidRPr="00EF2646">
        <w:tab/>
      </w:r>
      <w:r w:rsidR="008225FC">
        <w:t>26</w:t>
      </w:r>
    </w:p>
    <w:p w:rsidR="00DB087E" w:rsidRPr="00EF2646" w:rsidRDefault="00602DBC" w:rsidP="0041749F">
      <w:pPr>
        <w:tabs>
          <w:tab w:val="right" w:pos="850"/>
          <w:tab w:val="left" w:pos="1134"/>
          <w:tab w:val="left" w:pos="1559"/>
          <w:tab w:val="left" w:pos="1984"/>
          <w:tab w:val="left" w:leader="dot" w:pos="7654"/>
          <w:tab w:val="right" w:pos="8929"/>
          <w:tab w:val="right" w:pos="9638"/>
        </w:tabs>
        <w:spacing w:line="240" w:lineRule="auto"/>
        <w:ind w:left="1134" w:hanging="567"/>
      </w:pPr>
      <w:r w:rsidRPr="00EF2646">
        <w:t>VI</w:t>
      </w:r>
      <w:r w:rsidR="0029105B" w:rsidRPr="00EF2646">
        <w:t>.</w:t>
      </w:r>
      <w:r w:rsidR="0029105B" w:rsidRPr="00EF2646">
        <w:tab/>
      </w:r>
      <w:r w:rsidR="0029105B" w:rsidRPr="00EF2646">
        <w:tab/>
      </w:r>
      <w:r w:rsidR="0041749F" w:rsidRPr="00EF2646">
        <w:t>Proposal of amendments to the</w:t>
      </w:r>
      <w:r w:rsidR="00DB087E" w:rsidRPr="00EF2646">
        <w:t xml:space="preserve"> sixth revised edition of the Globally Harmonized </w:t>
      </w:r>
    </w:p>
    <w:p w:rsidR="0029105B" w:rsidRPr="00EF2646" w:rsidRDefault="00DB087E" w:rsidP="0041749F">
      <w:pPr>
        <w:tabs>
          <w:tab w:val="right" w:pos="850"/>
          <w:tab w:val="left" w:pos="1134"/>
          <w:tab w:val="left" w:pos="1559"/>
          <w:tab w:val="left" w:pos="1984"/>
          <w:tab w:val="left" w:leader="dot" w:pos="7654"/>
          <w:tab w:val="right" w:pos="8929"/>
          <w:tab w:val="right" w:pos="9638"/>
        </w:tabs>
        <w:spacing w:line="240" w:lineRule="auto"/>
        <w:ind w:left="1134" w:hanging="567"/>
      </w:pPr>
      <w:r w:rsidRPr="00EF2646">
        <w:tab/>
      </w:r>
      <w:r w:rsidRPr="00EF2646">
        <w:tab/>
        <w:t>System of Classification and Labelling of Chemicals (GHS) (ST/SG/AC.10/30/Rev.6)</w:t>
      </w:r>
      <w:r w:rsidR="0041749F" w:rsidRPr="00EF2646">
        <w:t>……………………………………………</w:t>
      </w:r>
      <w:r w:rsidRPr="00EF2646">
        <w:t>…………………………</w:t>
      </w:r>
      <w:r w:rsidRPr="00EF2646">
        <w:tab/>
      </w:r>
      <w:r w:rsidR="005649AD" w:rsidRPr="00EF2646">
        <w:t xml:space="preserve">  </w:t>
      </w:r>
      <w:r w:rsidR="00EC7CFE" w:rsidRPr="00EF2646">
        <w:t xml:space="preserve">  </w:t>
      </w:r>
      <w:r w:rsidR="008225FC">
        <w:t>2</w:t>
      </w:r>
      <w:r w:rsidR="00602DBC" w:rsidRPr="00023052">
        <w:t>7</w:t>
      </w:r>
    </w:p>
    <w:p w:rsidR="00D86A46" w:rsidRPr="00EF2646" w:rsidRDefault="0029105B" w:rsidP="0029105B">
      <w:pPr>
        <w:pStyle w:val="H1G"/>
        <w:rPr>
          <w:u w:val="single"/>
        </w:rPr>
      </w:pPr>
      <w:r w:rsidRPr="00EF2646">
        <w:rPr>
          <w:u w:val="single"/>
        </w:rPr>
        <w:br w:type="page"/>
      </w:r>
    </w:p>
    <w:p w:rsidR="008319EF" w:rsidRPr="00EF2646" w:rsidRDefault="008319EF" w:rsidP="008319EF">
      <w:pPr>
        <w:pStyle w:val="HChG"/>
      </w:pPr>
      <w:r w:rsidRPr="00EF2646">
        <w:lastRenderedPageBreak/>
        <w:t>Annex I</w:t>
      </w:r>
    </w:p>
    <w:p w:rsidR="008319EF" w:rsidRPr="00EF2646" w:rsidRDefault="008319EF" w:rsidP="008319EF">
      <w:pPr>
        <w:pStyle w:val="HChG"/>
      </w:pPr>
      <w:r w:rsidRPr="00EF2646">
        <w:tab/>
      </w:r>
      <w:r w:rsidRPr="00EF2646">
        <w:tab/>
        <w:t>Draft amendments to the 6th revised edition of the UN Recommendations on the Transport of Dangerous Goods, Manual of Tests and Criteria (ST/SG/AC.10/11/Rev.6)</w:t>
      </w:r>
    </w:p>
    <w:p w:rsidR="00F429B8" w:rsidRPr="00EF2646" w:rsidRDefault="00F429B8" w:rsidP="00F429B8">
      <w:pPr>
        <w:pStyle w:val="SingleTxtG"/>
      </w:pPr>
      <w:r w:rsidRPr="00EF2646">
        <w:t>1.1.2</w:t>
      </w:r>
      <w:r w:rsidRPr="00EF2646">
        <w:tab/>
        <w:t>Amend the second sentence to read as follows:</w:t>
      </w:r>
      <w:r w:rsidR="00DC082E" w:rsidRPr="00EF2646">
        <w:t xml:space="preserve"> </w:t>
      </w:r>
      <w:r w:rsidRPr="00EF2646">
        <w:t>“It therefore assumes technical competence on the part of the testing body.</w:t>
      </w:r>
      <w:proofErr w:type="gramStart"/>
      <w:r w:rsidRPr="00EF2646">
        <w:t>”.</w:t>
      </w:r>
      <w:proofErr w:type="gramEnd"/>
    </w:p>
    <w:p w:rsidR="00F429B8" w:rsidRPr="00EF2646" w:rsidRDefault="00F429B8" w:rsidP="00F429B8">
      <w:pPr>
        <w:pStyle w:val="SingleTxtG"/>
      </w:pPr>
      <w:r w:rsidRPr="00EF2646">
        <w:rPr>
          <w:i/>
          <w:iCs/>
        </w:rPr>
        <w:t xml:space="preserve">(Reference document: </w:t>
      </w:r>
      <w:r w:rsidR="008D2409">
        <w:rPr>
          <w:i/>
          <w:iCs/>
        </w:rPr>
        <w:t>informal</w:t>
      </w:r>
      <w:r w:rsidRPr="00EF2646">
        <w:rPr>
          <w:i/>
          <w:iCs/>
        </w:rPr>
        <w:t xml:space="preserve"> document INF.66, annex 3, </w:t>
      </w:r>
      <w:r w:rsidR="008D2409">
        <w:rPr>
          <w:i/>
          <w:iCs/>
        </w:rPr>
        <w:t>amendment</w:t>
      </w:r>
      <w:r w:rsidRPr="00EF2646">
        <w:rPr>
          <w:i/>
          <w:iCs/>
        </w:rPr>
        <w:t xml:space="preserve"> 5)</w:t>
      </w:r>
    </w:p>
    <w:p w:rsidR="00C55716" w:rsidRPr="00EF2646" w:rsidRDefault="00C55716" w:rsidP="00C55716">
      <w:pPr>
        <w:pStyle w:val="SingleTxtG"/>
      </w:pPr>
      <w:r w:rsidRPr="00EF2646">
        <w:t>11.5.1.2.1 (</w:t>
      </w:r>
      <w:proofErr w:type="gramStart"/>
      <w:r w:rsidRPr="00EF2646">
        <w:t>d</w:t>
      </w:r>
      <w:proofErr w:type="gramEnd"/>
      <w:r w:rsidRPr="00EF2646">
        <w:t>), 12.5.1.2.1 (d), 18.6.1.2.1 (d) et 25.4.1.2.1 (d)</w:t>
      </w:r>
      <w:r w:rsidRPr="00EF2646">
        <w:tab/>
        <w:t xml:space="preserve">Replace «30 ± 3 </w:t>
      </w:r>
      <w:proofErr w:type="spellStart"/>
      <w:r w:rsidRPr="00EF2646">
        <w:t>MPa</w:t>
      </w:r>
      <w:proofErr w:type="spellEnd"/>
      <w:r w:rsidRPr="00EF2646">
        <w:t xml:space="preserve">» by «29 </w:t>
      </w:r>
      <w:proofErr w:type="spellStart"/>
      <w:r w:rsidRPr="00EF2646">
        <w:t>MPa</w:t>
      </w:r>
      <w:proofErr w:type="spellEnd"/>
      <w:r w:rsidRPr="00EF2646">
        <w:t xml:space="preserve"> ± 4 </w:t>
      </w:r>
      <w:proofErr w:type="spellStart"/>
      <w:r w:rsidRPr="00EF2646">
        <w:t>MPa</w:t>
      </w:r>
      <w:proofErr w:type="spellEnd"/>
      <w:r w:rsidRPr="00EF2646">
        <w:t>»</w:t>
      </w:r>
    </w:p>
    <w:p w:rsidR="00C55716" w:rsidRPr="00EF2646" w:rsidRDefault="00C55716" w:rsidP="00C55716">
      <w:pPr>
        <w:pStyle w:val="SingleTxtG"/>
        <w:rPr>
          <w:i/>
        </w:rPr>
      </w:pPr>
      <w:r w:rsidRPr="00EF2646">
        <w:rPr>
          <w:i/>
        </w:rPr>
        <w:t>(</w:t>
      </w:r>
      <w:r w:rsidRPr="00EF2646">
        <w:rPr>
          <w:i/>
          <w:iCs/>
        </w:rPr>
        <w:t xml:space="preserve">Reference document: </w:t>
      </w:r>
      <w:r w:rsidR="008D2409">
        <w:rPr>
          <w:i/>
          <w:iCs/>
        </w:rPr>
        <w:t>informal</w:t>
      </w:r>
      <w:r w:rsidRPr="00EF2646">
        <w:rPr>
          <w:i/>
          <w:iCs/>
        </w:rPr>
        <w:t xml:space="preserve"> document INF.66, annex 3, </w:t>
      </w:r>
      <w:r w:rsidR="008D2409">
        <w:rPr>
          <w:i/>
        </w:rPr>
        <w:t>amendment</w:t>
      </w:r>
      <w:r w:rsidRPr="00EF2646">
        <w:rPr>
          <w:i/>
        </w:rPr>
        <w:t>s 1 à 4)</w:t>
      </w:r>
    </w:p>
    <w:p w:rsidR="008319EF" w:rsidRPr="00EF2646" w:rsidRDefault="008319EF" w:rsidP="008319EF">
      <w:pPr>
        <w:pStyle w:val="SingleTxtG"/>
      </w:pPr>
      <w:r w:rsidRPr="00EF2646">
        <w:t>[33.2.1.4.4.1 Amend the last sentence to read as follows: “Powders of metals or metal alloys should be classified when they can be ignited and the reaction spreads over the whole length (100 mm) of the sample in 10 minutes or less.”].</w:t>
      </w:r>
    </w:p>
    <w:p w:rsidR="008319EF" w:rsidRPr="00EF2646" w:rsidRDefault="008319EF" w:rsidP="008319EF">
      <w:pPr>
        <w:pStyle w:val="SingleTxtG"/>
        <w:rPr>
          <w:rStyle w:val="SingleTxtGCar"/>
        </w:rPr>
      </w:pPr>
      <w:r w:rsidRPr="00EF2646">
        <w:rPr>
          <w:rStyle w:val="SingleTxtGCar"/>
        </w:rPr>
        <w:t>[33.2.1.4.4.2 Amend the last sentence to read as follows: “Packing group II should be assigned to powders of metals or metal alloys if the zone of reaction spreads over the whole length (100 mm) of the sample in five minutes or less.”].</w:t>
      </w:r>
    </w:p>
    <w:p w:rsidR="008319EF" w:rsidRPr="00EF2646" w:rsidRDefault="008319EF" w:rsidP="008319EF">
      <w:pPr>
        <w:pStyle w:val="SingleTxtG"/>
      </w:pPr>
      <w:r w:rsidRPr="00EF2646">
        <w:t>[33.2.1.4.4.3 Amend the last sentence to read as follows: “Packing group III should be assigned to metal powders if the reaction spreads over the whole length (100 mm) of the sample in more than five minutes but not more than ten minutes.”].</w:t>
      </w:r>
    </w:p>
    <w:p w:rsidR="008319EF" w:rsidRPr="00EF2646" w:rsidRDefault="008319EF" w:rsidP="008319EF">
      <w:pPr>
        <w:pStyle w:val="SingleTxtG"/>
        <w:rPr>
          <w:i/>
          <w:iCs/>
        </w:rPr>
      </w:pPr>
      <w:r w:rsidRPr="00EF2646">
        <w:rPr>
          <w:i/>
          <w:iCs/>
        </w:rPr>
        <w:t>(Reference document: ST/SG/AC.10/C.3/2016/5 as amended)</w:t>
      </w:r>
    </w:p>
    <w:p w:rsidR="008319EF" w:rsidRPr="00EF2646" w:rsidRDefault="008319EF" w:rsidP="008319EF">
      <w:pPr>
        <w:pStyle w:val="SingleTxtG"/>
      </w:pPr>
      <w:r w:rsidRPr="00EF2646">
        <w:t>38.3.2.1</w:t>
      </w:r>
      <w:r w:rsidRPr="00EF2646">
        <w:tab/>
        <w:t>At the end, add the new following sentence: “A cell or battery that is an integral part of the equipment it is intended to power that is transported only when installed in the equipment, may be tested in accordance with the applicable tests when installed in the equipment.</w:t>
      </w:r>
      <w:proofErr w:type="gramStart"/>
      <w:r w:rsidRPr="00EF2646">
        <w:t>”.</w:t>
      </w:r>
      <w:proofErr w:type="gramEnd"/>
    </w:p>
    <w:p w:rsidR="008319EF" w:rsidRPr="00EF2646" w:rsidRDefault="008319EF" w:rsidP="008319EF">
      <w:pPr>
        <w:pStyle w:val="SingleTxtG"/>
        <w:rPr>
          <w:i/>
          <w:iCs/>
        </w:rPr>
      </w:pPr>
      <w:r w:rsidRPr="00EF2646">
        <w:rPr>
          <w:i/>
          <w:iCs/>
        </w:rPr>
        <w:t>(Reference document: ST/SG/AC.10/C.3/2016/46, proposal 5)</w:t>
      </w:r>
    </w:p>
    <w:p w:rsidR="008319EF" w:rsidRPr="00EF2646" w:rsidRDefault="008319EF" w:rsidP="008319EF">
      <w:pPr>
        <w:pStyle w:val="SingleTxtG"/>
      </w:pPr>
      <w:r w:rsidRPr="00EF2646">
        <w:t>38.3.2.3</w:t>
      </w:r>
      <w:r w:rsidRPr="00EF2646">
        <w:tab/>
        <w:t xml:space="preserve">Amend the definition of “Disassembly” to read as follows: </w:t>
      </w:r>
    </w:p>
    <w:p w:rsidR="008319EF" w:rsidRPr="00EF2646" w:rsidRDefault="008319EF" w:rsidP="008319EF">
      <w:pPr>
        <w:pStyle w:val="SingleTxtG"/>
      </w:pPr>
      <w:r w:rsidRPr="00EF2646">
        <w:t>“</w:t>
      </w:r>
      <w:r w:rsidRPr="00E70F9D">
        <w:rPr>
          <w:i/>
          <w:iCs/>
        </w:rPr>
        <w:t>Disassembly</w:t>
      </w:r>
      <w:r w:rsidRPr="00EF2646">
        <w:t xml:space="preserve"> means a rupture of the cell or battery case where solid components are ejected.</w:t>
      </w:r>
    </w:p>
    <w:p w:rsidR="008319EF" w:rsidRPr="00EF2646" w:rsidRDefault="008319EF" w:rsidP="008319EF">
      <w:pPr>
        <w:pStyle w:val="SingleTxtG"/>
        <w:rPr>
          <w:i/>
        </w:rPr>
      </w:pPr>
      <w:r w:rsidRPr="00EF2646">
        <w:rPr>
          <w:b/>
          <w:i/>
        </w:rPr>
        <w:t>NOTE:</w:t>
      </w:r>
      <w:r w:rsidRPr="00EF2646">
        <w:rPr>
          <w:i/>
        </w:rPr>
        <w:tab/>
        <w:t>During cell or component cell testing, ejection of internal components is acceptable. Energy of ejected components shall be limited and can be measured as follows:</w:t>
      </w:r>
    </w:p>
    <w:p w:rsidR="008319EF" w:rsidRPr="00EF2646" w:rsidRDefault="008319EF" w:rsidP="008319EF">
      <w:pPr>
        <w:pStyle w:val="SingleTxtG"/>
        <w:rPr>
          <w:i/>
        </w:rPr>
      </w:pPr>
      <w:r w:rsidRPr="00EF2646">
        <w:rPr>
          <w:i/>
        </w:rPr>
        <w:t>(a)</w:t>
      </w:r>
      <w:r w:rsidRPr="00EF2646">
        <w:rPr>
          <w:i/>
        </w:rPr>
        <w:tab/>
        <w:t xml:space="preserve">It will not penetrate a wire mesh screen (annealed aluminium wire with a diameter of 0.25 mm and grid density of 6 to 7 wires per cm) placed 25 cm away from the cell; or </w:t>
      </w:r>
    </w:p>
    <w:p w:rsidR="008319EF" w:rsidRPr="00EF2646" w:rsidRDefault="008319EF" w:rsidP="008319EF">
      <w:pPr>
        <w:pStyle w:val="SingleTxtG"/>
        <w:keepNext/>
        <w:keepLines/>
        <w:rPr>
          <w:i/>
        </w:rPr>
      </w:pPr>
      <w:r w:rsidRPr="00EF2646">
        <w:rPr>
          <w:i/>
        </w:rPr>
        <w:t>(</w:t>
      </w:r>
      <w:proofErr w:type="gramStart"/>
      <w:r w:rsidRPr="00EF2646">
        <w:rPr>
          <w:i/>
        </w:rPr>
        <w:t>b</w:t>
      </w:r>
      <w:proofErr w:type="gramEnd"/>
      <w:r w:rsidRPr="00EF2646">
        <w:rPr>
          <w:i/>
        </w:rPr>
        <w:t>)</w:t>
      </w:r>
      <w:r w:rsidRPr="00EF2646">
        <w:rPr>
          <w:i/>
        </w:rPr>
        <w:tab/>
        <w:t>It can be measured by a method demonstrated to be equivalent to the one described in sub-paragraph (a) above.”.</w:t>
      </w:r>
    </w:p>
    <w:p w:rsidR="008319EF" w:rsidRPr="00EF2646" w:rsidRDefault="008319EF" w:rsidP="008319EF">
      <w:pPr>
        <w:pStyle w:val="SingleTxtG"/>
        <w:keepNext/>
        <w:keepLines/>
        <w:rPr>
          <w:i/>
          <w:iCs/>
        </w:rPr>
      </w:pPr>
      <w:r w:rsidRPr="00EF2646">
        <w:rPr>
          <w:i/>
          <w:iCs/>
        </w:rPr>
        <w:t>(Reference document: ST/SG/AC.10/C.3/2016/46, proposal 2)</w:t>
      </w:r>
    </w:p>
    <w:p w:rsidR="00F715DB" w:rsidRPr="00EF2646" w:rsidRDefault="00F715DB" w:rsidP="00FA5397">
      <w:pPr>
        <w:pStyle w:val="SingleTxtG"/>
      </w:pPr>
      <w:r w:rsidRPr="00EF2646">
        <w:t>38.3.3 (</w:t>
      </w:r>
      <w:proofErr w:type="gramStart"/>
      <w:r w:rsidRPr="00EF2646">
        <w:t>b</w:t>
      </w:r>
      <w:proofErr w:type="gramEnd"/>
      <w:r w:rsidRPr="00EF2646">
        <w:t>)</w:t>
      </w:r>
      <w:r w:rsidRPr="00EF2646">
        <w:tab/>
        <w:t xml:space="preserve">In (i), replace “ten” by “five”. Add a new paragraph (ii) to read as follows and renumber </w:t>
      </w:r>
      <w:r w:rsidR="00FA5397" w:rsidRPr="00EF2646">
        <w:t xml:space="preserve">the following </w:t>
      </w:r>
      <w:r w:rsidRPr="00EF2646">
        <w:t>paragraphs</w:t>
      </w:r>
      <w:r w:rsidR="00FA5397" w:rsidRPr="00EF2646">
        <w:t xml:space="preserve"> consequently</w:t>
      </w:r>
      <w:r w:rsidRPr="00EF2646">
        <w:t xml:space="preserve">: </w:t>
      </w:r>
      <w:proofErr w:type="gramStart"/>
      <w:r w:rsidR="00FA5397" w:rsidRPr="00EF2646">
        <w:t>“ Five</w:t>
      </w:r>
      <w:proofErr w:type="gramEnd"/>
      <w:r w:rsidR="00FA5397" w:rsidRPr="00EF2646">
        <w:t xml:space="preserve"> cells after 25 cycles ending in fully charged states;”</w:t>
      </w:r>
      <w:r w:rsidRPr="00EF2646">
        <w:t xml:space="preserve">. </w:t>
      </w:r>
      <w:r w:rsidR="00FA5397" w:rsidRPr="00EF2646">
        <w:t>In paragraph</w:t>
      </w:r>
      <w:r w:rsidRPr="00EF2646">
        <w:t xml:space="preserve"> </w:t>
      </w:r>
      <w:r w:rsidR="00FA5397" w:rsidRPr="00EF2646">
        <w:t>(</w:t>
      </w:r>
      <w:proofErr w:type="gramStart"/>
      <w:r w:rsidRPr="00EF2646">
        <w:t>iv</w:t>
      </w:r>
      <w:proofErr w:type="gramEnd"/>
      <w:r w:rsidRPr="00EF2646">
        <w:t>) (</w:t>
      </w:r>
      <w:r w:rsidR="00FA5397" w:rsidRPr="00EF2646">
        <w:t>previously</w:t>
      </w:r>
      <w:r w:rsidRPr="00EF2646">
        <w:t xml:space="preserve"> </w:t>
      </w:r>
      <w:r w:rsidR="00FA5397" w:rsidRPr="00EF2646">
        <w:t>(</w:t>
      </w:r>
      <w:r w:rsidRPr="00EF2646">
        <w:t xml:space="preserve">iii)), replace </w:t>
      </w:r>
      <w:r w:rsidR="00FA5397" w:rsidRPr="00EF2646">
        <w:t>“</w:t>
      </w:r>
      <w:r w:rsidRPr="00EF2646">
        <w:t>50</w:t>
      </w:r>
      <w:r w:rsidR="00FA5397" w:rsidRPr="00EF2646">
        <w:t>”</w:t>
      </w:r>
      <w:r w:rsidRPr="00EF2646">
        <w:t xml:space="preserve"> </w:t>
      </w:r>
      <w:r w:rsidR="00FA5397" w:rsidRPr="00EF2646">
        <w:t>by</w:t>
      </w:r>
      <w:r w:rsidRPr="00EF2646">
        <w:t xml:space="preserve"> </w:t>
      </w:r>
      <w:r w:rsidR="00FA5397" w:rsidRPr="00EF2646">
        <w:t>“</w:t>
      </w:r>
      <w:r w:rsidRPr="00EF2646">
        <w:t>25</w:t>
      </w:r>
      <w:r w:rsidR="00FA5397" w:rsidRPr="00EF2646">
        <w:t>”</w:t>
      </w:r>
      <w:r w:rsidRPr="00EF2646">
        <w:t>.</w:t>
      </w:r>
    </w:p>
    <w:p w:rsidR="00F715DB" w:rsidRPr="00EF2646" w:rsidRDefault="00F715DB" w:rsidP="00FA5397">
      <w:pPr>
        <w:pStyle w:val="SingleTxtG"/>
      </w:pPr>
      <w:r w:rsidRPr="00EF2646">
        <w:t>38.3.3 (c)</w:t>
      </w:r>
      <w:r w:rsidRPr="00EF2646">
        <w:tab/>
      </w:r>
      <w:r w:rsidR="00FA5397" w:rsidRPr="00EF2646">
        <w:t>In paragraph</w:t>
      </w:r>
      <w:r w:rsidRPr="00EF2646">
        <w:t xml:space="preserve"> </w:t>
      </w:r>
      <w:r w:rsidR="00FA5397" w:rsidRPr="00EF2646">
        <w:t>(</w:t>
      </w:r>
      <w:r w:rsidRPr="00EF2646">
        <w:t xml:space="preserve">iii), </w:t>
      </w:r>
      <w:r w:rsidR="00FA5397" w:rsidRPr="00EF2646">
        <w:t>after “rated capacity” add</w:t>
      </w:r>
      <w:r w:rsidRPr="00EF2646">
        <w:t xml:space="preserve"> </w:t>
      </w:r>
      <w:r w:rsidR="00FA5397" w:rsidRPr="00EF2646">
        <w:t>“and five cells after 25 cycles ending in fully charged states;</w:t>
      </w:r>
      <w:proofErr w:type="gramStart"/>
      <w:r w:rsidR="00FA5397" w:rsidRPr="00EF2646">
        <w:t>”</w:t>
      </w:r>
      <w:r w:rsidRPr="00EF2646">
        <w:t>.</w:t>
      </w:r>
      <w:proofErr w:type="gramEnd"/>
      <w:r w:rsidRPr="00EF2646">
        <w:t xml:space="preserve"> </w:t>
      </w:r>
      <w:r w:rsidR="00FA5397" w:rsidRPr="00EF2646">
        <w:t>In paragraph</w:t>
      </w:r>
      <w:r w:rsidRPr="00EF2646">
        <w:t xml:space="preserve"> </w:t>
      </w:r>
      <w:r w:rsidR="00FA5397" w:rsidRPr="00EF2646">
        <w:t>(</w:t>
      </w:r>
      <w:r w:rsidRPr="00EF2646">
        <w:t xml:space="preserve">iv), </w:t>
      </w:r>
      <w:r w:rsidR="00FA5397" w:rsidRPr="00EF2646">
        <w:t>after “rated capacity” add</w:t>
      </w:r>
      <w:r w:rsidRPr="00EF2646">
        <w:t xml:space="preserve"> </w:t>
      </w:r>
      <w:r w:rsidR="00FA5397" w:rsidRPr="00EF2646">
        <w:t>“and five cells after 25 cycles ending in fully charged states.</w:t>
      </w:r>
      <w:proofErr w:type="gramStart"/>
      <w:r w:rsidR="00FA5397" w:rsidRPr="00EF2646">
        <w:t>”</w:t>
      </w:r>
      <w:r w:rsidRPr="00EF2646">
        <w:t>.</w:t>
      </w:r>
      <w:proofErr w:type="gramEnd"/>
    </w:p>
    <w:p w:rsidR="00F715DB" w:rsidRPr="00EF2646" w:rsidRDefault="00F715DB" w:rsidP="009573AC">
      <w:pPr>
        <w:pStyle w:val="SingleTxtG"/>
      </w:pPr>
      <w:r w:rsidRPr="00EF2646">
        <w:lastRenderedPageBreak/>
        <w:t>38.3.3 (</w:t>
      </w:r>
      <w:proofErr w:type="gramStart"/>
      <w:r w:rsidRPr="00EF2646">
        <w:t>d</w:t>
      </w:r>
      <w:proofErr w:type="gramEnd"/>
      <w:r w:rsidRPr="00EF2646">
        <w:t>)</w:t>
      </w:r>
      <w:r w:rsidRPr="00EF2646">
        <w:tab/>
      </w:r>
      <w:r w:rsidR="009573AC" w:rsidRPr="00EF2646">
        <w:t>In paragraph</w:t>
      </w:r>
      <w:r w:rsidRPr="00EF2646">
        <w:t xml:space="preserve"> </w:t>
      </w:r>
      <w:r w:rsidR="009573AC" w:rsidRPr="00EF2646">
        <w:t>(</w:t>
      </w:r>
      <w:r w:rsidRPr="00EF2646">
        <w:t xml:space="preserve">ii), replace </w:t>
      </w:r>
      <w:r w:rsidR="009573AC" w:rsidRPr="00EF2646">
        <w:t>“</w:t>
      </w:r>
      <w:r w:rsidRPr="00EF2646">
        <w:t>50</w:t>
      </w:r>
      <w:r w:rsidR="009573AC" w:rsidRPr="00EF2646">
        <w:t>” by “</w:t>
      </w:r>
      <w:r w:rsidRPr="00EF2646">
        <w:t>25</w:t>
      </w:r>
      <w:r w:rsidR="009573AC" w:rsidRPr="00EF2646">
        <w:t>”</w:t>
      </w:r>
      <w:r w:rsidRPr="00EF2646">
        <w:t>.</w:t>
      </w:r>
    </w:p>
    <w:p w:rsidR="00F715DB" w:rsidRPr="00EF2646" w:rsidRDefault="00F715DB" w:rsidP="009573AC">
      <w:pPr>
        <w:pStyle w:val="SingleTxtG"/>
      </w:pPr>
      <w:r w:rsidRPr="00EF2646">
        <w:t>38.3.3 (</w:t>
      </w:r>
      <w:proofErr w:type="gramStart"/>
      <w:r w:rsidRPr="00EF2646">
        <w:t>e</w:t>
      </w:r>
      <w:proofErr w:type="gramEnd"/>
      <w:r w:rsidRPr="00EF2646">
        <w:t>)</w:t>
      </w:r>
      <w:r w:rsidRPr="00EF2646">
        <w:tab/>
      </w:r>
      <w:r w:rsidR="009573AC" w:rsidRPr="00EF2646">
        <w:t>In paragraphs</w:t>
      </w:r>
      <w:r w:rsidRPr="00EF2646">
        <w:t xml:space="preserve"> </w:t>
      </w:r>
      <w:r w:rsidR="009573AC" w:rsidRPr="00EF2646">
        <w:t>(</w:t>
      </w:r>
      <w:r w:rsidRPr="00EF2646">
        <w:t xml:space="preserve">v) </w:t>
      </w:r>
      <w:r w:rsidR="009573AC" w:rsidRPr="00EF2646">
        <w:t>and</w:t>
      </w:r>
      <w:r w:rsidRPr="00EF2646">
        <w:t xml:space="preserve"> </w:t>
      </w:r>
      <w:r w:rsidR="009573AC" w:rsidRPr="00EF2646">
        <w:t>(</w:t>
      </w:r>
      <w:r w:rsidRPr="00EF2646">
        <w:t xml:space="preserve">vi), replace </w:t>
      </w:r>
      <w:r w:rsidR="009573AC" w:rsidRPr="00EF2646">
        <w:t>“</w:t>
      </w:r>
      <w:r w:rsidRPr="00EF2646">
        <w:t>50</w:t>
      </w:r>
      <w:r w:rsidR="009573AC" w:rsidRPr="00EF2646">
        <w:t>”</w:t>
      </w:r>
      <w:r w:rsidRPr="00EF2646">
        <w:t xml:space="preserve"> </w:t>
      </w:r>
      <w:r w:rsidR="009573AC" w:rsidRPr="00EF2646">
        <w:t>by</w:t>
      </w:r>
      <w:r w:rsidRPr="00EF2646">
        <w:t xml:space="preserve"> </w:t>
      </w:r>
      <w:r w:rsidR="009573AC" w:rsidRPr="00EF2646">
        <w:t>“</w:t>
      </w:r>
      <w:r w:rsidRPr="00EF2646">
        <w:t>25</w:t>
      </w:r>
      <w:r w:rsidR="009573AC" w:rsidRPr="00EF2646">
        <w:t>”</w:t>
      </w:r>
      <w:r w:rsidRPr="00EF2646">
        <w:t>.</w:t>
      </w:r>
    </w:p>
    <w:p w:rsidR="00F715DB" w:rsidRPr="00EF2646" w:rsidRDefault="00F715DB" w:rsidP="009573AC">
      <w:pPr>
        <w:spacing w:before="120" w:after="120" w:line="240" w:lineRule="auto"/>
        <w:ind w:left="1134" w:right="1134"/>
        <w:jc w:val="both"/>
        <w:rPr>
          <w:i/>
          <w:iCs/>
        </w:rPr>
      </w:pPr>
      <w:r w:rsidRPr="00EF2646">
        <w:rPr>
          <w:i/>
          <w:iCs/>
        </w:rPr>
        <w:t>(</w:t>
      </w:r>
      <w:r w:rsidR="009573AC" w:rsidRPr="00EF2646">
        <w:rPr>
          <w:i/>
          <w:iCs/>
        </w:rPr>
        <w:t>Reference document</w:t>
      </w:r>
      <w:r w:rsidRPr="00EF2646">
        <w:rPr>
          <w:i/>
          <w:iCs/>
        </w:rPr>
        <w:t>: ST/SG/AC.10/C.3/2016/46, propos</w:t>
      </w:r>
      <w:r w:rsidR="009573AC" w:rsidRPr="00EF2646">
        <w:rPr>
          <w:i/>
          <w:iCs/>
        </w:rPr>
        <w:t>al</w:t>
      </w:r>
      <w:r w:rsidRPr="00EF2646">
        <w:rPr>
          <w:i/>
          <w:iCs/>
        </w:rPr>
        <w:t xml:space="preserve"> 4)</w:t>
      </w:r>
    </w:p>
    <w:p w:rsidR="004E08C4" w:rsidRPr="00EF2646" w:rsidRDefault="004E08C4" w:rsidP="009B782E">
      <w:pPr>
        <w:spacing w:before="120" w:after="120" w:line="240" w:lineRule="auto"/>
        <w:ind w:left="1134" w:right="1134"/>
        <w:jc w:val="both"/>
      </w:pPr>
      <w:r w:rsidRPr="00EF2646">
        <w:t>38.3.3</w:t>
      </w:r>
      <w:r w:rsidRPr="00EF2646">
        <w:tab/>
      </w:r>
      <w:r w:rsidRPr="00EF2646">
        <w:tab/>
        <w:t>Add the following new 38.3.3.1</w:t>
      </w:r>
    </w:p>
    <w:p w:rsidR="004E08C4" w:rsidRPr="00EF2646" w:rsidRDefault="004E08C4" w:rsidP="009B782E">
      <w:pPr>
        <w:spacing w:before="120" w:after="120" w:line="240" w:lineRule="auto"/>
        <w:ind w:left="1134" w:right="1134"/>
        <w:jc w:val="both"/>
      </w:pPr>
      <w:r w:rsidRPr="00EF2646">
        <w:t>“38.3.3.1</w:t>
      </w:r>
      <w:r w:rsidRPr="00EF2646">
        <w:tab/>
        <w:t>Provisions 38.3.2.1 and 38.3.3 are summarized in the following table</w:t>
      </w:r>
    </w:p>
    <w:p w:rsidR="004E08C4" w:rsidRPr="00EF2646" w:rsidRDefault="004E08C4" w:rsidP="004E08C4">
      <w:pPr>
        <w:spacing w:after="160" w:line="259" w:lineRule="auto"/>
        <w:ind w:firstLine="720"/>
        <w:contextualSpacing/>
        <w:jc w:val="center"/>
        <w:rPr>
          <w:b/>
        </w:rPr>
      </w:pPr>
      <w:r w:rsidRPr="00EF2646">
        <w:rPr>
          <w:b/>
        </w:rPr>
        <w:t>Table 38.3.2: Summary table of required tests for primary cells and batteries</w:t>
      </w:r>
    </w:p>
    <w:p w:rsidR="00962A1F" w:rsidRPr="00EF2646" w:rsidRDefault="00962A1F" w:rsidP="004E08C4">
      <w:pPr>
        <w:spacing w:after="160" w:line="259" w:lineRule="auto"/>
        <w:ind w:firstLine="720"/>
        <w:contextualSpacing/>
        <w:jc w:val="center"/>
        <w:rPr>
          <w:b/>
        </w:rPr>
      </w:pPr>
    </w:p>
    <w:tbl>
      <w:tblPr>
        <w:tblW w:w="9551" w:type="dxa"/>
        <w:tblLook w:val="04A0" w:firstRow="1" w:lastRow="0" w:firstColumn="1" w:lastColumn="0" w:noHBand="0" w:noVBand="1"/>
      </w:tblPr>
      <w:tblGrid>
        <w:gridCol w:w="1116"/>
        <w:gridCol w:w="2126"/>
        <w:gridCol w:w="709"/>
        <w:gridCol w:w="142"/>
        <w:gridCol w:w="567"/>
        <w:gridCol w:w="694"/>
        <w:gridCol w:w="723"/>
        <w:gridCol w:w="709"/>
        <w:gridCol w:w="709"/>
        <w:gridCol w:w="708"/>
        <w:gridCol w:w="709"/>
        <w:gridCol w:w="639"/>
      </w:tblGrid>
      <w:tr w:rsidR="004E08C4" w:rsidRPr="00EF2646" w:rsidTr="00962A1F">
        <w:trPr>
          <w:cantSplit/>
          <w:trHeight w:val="336"/>
        </w:trPr>
        <w:tc>
          <w:tcPr>
            <w:tcW w:w="9551" w:type="dxa"/>
            <w:gridSpan w:val="12"/>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4E08C4" w:rsidRPr="00EF2646" w:rsidRDefault="004E08C4" w:rsidP="00962A1F">
            <w:pPr>
              <w:rPr>
                <w:sz w:val="18"/>
                <w:szCs w:val="18"/>
              </w:rPr>
            </w:pPr>
            <w:r w:rsidRPr="00EF2646">
              <w:rPr>
                <w:sz w:val="18"/>
                <w:szCs w:val="18"/>
              </w:rPr>
              <w:t>Primary cells and batteries</w:t>
            </w:r>
          </w:p>
        </w:tc>
      </w:tr>
      <w:tr w:rsidR="004E08C4" w:rsidRPr="00EF2646" w:rsidTr="00962A1F">
        <w:trPr>
          <w:cantSplit/>
          <w:trHeight w:val="324"/>
        </w:trPr>
        <w:tc>
          <w:tcPr>
            <w:tcW w:w="1116" w:type="dxa"/>
            <w:tcBorders>
              <w:top w:val="nil"/>
              <w:left w:val="single" w:sz="12" w:space="0" w:color="auto"/>
              <w:bottom w:val="nil"/>
              <w:right w:val="nil"/>
            </w:tcBorders>
            <w:shd w:val="clear" w:color="auto" w:fill="auto"/>
            <w:noWrap/>
            <w:vAlign w:val="bottom"/>
            <w:hideMark/>
          </w:tcPr>
          <w:p w:rsidR="004E08C4" w:rsidRPr="00EF2646" w:rsidRDefault="004E08C4" w:rsidP="00962A1F">
            <w:pPr>
              <w:rPr>
                <w:sz w:val="18"/>
                <w:szCs w:val="18"/>
              </w:rPr>
            </w:pPr>
            <w:r w:rsidRPr="00EF2646">
              <w:rPr>
                <w:sz w:val="18"/>
                <w:szCs w:val="18"/>
              </w:rPr>
              <w:t> </w:t>
            </w:r>
          </w:p>
        </w:tc>
        <w:tc>
          <w:tcPr>
            <w:tcW w:w="2126"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r w:rsidRPr="00EF2646">
              <w:rPr>
                <w:sz w:val="18"/>
                <w:szCs w:val="18"/>
              </w:rPr>
              <w:t> </w:t>
            </w:r>
          </w:p>
        </w:tc>
        <w:tc>
          <w:tcPr>
            <w:tcW w:w="709"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T.1</w:t>
            </w:r>
          </w:p>
        </w:tc>
        <w:tc>
          <w:tcPr>
            <w:tcW w:w="709" w:type="dxa"/>
            <w:gridSpan w:val="2"/>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T.2</w:t>
            </w:r>
          </w:p>
        </w:tc>
        <w:tc>
          <w:tcPr>
            <w:tcW w:w="694"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T.3</w:t>
            </w:r>
          </w:p>
        </w:tc>
        <w:tc>
          <w:tcPr>
            <w:tcW w:w="723"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T.4</w:t>
            </w:r>
          </w:p>
        </w:tc>
        <w:tc>
          <w:tcPr>
            <w:tcW w:w="709"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T.5</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4E08C4" w:rsidRPr="00EF2646" w:rsidRDefault="004E08C4" w:rsidP="00962A1F">
            <w:pPr>
              <w:rPr>
                <w:sz w:val="18"/>
                <w:szCs w:val="18"/>
              </w:rPr>
            </w:pPr>
            <w:r w:rsidRPr="00EF2646">
              <w:rPr>
                <w:sz w:val="18"/>
                <w:szCs w:val="18"/>
              </w:rPr>
              <w:t>T.6</w:t>
            </w: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rPr>
                <w:sz w:val="18"/>
                <w:szCs w:val="18"/>
              </w:rPr>
            </w:pPr>
            <w:r w:rsidRPr="00EF2646">
              <w:rPr>
                <w:sz w:val="18"/>
                <w:szCs w:val="18"/>
              </w:rPr>
              <w:t>T.7</w:t>
            </w: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rPr>
                <w:sz w:val="18"/>
                <w:szCs w:val="18"/>
              </w:rPr>
            </w:pPr>
            <w:r w:rsidRPr="00EF2646">
              <w:rPr>
                <w:sz w:val="18"/>
                <w:szCs w:val="18"/>
              </w:rPr>
              <w:t>T.8</w:t>
            </w:r>
          </w:p>
        </w:tc>
        <w:tc>
          <w:tcPr>
            <w:tcW w:w="639" w:type="dxa"/>
            <w:tcBorders>
              <w:top w:val="nil"/>
              <w:left w:val="nil"/>
              <w:bottom w:val="nil"/>
              <w:right w:val="single" w:sz="12" w:space="0" w:color="auto"/>
            </w:tcBorders>
            <w:shd w:val="clear" w:color="auto" w:fill="auto"/>
            <w:noWrap/>
            <w:vAlign w:val="bottom"/>
            <w:hideMark/>
          </w:tcPr>
          <w:p w:rsidR="004E08C4" w:rsidRPr="00EF2646" w:rsidRDefault="004E08C4" w:rsidP="00962A1F">
            <w:pPr>
              <w:rPr>
                <w:sz w:val="18"/>
                <w:szCs w:val="18"/>
              </w:rPr>
            </w:pPr>
            <w:proofErr w:type="spellStart"/>
            <w:r w:rsidRPr="00EF2646">
              <w:rPr>
                <w:sz w:val="18"/>
                <w:szCs w:val="18"/>
              </w:rPr>
              <w:t>Sum</w:t>
            </w:r>
            <w:r w:rsidRPr="00EF2646">
              <w:rPr>
                <w:sz w:val="18"/>
                <w:szCs w:val="18"/>
                <w:vertAlign w:val="superscript"/>
              </w:rPr>
              <w:t>c</w:t>
            </w:r>
            <w:proofErr w:type="spellEnd"/>
          </w:p>
        </w:tc>
      </w:tr>
      <w:tr w:rsidR="004E08C4" w:rsidRPr="00EF2646" w:rsidTr="00962A1F">
        <w:trPr>
          <w:cantSplit/>
          <w:trHeight w:val="312"/>
        </w:trPr>
        <w:tc>
          <w:tcPr>
            <w:tcW w:w="1116"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rsidR="004E08C4" w:rsidRPr="00EF2646" w:rsidRDefault="004E08C4" w:rsidP="00962A1F">
            <w:pPr>
              <w:rPr>
                <w:sz w:val="18"/>
                <w:szCs w:val="18"/>
              </w:rPr>
            </w:pPr>
            <w:r w:rsidRPr="00EF2646">
              <w:rPr>
                <w:sz w:val="18"/>
                <w:szCs w:val="18"/>
              </w:rPr>
              <w:t>Cells not transported separately</w:t>
            </w:r>
          </w:p>
        </w:tc>
        <w:tc>
          <w:tcPr>
            <w:tcW w:w="2126" w:type="dxa"/>
            <w:tcBorders>
              <w:top w:val="single" w:sz="8" w:space="0" w:color="auto"/>
              <w:left w:val="nil"/>
              <w:bottom w:val="single" w:sz="4"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undischarged state</w:t>
            </w:r>
          </w:p>
        </w:tc>
        <w:tc>
          <w:tcPr>
            <w:tcW w:w="709"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gridSpan w:val="2"/>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694"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23"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vMerge w:val="restart"/>
            <w:tcBorders>
              <w:top w:val="single" w:sz="8" w:space="0" w:color="auto"/>
              <w:left w:val="single" w:sz="4" w:space="0" w:color="auto"/>
              <w:bottom w:val="single" w:sz="8" w:space="0" w:color="000000"/>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20</w:t>
            </w:r>
          </w:p>
        </w:tc>
      </w:tr>
      <w:tr w:rsidR="004E08C4" w:rsidRPr="00EF2646" w:rsidTr="00962A1F">
        <w:trPr>
          <w:cantSplit/>
          <w:trHeight w:val="324"/>
        </w:trPr>
        <w:tc>
          <w:tcPr>
            <w:tcW w:w="1116" w:type="dxa"/>
            <w:vMerge/>
            <w:tcBorders>
              <w:top w:val="single" w:sz="8" w:space="0" w:color="auto"/>
              <w:left w:val="single" w:sz="12" w:space="0" w:color="auto"/>
              <w:bottom w:val="single" w:sz="8" w:space="0" w:color="000000"/>
              <w:right w:val="single" w:sz="4" w:space="0" w:color="auto"/>
            </w:tcBorders>
            <w:vAlign w:val="center"/>
            <w:hideMark/>
          </w:tcPr>
          <w:p w:rsidR="004E08C4" w:rsidRPr="00EF2646" w:rsidRDefault="004E08C4" w:rsidP="00962A1F">
            <w:pPr>
              <w:rPr>
                <w:sz w:val="18"/>
                <w:szCs w:val="18"/>
              </w:rPr>
            </w:pPr>
          </w:p>
        </w:tc>
        <w:tc>
          <w:tcPr>
            <w:tcW w:w="2126" w:type="dxa"/>
            <w:tcBorders>
              <w:top w:val="nil"/>
              <w:left w:val="nil"/>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fully discharged state</w:t>
            </w:r>
          </w:p>
        </w:tc>
        <w:tc>
          <w:tcPr>
            <w:tcW w:w="709"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gridSpan w:val="2"/>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694"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23"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639" w:type="dxa"/>
            <w:vMerge/>
            <w:tcBorders>
              <w:top w:val="single" w:sz="8" w:space="0" w:color="auto"/>
              <w:left w:val="single" w:sz="4" w:space="0" w:color="auto"/>
              <w:bottom w:val="single" w:sz="8" w:space="0" w:color="000000"/>
              <w:right w:val="single" w:sz="12" w:space="0" w:color="auto"/>
            </w:tcBorders>
            <w:vAlign w:val="center"/>
            <w:hideMark/>
          </w:tcPr>
          <w:p w:rsidR="004E08C4" w:rsidRPr="00EF2646" w:rsidRDefault="004E08C4" w:rsidP="00962A1F">
            <w:pPr>
              <w:jc w:val="center"/>
              <w:rPr>
                <w:sz w:val="18"/>
                <w:szCs w:val="18"/>
              </w:rPr>
            </w:pPr>
          </w:p>
        </w:tc>
      </w:tr>
      <w:tr w:rsidR="004E08C4" w:rsidRPr="00EF2646" w:rsidTr="00962A1F">
        <w:trPr>
          <w:cantSplit/>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4E08C4" w:rsidRPr="00EF2646" w:rsidRDefault="004E08C4" w:rsidP="00962A1F">
            <w:pPr>
              <w:rPr>
                <w:sz w:val="18"/>
                <w:szCs w:val="18"/>
              </w:rPr>
            </w:pPr>
            <w:r w:rsidRPr="00EF2646">
              <w:rPr>
                <w:sz w:val="18"/>
                <w:szCs w:val="18"/>
              </w:rPr>
              <w:t>Cells</w:t>
            </w:r>
          </w:p>
        </w:tc>
        <w:tc>
          <w:tcPr>
            <w:tcW w:w="2126"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40</w:t>
            </w:r>
          </w:p>
        </w:tc>
      </w:tr>
      <w:tr w:rsidR="004E08C4" w:rsidRPr="00EF2646" w:rsidTr="00962A1F">
        <w:trPr>
          <w:cantSplit/>
          <w:trHeight w:val="324"/>
        </w:trPr>
        <w:tc>
          <w:tcPr>
            <w:tcW w:w="1116" w:type="dxa"/>
            <w:vMerge/>
            <w:tcBorders>
              <w:top w:val="nil"/>
              <w:left w:val="single" w:sz="12" w:space="0" w:color="auto"/>
              <w:bottom w:val="single" w:sz="8" w:space="0" w:color="000000"/>
              <w:right w:val="nil"/>
            </w:tcBorders>
            <w:vAlign w:val="center"/>
            <w:hideMark/>
          </w:tcPr>
          <w:p w:rsidR="004E08C4" w:rsidRPr="00EF2646" w:rsidRDefault="004E08C4" w:rsidP="00962A1F">
            <w:pPr>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4E08C4" w:rsidRPr="00EF2646" w:rsidRDefault="004E08C4" w:rsidP="00962A1F">
            <w:pPr>
              <w:jc w:val="center"/>
              <w:rPr>
                <w:sz w:val="18"/>
                <w:szCs w:val="18"/>
              </w:rPr>
            </w:pPr>
          </w:p>
        </w:tc>
      </w:tr>
      <w:tr w:rsidR="004E08C4" w:rsidRPr="00EF2646" w:rsidTr="00962A1F">
        <w:trPr>
          <w:cantSplit/>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4E08C4" w:rsidRPr="00EF2646" w:rsidRDefault="004E08C4" w:rsidP="00962A1F">
            <w:pPr>
              <w:rPr>
                <w:sz w:val="18"/>
                <w:szCs w:val="18"/>
              </w:rPr>
            </w:pPr>
            <w:r w:rsidRPr="00EF2646">
              <w:rPr>
                <w:sz w:val="18"/>
                <w:szCs w:val="18"/>
              </w:rPr>
              <w:t xml:space="preserve">Single cell </w:t>
            </w:r>
            <w:proofErr w:type="spellStart"/>
            <w:r w:rsidRPr="00EF2646">
              <w:rPr>
                <w:sz w:val="18"/>
                <w:szCs w:val="18"/>
              </w:rPr>
              <w:t>batteries</w:t>
            </w:r>
            <w:r w:rsidRPr="00EF2646">
              <w:rPr>
                <w:sz w:val="18"/>
                <w:szCs w:val="18"/>
                <w:vertAlign w:val="superscript"/>
              </w:rPr>
              <w:t>a</w:t>
            </w:r>
            <w:proofErr w:type="spellEnd"/>
          </w:p>
        </w:tc>
        <w:tc>
          <w:tcPr>
            <w:tcW w:w="2126" w:type="dxa"/>
            <w:tcBorders>
              <w:top w:val="nil"/>
              <w:left w:val="single" w:sz="4" w:space="0" w:color="auto"/>
              <w:bottom w:val="single" w:sz="4"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40</w:t>
            </w:r>
          </w:p>
        </w:tc>
      </w:tr>
      <w:tr w:rsidR="004E08C4" w:rsidRPr="00EF2646" w:rsidTr="00962A1F">
        <w:trPr>
          <w:cantSplit/>
          <w:trHeight w:val="324"/>
        </w:trPr>
        <w:tc>
          <w:tcPr>
            <w:tcW w:w="1116" w:type="dxa"/>
            <w:vMerge/>
            <w:tcBorders>
              <w:top w:val="nil"/>
              <w:left w:val="single" w:sz="12" w:space="0" w:color="auto"/>
              <w:bottom w:val="single" w:sz="8" w:space="0" w:color="000000"/>
              <w:right w:val="nil"/>
            </w:tcBorders>
            <w:vAlign w:val="center"/>
            <w:hideMark/>
          </w:tcPr>
          <w:p w:rsidR="004E08C4" w:rsidRPr="00EF2646" w:rsidRDefault="004E08C4" w:rsidP="00962A1F">
            <w:pPr>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r w:rsidRPr="00EF2646">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4E08C4" w:rsidRPr="00EF2646" w:rsidRDefault="004E08C4" w:rsidP="00962A1F">
            <w:pPr>
              <w:jc w:val="center"/>
              <w:rPr>
                <w:sz w:val="18"/>
                <w:szCs w:val="18"/>
              </w:rPr>
            </w:pPr>
          </w:p>
        </w:tc>
      </w:tr>
      <w:tr w:rsidR="004E08C4" w:rsidRPr="00EF2646" w:rsidTr="00962A1F">
        <w:trPr>
          <w:cantSplit/>
          <w:trHeight w:val="312"/>
        </w:trPr>
        <w:tc>
          <w:tcPr>
            <w:tcW w:w="1116" w:type="dxa"/>
            <w:vMerge w:val="restart"/>
            <w:tcBorders>
              <w:top w:val="nil"/>
              <w:left w:val="single" w:sz="12" w:space="0" w:color="auto"/>
              <w:right w:val="nil"/>
            </w:tcBorders>
            <w:shd w:val="clear" w:color="auto" w:fill="auto"/>
            <w:noWrap/>
            <w:vAlign w:val="center"/>
          </w:tcPr>
          <w:p w:rsidR="004E08C4" w:rsidRPr="00EF2646" w:rsidRDefault="004E08C4" w:rsidP="00962A1F">
            <w:pPr>
              <w:rPr>
                <w:sz w:val="18"/>
                <w:szCs w:val="18"/>
              </w:rPr>
            </w:pPr>
            <w:r w:rsidRPr="00EF2646">
              <w:rPr>
                <w:sz w:val="18"/>
                <w:szCs w:val="18"/>
              </w:rPr>
              <w:t>Small batteries</w:t>
            </w:r>
          </w:p>
        </w:tc>
        <w:tc>
          <w:tcPr>
            <w:tcW w:w="2126" w:type="dxa"/>
            <w:tcBorders>
              <w:top w:val="nil"/>
              <w:left w:val="single" w:sz="4" w:space="0" w:color="auto"/>
              <w:bottom w:val="single" w:sz="4" w:space="0" w:color="auto"/>
              <w:right w:val="nil"/>
            </w:tcBorders>
            <w:shd w:val="clear" w:color="auto" w:fill="auto"/>
            <w:noWrap/>
            <w:vAlign w:val="bottom"/>
          </w:tcPr>
          <w:p w:rsidR="004E08C4" w:rsidRPr="00EF2646" w:rsidRDefault="004E08C4" w:rsidP="00962A1F">
            <w:pPr>
              <w:rPr>
                <w:sz w:val="18"/>
                <w:szCs w:val="18"/>
              </w:rPr>
            </w:pPr>
            <w:r w:rsidRPr="00EF2646">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tcPr>
          <w:p w:rsidR="004E08C4" w:rsidRPr="00EF2646" w:rsidRDefault="004E08C4" w:rsidP="00962A1F">
            <w:pPr>
              <w:jc w:val="center"/>
              <w:rPr>
                <w:sz w:val="18"/>
                <w:szCs w:val="18"/>
              </w:rPr>
            </w:pPr>
            <w:r w:rsidRPr="00EF2646">
              <w:rPr>
                <w:noProof/>
                <w:sz w:val="18"/>
                <w:szCs w:val="18"/>
                <w:lang w:eastAsia="en-GB"/>
              </w:rPr>
              <mc:AlternateContent>
                <mc:Choice Requires="wpi">
                  <w:drawing>
                    <wp:anchor distT="0" distB="0" distL="114300" distR="114300" simplePos="0" relativeHeight="251665408" behindDoc="0" locked="0" layoutInCell="1" allowOverlap="1" wp14:anchorId="598019E2" wp14:editId="226DE6F1">
                      <wp:simplePos x="0" y="0"/>
                      <wp:positionH relativeFrom="column">
                        <wp:posOffset>241300</wp:posOffset>
                      </wp:positionH>
                      <wp:positionV relativeFrom="paragraph">
                        <wp:posOffset>196095</wp:posOffset>
                      </wp:positionV>
                      <wp:extent cx="360" cy="360"/>
                      <wp:effectExtent l="38100" t="38100" r="38100" b="38100"/>
                      <wp:wrapNone/>
                      <wp:docPr id="3" name="Encre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18.9pt;margin-top:15.35pt;width:.3pt;height:.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">
                      <v:imagedata r:id="rId13" o:title=""/>
                    </v:shape>
                  </w:pict>
                </mc:Fallback>
              </mc:AlternateContent>
            </w:r>
            <w:r w:rsidRPr="00EF2646">
              <w:rPr>
                <w:sz w:val="18"/>
                <w:szCs w:val="18"/>
              </w:rPr>
              <w:t>4</w:t>
            </w:r>
          </w:p>
        </w:tc>
        <w:tc>
          <w:tcPr>
            <w:tcW w:w="709" w:type="dxa"/>
            <w:tcBorders>
              <w:top w:val="nil"/>
              <w:left w:val="nil"/>
              <w:bottom w:val="single" w:sz="4"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639" w:type="dxa"/>
            <w:vMerge w:val="restart"/>
            <w:tcBorders>
              <w:top w:val="nil"/>
              <w:left w:val="single" w:sz="4" w:space="0" w:color="auto"/>
              <w:right w:val="single" w:sz="12" w:space="0" w:color="auto"/>
            </w:tcBorders>
            <w:shd w:val="clear" w:color="auto" w:fill="auto"/>
            <w:noWrap/>
            <w:vAlign w:val="center"/>
          </w:tcPr>
          <w:p w:rsidR="004E08C4" w:rsidRPr="00EF2646" w:rsidRDefault="004E08C4" w:rsidP="00962A1F">
            <w:pPr>
              <w:jc w:val="center"/>
              <w:rPr>
                <w:sz w:val="18"/>
                <w:szCs w:val="18"/>
              </w:rPr>
            </w:pPr>
            <w:r w:rsidRPr="00EF2646">
              <w:rPr>
                <w:sz w:val="18"/>
                <w:szCs w:val="18"/>
              </w:rPr>
              <w:t>8</w:t>
            </w:r>
          </w:p>
        </w:tc>
      </w:tr>
      <w:tr w:rsidR="004E08C4" w:rsidRPr="00EF2646" w:rsidTr="00962A1F">
        <w:trPr>
          <w:cantSplit/>
          <w:trHeight w:val="312"/>
        </w:trPr>
        <w:tc>
          <w:tcPr>
            <w:tcW w:w="1116" w:type="dxa"/>
            <w:vMerge/>
            <w:tcBorders>
              <w:left w:val="single" w:sz="12" w:space="0" w:color="auto"/>
              <w:bottom w:val="single" w:sz="8" w:space="0" w:color="000000"/>
              <w:right w:val="nil"/>
            </w:tcBorders>
            <w:shd w:val="clear" w:color="auto" w:fill="auto"/>
            <w:noWrap/>
            <w:vAlign w:val="center"/>
          </w:tcPr>
          <w:p w:rsidR="004E08C4" w:rsidRPr="00EF2646" w:rsidRDefault="004E08C4" w:rsidP="00962A1F">
            <w:pPr>
              <w:rPr>
                <w:sz w:val="18"/>
                <w:szCs w:val="18"/>
              </w:rPr>
            </w:pPr>
          </w:p>
        </w:tc>
        <w:tc>
          <w:tcPr>
            <w:tcW w:w="2126" w:type="dxa"/>
            <w:tcBorders>
              <w:top w:val="nil"/>
              <w:left w:val="single" w:sz="4" w:space="0" w:color="auto"/>
              <w:bottom w:val="single" w:sz="8" w:space="0" w:color="auto"/>
              <w:right w:val="nil"/>
            </w:tcBorders>
            <w:shd w:val="clear" w:color="auto" w:fill="auto"/>
            <w:noWrap/>
            <w:vAlign w:val="bottom"/>
          </w:tcPr>
          <w:p w:rsidR="004E08C4" w:rsidRPr="00EF2646" w:rsidRDefault="004E08C4" w:rsidP="00962A1F">
            <w:pPr>
              <w:rPr>
                <w:sz w:val="18"/>
                <w:szCs w:val="18"/>
              </w:rPr>
            </w:pPr>
            <w:r w:rsidRPr="00EF2646">
              <w:rPr>
                <w:sz w:val="18"/>
                <w:szCs w:val="18"/>
              </w:rPr>
              <w:t>fully discharged state</w:t>
            </w:r>
          </w:p>
        </w:tc>
        <w:tc>
          <w:tcPr>
            <w:tcW w:w="3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E08C4" w:rsidRPr="00EF2646" w:rsidRDefault="004E08C4" w:rsidP="00962A1F">
            <w:pPr>
              <w:jc w:val="center"/>
              <w:rPr>
                <w:sz w:val="18"/>
                <w:szCs w:val="18"/>
              </w:rPr>
            </w:pPr>
            <w:r w:rsidRPr="00EF2646">
              <w:rPr>
                <w:sz w:val="18"/>
                <w:szCs w:val="18"/>
              </w:rPr>
              <w:t>4</w:t>
            </w:r>
          </w:p>
        </w:tc>
        <w:tc>
          <w:tcPr>
            <w:tcW w:w="709" w:type="dxa"/>
            <w:tcBorders>
              <w:top w:val="nil"/>
              <w:left w:val="nil"/>
              <w:bottom w:val="single" w:sz="8"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tcPr>
          <w:p w:rsidR="004E08C4" w:rsidRPr="00EF2646" w:rsidRDefault="004E08C4" w:rsidP="00962A1F">
            <w:pPr>
              <w:jc w:val="center"/>
              <w:rPr>
                <w:sz w:val="18"/>
                <w:szCs w:val="18"/>
              </w:rPr>
            </w:pPr>
          </w:p>
        </w:tc>
        <w:tc>
          <w:tcPr>
            <w:tcW w:w="639" w:type="dxa"/>
            <w:vMerge/>
            <w:tcBorders>
              <w:left w:val="single" w:sz="4" w:space="0" w:color="auto"/>
              <w:bottom w:val="single" w:sz="8" w:space="0" w:color="000000"/>
              <w:right w:val="single" w:sz="12" w:space="0" w:color="auto"/>
            </w:tcBorders>
            <w:shd w:val="clear" w:color="auto" w:fill="auto"/>
            <w:noWrap/>
            <w:vAlign w:val="center"/>
          </w:tcPr>
          <w:p w:rsidR="004E08C4" w:rsidRPr="00EF2646" w:rsidRDefault="004E08C4" w:rsidP="00962A1F">
            <w:pPr>
              <w:jc w:val="center"/>
              <w:rPr>
                <w:sz w:val="18"/>
                <w:szCs w:val="18"/>
              </w:rPr>
            </w:pPr>
          </w:p>
        </w:tc>
      </w:tr>
      <w:tr w:rsidR="004E08C4" w:rsidRPr="00EF2646" w:rsidTr="00962A1F">
        <w:trPr>
          <w:cantSplit/>
          <w:trHeight w:val="312"/>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4E08C4" w:rsidRPr="00EF2646" w:rsidRDefault="004E08C4" w:rsidP="00962A1F">
            <w:pPr>
              <w:rPr>
                <w:sz w:val="18"/>
                <w:szCs w:val="18"/>
              </w:rPr>
            </w:pPr>
            <w:r w:rsidRPr="00EF2646">
              <w:rPr>
                <w:sz w:val="18"/>
                <w:szCs w:val="18"/>
              </w:rPr>
              <w:t>Large Batteries</w:t>
            </w:r>
          </w:p>
        </w:tc>
        <w:tc>
          <w:tcPr>
            <w:tcW w:w="2126" w:type="dxa"/>
            <w:tcBorders>
              <w:top w:val="single" w:sz="8" w:space="0" w:color="auto"/>
              <w:left w:val="single" w:sz="4" w:space="0" w:color="auto"/>
              <w:bottom w:val="single" w:sz="4"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4</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8</w:t>
            </w:r>
          </w:p>
        </w:tc>
      </w:tr>
      <w:tr w:rsidR="004E08C4" w:rsidRPr="00EF2646" w:rsidTr="00962A1F">
        <w:trPr>
          <w:cantSplit/>
          <w:trHeight w:val="324"/>
        </w:trPr>
        <w:tc>
          <w:tcPr>
            <w:tcW w:w="1116" w:type="dxa"/>
            <w:vMerge/>
            <w:tcBorders>
              <w:top w:val="nil"/>
              <w:left w:val="single" w:sz="12" w:space="0" w:color="auto"/>
              <w:bottom w:val="single" w:sz="8" w:space="0" w:color="000000"/>
              <w:right w:val="nil"/>
            </w:tcBorders>
            <w:vAlign w:val="center"/>
            <w:hideMark/>
          </w:tcPr>
          <w:p w:rsidR="004E08C4" w:rsidRPr="00EF2646" w:rsidRDefault="004E08C4" w:rsidP="00962A1F">
            <w:pPr>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4E08C4" w:rsidRPr="00EF2646" w:rsidRDefault="004E08C4" w:rsidP="00962A1F">
            <w:pPr>
              <w:jc w:val="center"/>
              <w:rPr>
                <w:sz w:val="18"/>
                <w:szCs w:val="18"/>
              </w:rPr>
            </w:pPr>
            <w:r w:rsidRPr="00EF2646">
              <w:rPr>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hideMark/>
          </w:tcPr>
          <w:p w:rsidR="004E08C4" w:rsidRPr="00EF2646" w:rsidRDefault="004E08C4" w:rsidP="00962A1F">
            <w:pPr>
              <w:jc w:val="center"/>
              <w:rPr>
                <w:sz w:val="18"/>
                <w:szCs w:val="18"/>
              </w:rPr>
            </w:pPr>
          </w:p>
        </w:tc>
      </w:tr>
      <w:tr w:rsidR="004E08C4" w:rsidRPr="00EF2646" w:rsidTr="00962A1F">
        <w:trPr>
          <w:cantSplit/>
          <w:trHeight w:val="948"/>
        </w:trPr>
        <w:tc>
          <w:tcPr>
            <w:tcW w:w="1116" w:type="dxa"/>
            <w:tcBorders>
              <w:top w:val="nil"/>
              <w:left w:val="single" w:sz="12" w:space="0" w:color="auto"/>
              <w:bottom w:val="single" w:sz="8" w:space="0" w:color="auto"/>
              <w:right w:val="nil"/>
            </w:tcBorders>
            <w:shd w:val="clear" w:color="auto" w:fill="auto"/>
            <w:vAlign w:val="center"/>
            <w:hideMark/>
          </w:tcPr>
          <w:p w:rsidR="004E08C4" w:rsidRPr="00EF2646" w:rsidRDefault="004E08C4" w:rsidP="00962A1F">
            <w:pPr>
              <w:rPr>
                <w:sz w:val="18"/>
                <w:szCs w:val="18"/>
              </w:rPr>
            </w:pPr>
            <w:r w:rsidRPr="00EF2646">
              <w:rPr>
                <w:sz w:val="18"/>
                <w:szCs w:val="18"/>
              </w:rPr>
              <w:t>Batteries assembled</w:t>
            </w:r>
            <w:r w:rsidRPr="00EF2646">
              <w:rPr>
                <w:sz w:val="18"/>
                <w:szCs w:val="18"/>
              </w:rPr>
              <w:br/>
              <w:t>with tested batteries</w:t>
            </w:r>
            <w:r w:rsidRPr="00EF2646">
              <w:rPr>
                <w:sz w:val="18"/>
                <w:szCs w:val="18"/>
              </w:rPr>
              <w:br/>
              <w:t>≤ 500 g Li</w:t>
            </w:r>
          </w:p>
        </w:tc>
        <w:tc>
          <w:tcPr>
            <w:tcW w:w="2126" w:type="dxa"/>
            <w:tcBorders>
              <w:top w:val="nil"/>
              <w:left w:val="single" w:sz="4" w:space="0" w:color="auto"/>
              <w:bottom w:val="single" w:sz="8" w:space="0" w:color="auto"/>
              <w:right w:val="nil"/>
            </w:tcBorders>
            <w:shd w:val="clear" w:color="auto" w:fill="auto"/>
            <w:noWrap/>
            <w:vAlign w:val="center"/>
            <w:hideMark/>
          </w:tcPr>
          <w:p w:rsidR="004E08C4" w:rsidRPr="00EF2646" w:rsidRDefault="004E08C4" w:rsidP="00962A1F">
            <w:pPr>
              <w:rPr>
                <w:sz w:val="18"/>
                <w:szCs w:val="18"/>
              </w:rPr>
            </w:pPr>
            <w:r w:rsidRPr="00EF2646">
              <w:rPr>
                <w:sz w:val="18"/>
                <w:szCs w:val="18"/>
              </w:rPr>
              <w:t>undischarged state</w:t>
            </w:r>
          </w:p>
        </w:tc>
        <w:tc>
          <w:tcPr>
            <w:tcW w:w="851" w:type="dxa"/>
            <w:gridSpan w:val="2"/>
            <w:tcBorders>
              <w:top w:val="nil"/>
              <w:left w:val="single" w:sz="4" w:space="0" w:color="auto"/>
              <w:bottom w:val="single" w:sz="8" w:space="0" w:color="auto"/>
              <w:right w:val="nil"/>
            </w:tcBorders>
            <w:shd w:val="clear" w:color="auto" w:fill="auto"/>
            <w:noWrap/>
            <w:vAlign w:val="center"/>
            <w:hideMark/>
          </w:tcPr>
          <w:p w:rsidR="004E08C4" w:rsidRPr="00EF2646" w:rsidRDefault="004E08C4" w:rsidP="00962A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rsidR="004E08C4" w:rsidRPr="00EF2646" w:rsidRDefault="004E08C4" w:rsidP="00962A1F">
            <w:pPr>
              <w:jc w:val="center"/>
              <w:rPr>
                <w:sz w:val="18"/>
                <w:szCs w:val="18"/>
              </w:rPr>
            </w:pPr>
          </w:p>
        </w:tc>
        <w:tc>
          <w:tcPr>
            <w:tcW w:w="212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4E08C4" w:rsidRPr="00EF2646" w:rsidRDefault="004E08C4" w:rsidP="00962A1F">
            <w:pPr>
              <w:jc w:val="center"/>
              <w:rPr>
                <w:sz w:val="18"/>
                <w:szCs w:val="18"/>
              </w:rPr>
            </w:pPr>
            <w:r w:rsidRPr="00EF2646">
              <w:rPr>
                <w:sz w:val="18"/>
                <w:szCs w:val="18"/>
              </w:rPr>
              <w:t>1</w:t>
            </w: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tcBorders>
              <w:top w:val="nil"/>
              <w:left w:val="nil"/>
              <w:bottom w:val="single" w:sz="8" w:space="0" w:color="auto"/>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1</w:t>
            </w:r>
          </w:p>
        </w:tc>
      </w:tr>
      <w:tr w:rsidR="004E08C4" w:rsidRPr="00EF2646" w:rsidTr="00962A1F">
        <w:trPr>
          <w:cantSplit/>
          <w:trHeight w:val="948"/>
        </w:trPr>
        <w:tc>
          <w:tcPr>
            <w:tcW w:w="1116" w:type="dxa"/>
            <w:tcBorders>
              <w:top w:val="nil"/>
              <w:left w:val="single" w:sz="12" w:space="0" w:color="auto"/>
              <w:bottom w:val="single" w:sz="12" w:space="0" w:color="auto"/>
              <w:right w:val="nil"/>
            </w:tcBorders>
            <w:shd w:val="clear" w:color="auto" w:fill="auto"/>
            <w:vAlign w:val="center"/>
            <w:hideMark/>
          </w:tcPr>
          <w:p w:rsidR="004E08C4" w:rsidRPr="00EF2646" w:rsidRDefault="004E08C4" w:rsidP="00962A1F">
            <w:pPr>
              <w:rPr>
                <w:sz w:val="18"/>
                <w:szCs w:val="18"/>
              </w:rPr>
            </w:pPr>
            <w:r w:rsidRPr="00EF2646">
              <w:rPr>
                <w:sz w:val="18"/>
                <w:szCs w:val="18"/>
              </w:rPr>
              <w:t>Batteries assembled</w:t>
            </w:r>
            <w:r w:rsidRPr="00EF2646">
              <w:rPr>
                <w:sz w:val="18"/>
                <w:szCs w:val="18"/>
              </w:rPr>
              <w:br/>
              <w:t>with tested batteries</w:t>
            </w:r>
            <w:r w:rsidRPr="00EF2646">
              <w:rPr>
                <w:sz w:val="18"/>
                <w:szCs w:val="18"/>
              </w:rPr>
              <w:br/>
              <w:t xml:space="preserve">&gt; 500 </w:t>
            </w:r>
            <w:proofErr w:type="spellStart"/>
            <w:r w:rsidRPr="00EF2646">
              <w:rPr>
                <w:sz w:val="18"/>
                <w:szCs w:val="18"/>
              </w:rPr>
              <w:t>g</w:t>
            </w:r>
            <w:r w:rsidRPr="00EF2646">
              <w:rPr>
                <w:sz w:val="18"/>
                <w:szCs w:val="18"/>
                <w:vertAlign w:val="superscript"/>
              </w:rPr>
              <w:t>b</w:t>
            </w:r>
            <w:proofErr w:type="spellEnd"/>
            <w:r w:rsidRPr="00EF2646">
              <w:rPr>
                <w:sz w:val="18"/>
                <w:szCs w:val="18"/>
              </w:rPr>
              <w:t xml:space="preserve"> Li</w:t>
            </w:r>
          </w:p>
        </w:tc>
        <w:tc>
          <w:tcPr>
            <w:tcW w:w="2126" w:type="dxa"/>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rPr>
                <w:sz w:val="18"/>
                <w:szCs w:val="18"/>
              </w:rPr>
            </w:pPr>
            <w:r w:rsidRPr="00EF2646">
              <w:rPr>
                <w:sz w:val="18"/>
                <w:szCs w:val="18"/>
              </w:rPr>
              <w:t> </w:t>
            </w:r>
          </w:p>
        </w:tc>
        <w:tc>
          <w:tcPr>
            <w:tcW w:w="851" w:type="dxa"/>
            <w:gridSpan w:val="2"/>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694" w:type="dxa"/>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23" w:type="dxa"/>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12" w:space="0" w:color="auto"/>
              <w:right w:val="nil"/>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single" w:sz="4" w:space="0" w:color="auto"/>
              <w:bottom w:val="single" w:sz="12"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8" w:type="dxa"/>
            <w:tcBorders>
              <w:top w:val="nil"/>
              <w:left w:val="nil"/>
              <w:bottom w:val="single" w:sz="12"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709" w:type="dxa"/>
            <w:tcBorders>
              <w:top w:val="nil"/>
              <w:left w:val="nil"/>
              <w:bottom w:val="single" w:sz="12" w:space="0" w:color="auto"/>
              <w:right w:val="single" w:sz="4" w:space="0" w:color="auto"/>
            </w:tcBorders>
            <w:shd w:val="clear" w:color="auto" w:fill="auto"/>
            <w:noWrap/>
            <w:vAlign w:val="bottom"/>
            <w:hideMark/>
          </w:tcPr>
          <w:p w:rsidR="004E08C4" w:rsidRPr="00EF2646" w:rsidRDefault="004E08C4" w:rsidP="00962A1F">
            <w:pPr>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rsidR="004E08C4" w:rsidRPr="00EF2646" w:rsidRDefault="004E08C4" w:rsidP="00962A1F">
            <w:pPr>
              <w:jc w:val="center"/>
              <w:rPr>
                <w:sz w:val="18"/>
                <w:szCs w:val="18"/>
              </w:rPr>
            </w:pPr>
            <w:r w:rsidRPr="00EF2646">
              <w:rPr>
                <w:sz w:val="18"/>
                <w:szCs w:val="18"/>
              </w:rPr>
              <w:t>0</w:t>
            </w:r>
          </w:p>
        </w:tc>
      </w:tr>
      <w:tr w:rsidR="004E08C4" w:rsidRPr="00EF2646" w:rsidTr="00962A1F">
        <w:trPr>
          <w:cantSplit/>
          <w:trHeight w:val="324"/>
        </w:trPr>
        <w:tc>
          <w:tcPr>
            <w:tcW w:w="1116" w:type="dxa"/>
            <w:tcBorders>
              <w:top w:val="nil"/>
              <w:left w:val="nil"/>
              <w:bottom w:val="nil"/>
              <w:right w:val="nil"/>
            </w:tcBorders>
            <w:shd w:val="clear" w:color="auto" w:fill="auto"/>
            <w:vAlign w:val="center"/>
            <w:hideMark/>
          </w:tcPr>
          <w:p w:rsidR="004E08C4" w:rsidRPr="00EF2646" w:rsidRDefault="004E08C4" w:rsidP="00962A1F">
            <w:pPr>
              <w:rPr>
                <w:sz w:val="18"/>
                <w:szCs w:val="18"/>
              </w:rPr>
            </w:pPr>
          </w:p>
        </w:tc>
        <w:tc>
          <w:tcPr>
            <w:tcW w:w="2126"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851" w:type="dxa"/>
            <w:gridSpan w:val="2"/>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567"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694"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723"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709"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709"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708"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709"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c>
          <w:tcPr>
            <w:tcW w:w="639" w:type="dxa"/>
            <w:tcBorders>
              <w:top w:val="nil"/>
              <w:left w:val="nil"/>
              <w:bottom w:val="nil"/>
              <w:right w:val="nil"/>
            </w:tcBorders>
            <w:shd w:val="clear" w:color="auto" w:fill="auto"/>
            <w:noWrap/>
            <w:vAlign w:val="bottom"/>
            <w:hideMark/>
          </w:tcPr>
          <w:p w:rsidR="004E08C4" w:rsidRPr="00EF2646" w:rsidRDefault="004E08C4" w:rsidP="00962A1F">
            <w:pPr>
              <w:rPr>
                <w:sz w:val="18"/>
                <w:szCs w:val="18"/>
              </w:rPr>
            </w:pPr>
          </w:p>
        </w:tc>
      </w:tr>
    </w:tbl>
    <w:p w:rsidR="004E08C4" w:rsidRPr="00D821A0" w:rsidRDefault="004E08C4" w:rsidP="004E08C4">
      <w:pPr>
        <w:pStyle w:val="SingleTxtG"/>
        <w:rPr>
          <w:i/>
        </w:rPr>
      </w:pPr>
      <w:proofErr w:type="spellStart"/>
      <w:proofErr w:type="gramStart"/>
      <w:r w:rsidRPr="00EF2646">
        <w:rPr>
          <w:vertAlign w:val="superscript"/>
        </w:rPr>
        <w:t>a</w:t>
      </w:r>
      <w:proofErr w:type="spellEnd"/>
      <w:proofErr w:type="gramEnd"/>
      <w:r w:rsidRPr="00EF2646">
        <w:tab/>
      </w:r>
      <w:proofErr w:type="spellStart"/>
      <w:r w:rsidRPr="00D821A0">
        <w:rPr>
          <w:i/>
        </w:rPr>
        <w:t>A</w:t>
      </w:r>
      <w:proofErr w:type="spellEnd"/>
      <w:r w:rsidRPr="00D821A0">
        <w:rPr>
          <w:i/>
        </w:rPr>
        <w:t xml:space="preserve"> single cell battery containing one tested cell does not require testing unless a change in cell design could result in the failure of any test.</w:t>
      </w:r>
      <w:r w:rsidRPr="00D821A0">
        <w:rPr>
          <w:i/>
        </w:rPr>
        <w:tab/>
      </w:r>
    </w:p>
    <w:p w:rsidR="004E08C4" w:rsidRPr="00D821A0" w:rsidRDefault="004E08C4" w:rsidP="004E08C4">
      <w:pPr>
        <w:pStyle w:val="ListParagraph"/>
        <w:ind w:left="1134"/>
        <w:rPr>
          <w:i/>
        </w:rPr>
      </w:pPr>
      <w:proofErr w:type="gramStart"/>
      <w:r w:rsidRPr="00EF2646">
        <w:rPr>
          <w:vertAlign w:val="superscript"/>
        </w:rPr>
        <w:t>b</w:t>
      </w:r>
      <w:proofErr w:type="gramEnd"/>
      <w:r w:rsidRPr="00EF2646">
        <w:t xml:space="preserve"> </w:t>
      </w:r>
      <w:r w:rsidRPr="00EF2646">
        <w:tab/>
      </w:r>
      <w:r w:rsidRPr="00D821A0">
        <w:rPr>
          <w:i/>
        </w:rPr>
        <w:t xml:space="preserve">If the assembled battery is of a type that has been verified as preventing: </w:t>
      </w:r>
    </w:p>
    <w:p w:rsidR="004E08C4" w:rsidRPr="00D821A0" w:rsidRDefault="00962A1F" w:rsidP="00962A1F">
      <w:pPr>
        <w:suppressAutoHyphens w:val="0"/>
        <w:spacing w:line="240" w:lineRule="auto"/>
        <w:ind w:left="1701"/>
        <w:rPr>
          <w:i/>
        </w:rPr>
      </w:pPr>
      <w:r w:rsidRPr="00D821A0">
        <w:rPr>
          <w:i/>
        </w:rPr>
        <w:t>(i)</w:t>
      </w:r>
      <w:r w:rsidRPr="00D821A0">
        <w:rPr>
          <w:i/>
        </w:rPr>
        <w:tab/>
      </w:r>
      <w:r w:rsidR="004E08C4" w:rsidRPr="00D821A0">
        <w:rPr>
          <w:i/>
        </w:rPr>
        <w:t xml:space="preserve">Overcharge; </w:t>
      </w:r>
    </w:p>
    <w:p w:rsidR="004E08C4" w:rsidRPr="00D821A0" w:rsidRDefault="00962A1F" w:rsidP="00962A1F">
      <w:pPr>
        <w:suppressAutoHyphens w:val="0"/>
        <w:spacing w:line="240" w:lineRule="auto"/>
        <w:ind w:left="1701"/>
        <w:rPr>
          <w:i/>
        </w:rPr>
      </w:pPr>
      <w:r w:rsidRPr="00D821A0">
        <w:rPr>
          <w:i/>
        </w:rPr>
        <w:t>(ii)</w:t>
      </w:r>
      <w:r w:rsidRPr="00D821A0">
        <w:rPr>
          <w:i/>
        </w:rPr>
        <w:tab/>
      </w:r>
      <w:r w:rsidR="004E08C4" w:rsidRPr="00D821A0">
        <w:rPr>
          <w:i/>
        </w:rPr>
        <w:t xml:space="preserve">Short circuits; and </w:t>
      </w:r>
    </w:p>
    <w:p w:rsidR="004E08C4" w:rsidRPr="00D821A0" w:rsidRDefault="00962A1F" w:rsidP="00962A1F">
      <w:pPr>
        <w:suppressAutoHyphens w:val="0"/>
        <w:spacing w:line="240" w:lineRule="auto"/>
        <w:ind w:left="1701"/>
        <w:rPr>
          <w:i/>
        </w:rPr>
      </w:pPr>
      <w:r w:rsidRPr="00D821A0">
        <w:rPr>
          <w:i/>
        </w:rPr>
        <w:t>(iii)</w:t>
      </w:r>
      <w:r w:rsidRPr="00D821A0">
        <w:rPr>
          <w:i/>
        </w:rPr>
        <w:tab/>
      </w:r>
      <w:r w:rsidR="004E08C4" w:rsidRPr="00D821A0">
        <w:rPr>
          <w:i/>
        </w:rPr>
        <w:t>Over discharge between the batteries.</w:t>
      </w:r>
    </w:p>
    <w:p w:rsidR="004E08C4" w:rsidRPr="00D821A0" w:rsidRDefault="004E08C4" w:rsidP="004E08C4">
      <w:pPr>
        <w:pStyle w:val="SingleTxtG"/>
        <w:rPr>
          <w:i/>
        </w:rPr>
      </w:pPr>
      <w:proofErr w:type="gramStart"/>
      <w:r w:rsidRPr="00EF2646">
        <w:rPr>
          <w:vertAlign w:val="superscript"/>
        </w:rPr>
        <w:t>c</w:t>
      </w:r>
      <w:proofErr w:type="gramEnd"/>
      <w:r w:rsidRPr="00EF2646">
        <w:rPr>
          <w:vertAlign w:val="superscript"/>
        </w:rPr>
        <w:tab/>
      </w:r>
      <w:r w:rsidR="00962A1F" w:rsidRPr="00D821A0">
        <w:rPr>
          <w:i/>
        </w:rPr>
        <w:t>T</w:t>
      </w:r>
      <w:r w:rsidRPr="00D821A0">
        <w:rPr>
          <w:i/>
        </w:rPr>
        <w:t>he sum represents the number of tests required, not the number of cells or batteries tested.</w:t>
      </w:r>
    </w:p>
    <w:p w:rsidR="003615AB" w:rsidRPr="00EF2646" w:rsidRDefault="003615AB" w:rsidP="00D821A0">
      <w:pPr>
        <w:pStyle w:val="SingleTxtG"/>
        <w:keepNext/>
        <w:keepLines/>
        <w:jc w:val="center"/>
        <w:rPr>
          <w:b/>
        </w:rPr>
      </w:pPr>
      <w:r w:rsidRPr="00EF2646">
        <w:rPr>
          <w:b/>
        </w:rPr>
        <w:lastRenderedPageBreak/>
        <w:t xml:space="preserve">Table 38.3.3: Summary table of required tests for rechargeable </w:t>
      </w:r>
      <w:r w:rsidRPr="00EF2646">
        <w:rPr>
          <w:b/>
        </w:rPr>
        <w:br/>
        <w:t>cells and batteries</w:t>
      </w:r>
    </w:p>
    <w:tbl>
      <w:tblPr>
        <w:tblW w:w="9095" w:type="dxa"/>
        <w:tblInd w:w="675" w:type="dxa"/>
        <w:tblLook w:val="04A0" w:firstRow="1" w:lastRow="0" w:firstColumn="1" w:lastColumn="0" w:noHBand="0" w:noVBand="1"/>
      </w:tblPr>
      <w:tblGrid>
        <w:gridCol w:w="1417"/>
        <w:gridCol w:w="2693"/>
        <w:gridCol w:w="567"/>
        <w:gridCol w:w="567"/>
        <w:gridCol w:w="567"/>
        <w:gridCol w:w="503"/>
        <w:gridCol w:w="489"/>
        <w:gridCol w:w="562"/>
        <w:gridCol w:w="546"/>
        <w:gridCol w:w="545"/>
        <w:gridCol w:w="639"/>
      </w:tblGrid>
      <w:tr w:rsidR="003615AB" w:rsidRPr="00EF2646" w:rsidTr="00D821A0">
        <w:trPr>
          <w:trHeight w:val="336"/>
        </w:trPr>
        <w:tc>
          <w:tcPr>
            <w:tcW w:w="9095" w:type="dxa"/>
            <w:gridSpan w:val="11"/>
            <w:tcBorders>
              <w:top w:val="single" w:sz="12" w:space="0" w:color="auto"/>
              <w:left w:val="single" w:sz="12" w:space="0" w:color="auto"/>
              <w:bottom w:val="nil"/>
              <w:right w:val="single" w:sz="12" w:space="0" w:color="000000"/>
            </w:tcBorders>
            <w:shd w:val="clear" w:color="auto" w:fill="auto"/>
            <w:noWrap/>
            <w:vAlign w:val="bottom"/>
            <w:hideMark/>
          </w:tcPr>
          <w:p w:rsidR="003615AB" w:rsidRPr="00EF2646" w:rsidRDefault="003615AB" w:rsidP="00D821A0">
            <w:pPr>
              <w:keepNext/>
              <w:keepLines/>
              <w:jc w:val="center"/>
              <w:rPr>
                <w:b/>
                <w:sz w:val="18"/>
                <w:szCs w:val="18"/>
              </w:rPr>
            </w:pPr>
            <w:r w:rsidRPr="00EF2646">
              <w:rPr>
                <w:b/>
                <w:sz w:val="18"/>
                <w:szCs w:val="18"/>
              </w:rPr>
              <w:t>Rechargeable cells and batteries</w:t>
            </w:r>
          </w:p>
        </w:tc>
      </w:tr>
      <w:tr w:rsidR="003615AB" w:rsidRPr="00EF2646" w:rsidTr="00D821A0">
        <w:trPr>
          <w:trHeight w:val="324"/>
        </w:trPr>
        <w:tc>
          <w:tcPr>
            <w:tcW w:w="1417" w:type="dxa"/>
            <w:tcBorders>
              <w:top w:val="single" w:sz="8" w:space="0" w:color="auto"/>
              <w:left w:val="single" w:sz="12"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 </w:t>
            </w:r>
          </w:p>
        </w:tc>
        <w:tc>
          <w:tcPr>
            <w:tcW w:w="2693" w:type="dxa"/>
            <w:tcBorders>
              <w:top w:val="single" w:sz="8" w:space="0" w:color="auto"/>
              <w:left w:val="nil"/>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T.1</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T.2</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T.3</w:t>
            </w:r>
          </w:p>
        </w:tc>
        <w:tc>
          <w:tcPr>
            <w:tcW w:w="503" w:type="dxa"/>
            <w:tcBorders>
              <w:top w:val="single" w:sz="8" w:space="0" w:color="auto"/>
              <w:left w:val="single" w:sz="4"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T.4</w:t>
            </w:r>
          </w:p>
        </w:tc>
        <w:tc>
          <w:tcPr>
            <w:tcW w:w="489" w:type="dxa"/>
            <w:tcBorders>
              <w:top w:val="single" w:sz="8" w:space="0" w:color="auto"/>
              <w:left w:val="single" w:sz="4" w:space="0" w:color="auto"/>
              <w:bottom w:val="single" w:sz="8" w:space="0" w:color="auto"/>
              <w:right w:val="nil"/>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T.5</w:t>
            </w:r>
          </w:p>
        </w:tc>
        <w:tc>
          <w:tcPr>
            <w:tcW w:w="5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T.6</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T.7</w:t>
            </w:r>
            <w:r w:rsidRPr="00EF2646">
              <w:rPr>
                <w:sz w:val="18"/>
                <w:szCs w:val="18"/>
                <w:vertAlign w:val="superscript"/>
              </w:rPr>
              <w:t>a</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T.8</w:t>
            </w:r>
          </w:p>
        </w:tc>
        <w:tc>
          <w:tcPr>
            <w:tcW w:w="639" w:type="dxa"/>
            <w:tcBorders>
              <w:top w:val="single" w:sz="8" w:space="0" w:color="auto"/>
              <w:left w:val="nil"/>
              <w:bottom w:val="single" w:sz="8" w:space="0" w:color="auto"/>
              <w:right w:val="single" w:sz="12" w:space="0" w:color="auto"/>
            </w:tcBorders>
            <w:shd w:val="clear" w:color="auto" w:fill="auto"/>
            <w:noWrap/>
            <w:vAlign w:val="bottom"/>
            <w:hideMark/>
          </w:tcPr>
          <w:p w:rsidR="003615AB" w:rsidRPr="00EF2646" w:rsidRDefault="003615AB" w:rsidP="00D821A0">
            <w:pPr>
              <w:keepNext/>
              <w:keepLines/>
              <w:rPr>
                <w:sz w:val="18"/>
                <w:szCs w:val="18"/>
              </w:rPr>
            </w:pPr>
            <w:proofErr w:type="spellStart"/>
            <w:r w:rsidRPr="00EF2646">
              <w:rPr>
                <w:sz w:val="18"/>
                <w:szCs w:val="18"/>
              </w:rPr>
              <w:t>Sum</w:t>
            </w:r>
            <w:r w:rsidR="0064594C" w:rsidRPr="00EF2646">
              <w:rPr>
                <w:sz w:val="18"/>
                <w:szCs w:val="18"/>
                <w:vertAlign w:val="superscript"/>
              </w:rPr>
              <w:t>d</w:t>
            </w:r>
            <w:proofErr w:type="spellEnd"/>
          </w:p>
        </w:tc>
      </w:tr>
      <w:tr w:rsidR="003615AB" w:rsidRPr="00EF2646" w:rsidTr="00D821A0">
        <w:trPr>
          <w:trHeight w:val="312"/>
        </w:trPr>
        <w:tc>
          <w:tcPr>
            <w:tcW w:w="1417" w:type="dxa"/>
            <w:vMerge w:val="restart"/>
            <w:tcBorders>
              <w:top w:val="nil"/>
              <w:left w:val="single" w:sz="12" w:space="0" w:color="auto"/>
              <w:bottom w:val="single" w:sz="8" w:space="0" w:color="000000"/>
              <w:right w:val="single" w:sz="4" w:space="0" w:color="auto"/>
            </w:tcBorders>
            <w:shd w:val="clear" w:color="auto" w:fill="auto"/>
            <w:vAlign w:val="center"/>
            <w:hideMark/>
          </w:tcPr>
          <w:p w:rsidR="003615AB" w:rsidRPr="00EF2646" w:rsidRDefault="003615AB" w:rsidP="00D821A0">
            <w:pPr>
              <w:keepNext/>
              <w:keepLines/>
              <w:rPr>
                <w:sz w:val="18"/>
                <w:szCs w:val="18"/>
              </w:rPr>
            </w:pPr>
            <w:r w:rsidRPr="00EF2646">
              <w:rPr>
                <w:sz w:val="18"/>
                <w:szCs w:val="18"/>
              </w:rPr>
              <w:t>Cells not transported separately from a battery</w:t>
            </w:r>
          </w:p>
        </w:tc>
        <w:tc>
          <w:tcPr>
            <w:tcW w:w="2693"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D821A0">
            <w:pPr>
              <w:keepNext/>
              <w:keepLines/>
              <w:rPr>
                <w:sz w:val="18"/>
                <w:szCs w:val="18"/>
              </w:rPr>
            </w:pPr>
            <w:r w:rsidRPr="00EF2646">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D821A0">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D821A0">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D821A0">
            <w:pPr>
              <w:keepNext/>
              <w:keepLines/>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D821A0">
            <w:pPr>
              <w:keepNext/>
              <w:keepLines/>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D821A0">
            <w:pPr>
              <w:keepNext/>
              <w:keepLines/>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D821A0">
            <w:pPr>
              <w:keepNext/>
              <w:keepLines/>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D821A0">
            <w:pPr>
              <w:keepNext/>
              <w:keepLines/>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D821A0">
            <w:pPr>
              <w:keepNext/>
              <w:keepLines/>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615AB" w:rsidRPr="00EF2646" w:rsidRDefault="003615AB" w:rsidP="00D821A0">
            <w:pPr>
              <w:keepNext/>
              <w:keepLines/>
              <w:rPr>
                <w:sz w:val="18"/>
                <w:szCs w:val="18"/>
              </w:rPr>
            </w:pPr>
            <w:r w:rsidRPr="00EF2646">
              <w:rPr>
                <w:sz w:val="18"/>
                <w:szCs w:val="18"/>
              </w:rPr>
              <w:t>30</w:t>
            </w:r>
          </w:p>
        </w:tc>
      </w:tr>
      <w:tr w:rsidR="003615AB" w:rsidRPr="00EF2646" w:rsidTr="00D821A0">
        <w:trPr>
          <w:trHeight w:val="312"/>
        </w:trPr>
        <w:tc>
          <w:tcPr>
            <w:tcW w:w="1417" w:type="dxa"/>
            <w:vMerge/>
            <w:tcBorders>
              <w:top w:val="nil"/>
              <w:left w:val="single" w:sz="12" w:space="0" w:color="auto"/>
              <w:bottom w:val="single" w:sz="8" w:space="0" w:color="000000"/>
              <w:right w:val="single" w:sz="4" w:space="0" w:color="auto"/>
            </w:tcBorders>
            <w:vAlign w:val="center"/>
          </w:tcPr>
          <w:p w:rsidR="003615AB" w:rsidRPr="00EF2646" w:rsidRDefault="003615AB" w:rsidP="00C9440B">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rPr>
                <w:sz w:val="18"/>
                <w:szCs w:val="18"/>
              </w:rPr>
            </w:pPr>
            <w:r w:rsidRPr="00EF2646">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single" w:sz="4" w:space="0" w:color="auto"/>
            </w:tcBorders>
            <w:vAlign w:val="center"/>
            <w:hideMark/>
          </w:tcPr>
          <w:p w:rsidR="003615AB" w:rsidRPr="00EF2646" w:rsidRDefault="003615AB" w:rsidP="00C9440B">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24"/>
        </w:trPr>
        <w:tc>
          <w:tcPr>
            <w:tcW w:w="1417" w:type="dxa"/>
            <w:vMerge/>
            <w:tcBorders>
              <w:top w:val="nil"/>
              <w:left w:val="single" w:sz="12" w:space="0" w:color="auto"/>
              <w:bottom w:val="single" w:sz="8" w:space="0" w:color="000000"/>
              <w:right w:val="single" w:sz="4" w:space="0" w:color="auto"/>
            </w:tcBorders>
            <w:vAlign w:val="center"/>
            <w:hideMark/>
          </w:tcPr>
          <w:p w:rsidR="003615AB" w:rsidRPr="00EF2646" w:rsidRDefault="003615AB" w:rsidP="00C9440B">
            <w:pPr>
              <w:rPr>
                <w:sz w:val="18"/>
                <w:szCs w:val="18"/>
              </w:rPr>
            </w:pPr>
          </w:p>
        </w:tc>
        <w:tc>
          <w:tcPr>
            <w:tcW w:w="2693"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615AB" w:rsidRPr="00EF2646" w:rsidRDefault="003615AB" w:rsidP="00C9440B">
            <w:pPr>
              <w:rPr>
                <w:sz w:val="18"/>
                <w:szCs w:val="18"/>
              </w:rPr>
            </w:pPr>
            <w:r w:rsidRPr="00EF2646">
              <w:rPr>
                <w:sz w:val="18"/>
                <w:szCs w:val="18"/>
              </w:rPr>
              <w:t>Cells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40</w:t>
            </w: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rPr>
                <w:sz w:val="18"/>
                <w:szCs w:val="18"/>
              </w:rPr>
            </w:pPr>
            <w:r w:rsidRPr="00EF2646">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rsidR="003615AB" w:rsidRPr="00EF2646" w:rsidRDefault="003615AB" w:rsidP="00C9440B">
            <w:pPr>
              <w:jc w:val="center"/>
              <w:rPr>
                <w:sz w:val="18"/>
                <w:szCs w:val="18"/>
              </w:rPr>
            </w:pPr>
            <w:r w:rsidRPr="00EF2646">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rPr>
                <w:sz w:val="18"/>
                <w:szCs w:val="18"/>
              </w:rPr>
            </w:pPr>
            <w:r w:rsidRPr="00EF2646">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24"/>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615AB" w:rsidRPr="00EF2646" w:rsidRDefault="003615AB" w:rsidP="00C9440B">
            <w:pPr>
              <w:rPr>
                <w:sz w:val="18"/>
                <w:szCs w:val="18"/>
              </w:rPr>
            </w:pPr>
            <w:r w:rsidRPr="00EF2646">
              <w:rPr>
                <w:sz w:val="18"/>
                <w:szCs w:val="18"/>
              </w:rPr>
              <w:t xml:space="preserve">Single cell </w:t>
            </w:r>
            <w:proofErr w:type="spellStart"/>
            <w:r w:rsidRPr="00EF2646">
              <w:rPr>
                <w:sz w:val="18"/>
                <w:szCs w:val="18"/>
              </w:rPr>
              <w:t>batteries</w:t>
            </w:r>
            <w:r w:rsidRPr="00EF2646">
              <w:rPr>
                <w:sz w:val="18"/>
                <w:szCs w:val="18"/>
                <w:vertAlign w:val="superscript"/>
              </w:rPr>
              <w:t>b</w:t>
            </w:r>
            <w:proofErr w:type="spellEnd"/>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48</w:t>
            </w: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rPr>
                <w:sz w:val="18"/>
                <w:szCs w:val="18"/>
              </w:rPr>
            </w:pPr>
            <w:r w:rsidRPr="00EF2646">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rsidR="003615AB" w:rsidRPr="00EF2646" w:rsidRDefault="003615AB" w:rsidP="00C9440B">
            <w:pPr>
              <w:jc w:val="center"/>
              <w:rPr>
                <w:sz w:val="18"/>
                <w:szCs w:val="18"/>
              </w:rPr>
            </w:pPr>
            <w:r w:rsidRPr="00EF2646">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rPr>
                <w:sz w:val="18"/>
                <w:szCs w:val="18"/>
              </w:rPr>
            </w:pPr>
            <w:r w:rsidRPr="00EF2646">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r w:rsidRPr="00EF2646">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24"/>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10</w:t>
            </w: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3615AB" w:rsidRPr="00EF2646" w:rsidRDefault="003615AB" w:rsidP="00C9440B">
            <w:pPr>
              <w:rPr>
                <w:sz w:val="18"/>
                <w:szCs w:val="18"/>
              </w:rPr>
            </w:pPr>
            <w:r w:rsidRPr="00EF2646">
              <w:rPr>
                <w:sz w:val="18"/>
                <w:szCs w:val="18"/>
              </w:rPr>
              <w:t>Small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62"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16</w:t>
            </w:r>
          </w:p>
        </w:tc>
      </w:tr>
      <w:tr w:rsidR="003615AB" w:rsidRPr="00EF2646" w:rsidTr="00D821A0">
        <w:trPr>
          <w:trHeight w:val="324"/>
        </w:trPr>
        <w:tc>
          <w:tcPr>
            <w:tcW w:w="1417" w:type="dxa"/>
            <w:vMerge/>
            <w:tcBorders>
              <w:top w:val="nil"/>
              <w:left w:val="single" w:sz="12" w:space="0" w:color="auto"/>
              <w:bottom w:val="single" w:sz="8" w:space="0" w:color="000000"/>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62"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4</w:t>
            </w:r>
          </w:p>
        </w:tc>
        <w:tc>
          <w:tcPr>
            <w:tcW w:w="545" w:type="dxa"/>
            <w:tcBorders>
              <w:top w:val="nil"/>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312"/>
        </w:trPr>
        <w:tc>
          <w:tcPr>
            <w:tcW w:w="1417" w:type="dxa"/>
            <w:vMerge w:val="restart"/>
            <w:tcBorders>
              <w:top w:val="nil"/>
              <w:left w:val="single" w:sz="12" w:space="0" w:color="auto"/>
              <w:bottom w:val="single" w:sz="4" w:space="0" w:color="auto"/>
              <w:right w:val="nil"/>
            </w:tcBorders>
            <w:shd w:val="clear" w:color="auto" w:fill="auto"/>
            <w:noWrap/>
            <w:vAlign w:val="center"/>
            <w:hideMark/>
          </w:tcPr>
          <w:p w:rsidR="003615AB" w:rsidRPr="00EF2646" w:rsidRDefault="003615AB" w:rsidP="00C9440B">
            <w:pPr>
              <w:rPr>
                <w:sz w:val="18"/>
                <w:szCs w:val="18"/>
              </w:rPr>
            </w:pPr>
            <w:r w:rsidRPr="00EF2646">
              <w:rPr>
                <w:sz w:val="18"/>
                <w:szCs w:val="18"/>
              </w:rPr>
              <w:t>Large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2</w:t>
            </w:r>
          </w:p>
        </w:tc>
        <w:tc>
          <w:tcPr>
            <w:tcW w:w="562"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2</w:t>
            </w:r>
          </w:p>
        </w:tc>
        <w:tc>
          <w:tcPr>
            <w:tcW w:w="545" w:type="dxa"/>
            <w:tcBorders>
              <w:top w:val="nil"/>
              <w:left w:val="nil"/>
              <w:bottom w:val="single" w:sz="4"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val="restart"/>
            <w:tcBorders>
              <w:top w:val="nil"/>
              <w:left w:val="nil"/>
              <w:bottom w:val="single" w:sz="4" w:space="0" w:color="auto"/>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8</w:t>
            </w:r>
          </w:p>
        </w:tc>
      </w:tr>
      <w:tr w:rsidR="003615AB" w:rsidRPr="00EF2646" w:rsidTr="00D821A0">
        <w:trPr>
          <w:trHeight w:val="324"/>
        </w:trPr>
        <w:tc>
          <w:tcPr>
            <w:tcW w:w="1417" w:type="dxa"/>
            <w:vMerge/>
            <w:tcBorders>
              <w:top w:val="nil"/>
              <w:left w:val="single" w:sz="12" w:space="0" w:color="auto"/>
              <w:bottom w:val="single" w:sz="4" w:space="0" w:color="auto"/>
              <w:right w:val="nil"/>
            </w:tcBorders>
            <w:vAlign w:val="center"/>
            <w:hideMark/>
          </w:tcPr>
          <w:p w:rsidR="003615AB" w:rsidRPr="00EF2646" w:rsidRDefault="003615AB" w:rsidP="00C9440B">
            <w:pPr>
              <w:rPr>
                <w:sz w:val="18"/>
                <w:szCs w:val="18"/>
              </w:rPr>
            </w:pPr>
          </w:p>
        </w:tc>
        <w:tc>
          <w:tcPr>
            <w:tcW w:w="2693" w:type="dxa"/>
            <w:tcBorders>
              <w:top w:val="nil"/>
              <w:left w:val="single" w:sz="4" w:space="0" w:color="auto"/>
              <w:bottom w:val="nil"/>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3615AB" w:rsidRPr="00EF2646" w:rsidRDefault="003615AB" w:rsidP="00C9440B">
            <w:pPr>
              <w:jc w:val="center"/>
              <w:rPr>
                <w:sz w:val="18"/>
                <w:szCs w:val="18"/>
              </w:rPr>
            </w:pPr>
            <w:r w:rsidRPr="00EF2646">
              <w:rPr>
                <w:sz w:val="18"/>
                <w:szCs w:val="18"/>
              </w:rPr>
              <w:t>2</w:t>
            </w:r>
          </w:p>
        </w:tc>
        <w:tc>
          <w:tcPr>
            <w:tcW w:w="562" w:type="dxa"/>
            <w:tcBorders>
              <w:top w:val="nil"/>
              <w:left w:val="nil"/>
              <w:bottom w:val="nil"/>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nil"/>
              <w:right w:val="single" w:sz="4" w:space="0" w:color="auto"/>
            </w:tcBorders>
            <w:shd w:val="clear" w:color="auto" w:fill="auto"/>
            <w:noWrap/>
            <w:vAlign w:val="bottom"/>
            <w:hideMark/>
          </w:tcPr>
          <w:p w:rsidR="003615AB" w:rsidRPr="00EF2646" w:rsidRDefault="003615AB" w:rsidP="00C9440B">
            <w:pPr>
              <w:jc w:val="center"/>
              <w:rPr>
                <w:sz w:val="18"/>
                <w:szCs w:val="18"/>
              </w:rPr>
            </w:pPr>
            <w:r w:rsidRPr="00EF2646">
              <w:rPr>
                <w:sz w:val="18"/>
                <w:szCs w:val="18"/>
              </w:rPr>
              <w:t>2</w:t>
            </w:r>
          </w:p>
        </w:tc>
        <w:tc>
          <w:tcPr>
            <w:tcW w:w="545" w:type="dxa"/>
            <w:tcBorders>
              <w:top w:val="nil"/>
              <w:left w:val="nil"/>
              <w:bottom w:val="nil"/>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vMerge/>
            <w:tcBorders>
              <w:top w:val="nil"/>
              <w:left w:val="nil"/>
              <w:bottom w:val="single" w:sz="4" w:space="0" w:color="auto"/>
              <w:right w:val="single" w:sz="12" w:space="0" w:color="auto"/>
            </w:tcBorders>
            <w:vAlign w:val="center"/>
            <w:hideMark/>
          </w:tcPr>
          <w:p w:rsidR="003615AB" w:rsidRPr="00EF2646" w:rsidRDefault="003615AB" w:rsidP="00C9440B">
            <w:pPr>
              <w:rPr>
                <w:sz w:val="18"/>
                <w:szCs w:val="18"/>
              </w:rPr>
            </w:pPr>
          </w:p>
        </w:tc>
      </w:tr>
      <w:tr w:rsidR="003615AB" w:rsidRPr="00EF2646" w:rsidTr="00D821A0">
        <w:trPr>
          <w:trHeight w:val="948"/>
        </w:trPr>
        <w:tc>
          <w:tcPr>
            <w:tcW w:w="1417" w:type="dxa"/>
            <w:tcBorders>
              <w:top w:val="single" w:sz="8" w:space="0" w:color="auto"/>
              <w:left w:val="single" w:sz="12" w:space="0" w:color="auto"/>
              <w:bottom w:val="single" w:sz="8" w:space="0" w:color="auto"/>
              <w:right w:val="nil"/>
            </w:tcBorders>
            <w:shd w:val="clear" w:color="auto" w:fill="auto"/>
            <w:vAlign w:val="center"/>
            <w:hideMark/>
          </w:tcPr>
          <w:p w:rsidR="003615AB" w:rsidRPr="00EF2646" w:rsidRDefault="003615AB">
            <w:pPr>
              <w:rPr>
                <w:sz w:val="18"/>
                <w:szCs w:val="18"/>
              </w:rPr>
            </w:pPr>
            <w:r w:rsidRPr="00EF2646">
              <w:rPr>
                <w:sz w:val="18"/>
                <w:szCs w:val="18"/>
              </w:rPr>
              <w:t>Batteries assembled</w:t>
            </w:r>
            <w:r w:rsidRPr="00EF2646">
              <w:rPr>
                <w:sz w:val="18"/>
                <w:szCs w:val="18"/>
              </w:rPr>
              <w:br/>
              <w:t>with tested batteries</w:t>
            </w:r>
            <w:r w:rsidRPr="00EF2646">
              <w:rPr>
                <w:sz w:val="18"/>
                <w:szCs w:val="18"/>
              </w:rPr>
              <w:br/>
              <w:t>≤ 6</w:t>
            </w:r>
            <w:r w:rsidR="0064594C" w:rsidRPr="00EF2646">
              <w:rPr>
                <w:sz w:val="18"/>
                <w:szCs w:val="18"/>
              </w:rPr>
              <w:t> </w:t>
            </w:r>
            <w:r w:rsidRPr="00EF2646">
              <w:rPr>
                <w:sz w:val="18"/>
                <w:szCs w:val="18"/>
              </w:rPr>
              <w:t xml:space="preserve">200 </w:t>
            </w:r>
            <w:proofErr w:type="spellStart"/>
            <w:r w:rsidRPr="00EF2646">
              <w:rPr>
                <w:sz w:val="18"/>
                <w:szCs w:val="18"/>
              </w:rPr>
              <w:t>Wh</w:t>
            </w:r>
            <w:proofErr w:type="spellEnd"/>
            <w:r w:rsidRPr="00EF2646">
              <w:rPr>
                <w:sz w:val="18"/>
                <w:szCs w:val="18"/>
              </w:rPr>
              <w:t xml:space="preserve"> or ≤500g Li</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fully charged state</w:t>
            </w:r>
          </w:p>
        </w:tc>
        <w:tc>
          <w:tcPr>
            <w:tcW w:w="567" w:type="dxa"/>
            <w:tcBorders>
              <w:top w:val="nil"/>
              <w:left w:val="nil"/>
              <w:bottom w:val="single" w:sz="8" w:space="0" w:color="auto"/>
              <w:right w:val="nil"/>
            </w:tcBorders>
            <w:shd w:val="clear" w:color="auto" w:fill="auto"/>
            <w:noWrap/>
            <w:vAlign w:val="center"/>
            <w:hideMark/>
          </w:tcPr>
          <w:p w:rsidR="003615AB" w:rsidRPr="00EF2646" w:rsidRDefault="003615AB" w:rsidP="00C9440B">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rsidR="003615AB" w:rsidRPr="00EF2646" w:rsidRDefault="003615AB" w:rsidP="00C9440B">
            <w:pPr>
              <w:jc w:val="center"/>
              <w:rPr>
                <w:sz w:val="18"/>
                <w:szCs w:val="18"/>
              </w:rPr>
            </w:pPr>
          </w:p>
        </w:tc>
        <w:tc>
          <w:tcPr>
            <w:tcW w:w="1559"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615AB" w:rsidRPr="00EF2646" w:rsidRDefault="003615AB" w:rsidP="00C9440B">
            <w:pPr>
              <w:jc w:val="center"/>
              <w:rPr>
                <w:sz w:val="18"/>
                <w:szCs w:val="18"/>
              </w:rPr>
            </w:pPr>
            <w:r w:rsidRPr="00EF2646">
              <w:rPr>
                <w:sz w:val="18"/>
                <w:szCs w:val="18"/>
              </w:rPr>
              <w:t>1</w:t>
            </w:r>
          </w:p>
        </w:tc>
        <w:tc>
          <w:tcPr>
            <w:tcW w:w="562"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615AB" w:rsidRPr="00EF2646" w:rsidRDefault="003615AB" w:rsidP="00C9440B">
            <w:pPr>
              <w:jc w:val="center"/>
              <w:rPr>
                <w:sz w:val="18"/>
                <w:szCs w:val="18"/>
              </w:rPr>
            </w:pPr>
          </w:p>
        </w:tc>
        <w:tc>
          <w:tcPr>
            <w:tcW w:w="546"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3615AB" w:rsidRPr="00EF2646" w:rsidRDefault="003615AB" w:rsidP="00C9440B">
            <w:pPr>
              <w:jc w:val="center"/>
              <w:rPr>
                <w:sz w:val="18"/>
                <w:szCs w:val="18"/>
              </w:rPr>
            </w:pPr>
            <w:r w:rsidRPr="00EF2646">
              <w:rPr>
                <w:sz w:val="18"/>
                <w:szCs w:val="18"/>
              </w:rPr>
              <w:t>1</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tcBorders>
              <w:top w:val="single" w:sz="8" w:space="0" w:color="auto"/>
              <w:left w:val="nil"/>
              <w:bottom w:val="single" w:sz="8" w:space="0" w:color="auto"/>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2</w:t>
            </w:r>
          </w:p>
        </w:tc>
      </w:tr>
      <w:tr w:rsidR="003615AB" w:rsidRPr="00EF2646" w:rsidTr="00D821A0">
        <w:trPr>
          <w:trHeight w:val="948"/>
        </w:trPr>
        <w:tc>
          <w:tcPr>
            <w:tcW w:w="1417" w:type="dxa"/>
            <w:tcBorders>
              <w:top w:val="nil"/>
              <w:left w:val="single" w:sz="12" w:space="0" w:color="auto"/>
              <w:bottom w:val="single" w:sz="12" w:space="0" w:color="auto"/>
              <w:right w:val="nil"/>
            </w:tcBorders>
            <w:shd w:val="clear" w:color="auto" w:fill="auto"/>
            <w:vAlign w:val="center"/>
            <w:hideMark/>
          </w:tcPr>
          <w:p w:rsidR="003615AB" w:rsidRPr="00EF2646" w:rsidRDefault="003615AB">
            <w:pPr>
              <w:rPr>
                <w:sz w:val="18"/>
                <w:szCs w:val="18"/>
              </w:rPr>
            </w:pPr>
            <w:r w:rsidRPr="00EF2646">
              <w:rPr>
                <w:sz w:val="18"/>
                <w:szCs w:val="18"/>
              </w:rPr>
              <w:t>Batteries assembled</w:t>
            </w:r>
            <w:r w:rsidRPr="00EF2646">
              <w:rPr>
                <w:sz w:val="18"/>
                <w:szCs w:val="18"/>
              </w:rPr>
              <w:br/>
              <w:t>with tested batteries</w:t>
            </w:r>
            <w:r w:rsidRPr="00EF2646">
              <w:rPr>
                <w:sz w:val="18"/>
                <w:szCs w:val="18"/>
              </w:rPr>
              <w:br/>
              <w:t>&gt; 6</w:t>
            </w:r>
            <w:r w:rsidR="0064594C" w:rsidRPr="00EF2646">
              <w:rPr>
                <w:sz w:val="18"/>
                <w:szCs w:val="18"/>
              </w:rPr>
              <w:t> </w:t>
            </w:r>
            <w:r w:rsidRPr="00EF2646">
              <w:rPr>
                <w:sz w:val="18"/>
                <w:szCs w:val="18"/>
              </w:rPr>
              <w:t xml:space="preserve">200 </w:t>
            </w:r>
            <w:proofErr w:type="spellStart"/>
            <w:r w:rsidRPr="00EF2646">
              <w:rPr>
                <w:sz w:val="18"/>
                <w:szCs w:val="18"/>
              </w:rPr>
              <w:t>Wh</w:t>
            </w:r>
            <w:proofErr w:type="spellEnd"/>
            <w:r w:rsidRPr="00EF2646">
              <w:rPr>
                <w:sz w:val="18"/>
                <w:szCs w:val="18"/>
              </w:rPr>
              <w:t xml:space="preserve"> or </w:t>
            </w:r>
            <w:proofErr w:type="spellStart"/>
            <w:r w:rsidRPr="00EF2646">
              <w:rPr>
                <w:sz w:val="18"/>
                <w:szCs w:val="18"/>
              </w:rPr>
              <w:t>or</w:t>
            </w:r>
            <w:proofErr w:type="spellEnd"/>
            <w:r w:rsidRPr="00EF2646">
              <w:rPr>
                <w:sz w:val="18"/>
                <w:szCs w:val="18"/>
              </w:rPr>
              <w:t xml:space="preserve"> &gt;500g </w:t>
            </w:r>
            <w:proofErr w:type="spellStart"/>
            <w:r w:rsidRPr="00EF2646">
              <w:rPr>
                <w:sz w:val="18"/>
                <w:szCs w:val="18"/>
              </w:rPr>
              <w:t>Li</w:t>
            </w:r>
            <w:r w:rsidRPr="00EF2646">
              <w:rPr>
                <w:sz w:val="18"/>
                <w:szCs w:val="18"/>
                <w:vertAlign w:val="superscript"/>
              </w:rPr>
              <w:t>c</w:t>
            </w:r>
            <w:proofErr w:type="spellEnd"/>
          </w:p>
        </w:tc>
        <w:tc>
          <w:tcPr>
            <w:tcW w:w="2693" w:type="dxa"/>
            <w:tcBorders>
              <w:top w:val="nil"/>
              <w:left w:val="single" w:sz="4" w:space="0" w:color="auto"/>
              <w:bottom w:val="single" w:sz="12" w:space="0" w:color="auto"/>
              <w:right w:val="single" w:sz="4" w:space="0" w:color="auto"/>
            </w:tcBorders>
            <w:shd w:val="clear" w:color="auto" w:fill="auto"/>
            <w:noWrap/>
            <w:vAlign w:val="bottom"/>
            <w:hideMark/>
          </w:tcPr>
          <w:p w:rsidR="003615AB" w:rsidRPr="00EF2646" w:rsidRDefault="003615AB" w:rsidP="00C9440B">
            <w:pPr>
              <w:rPr>
                <w:sz w:val="18"/>
                <w:szCs w:val="18"/>
              </w:rPr>
            </w:pPr>
            <w:r w:rsidRPr="00EF2646">
              <w:rPr>
                <w:sz w:val="18"/>
                <w:szCs w:val="18"/>
              </w:rPr>
              <w:t> </w:t>
            </w:r>
          </w:p>
        </w:tc>
        <w:tc>
          <w:tcPr>
            <w:tcW w:w="567" w:type="dxa"/>
            <w:tcBorders>
              <w:top w:val="nil"/>
              <w:left w:val="nil"/>
              <w:bottom w:val="single" w:sz="12"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03" w:type="dxa"/>
            <w:tcBorders>
              <w:top w:val="nil"/>
              <w:left w:val="single" w:sz="4" w:space="0" w:color="auto"/>
              <w:bottom w:val="single" w:sz="12"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489" w:type="dxa"/>
            <w:tcBorders>
              <w:top w:val="nil"/>
              <w:left w:val="single" w:sz="4" w:space="0" w:color="auto"/>
              <w:bottom w:val="single" w:sz="12" w:space="0" w:color="auto"/>
              <w:right w:val="nil"/>
            </w:tcBorders>
            <w:shd w:val="clear" w:color="auto" w:fill="auto"/>
            <w:noWrap/>
            <w:vAlign w:val="bottom"/>
            <w:hideMark/>
          </w:tcPr>
          <w:p w:rsidR="003615AB" w:rsidRPr="00EF2646" w:rsidRDefault="003615AB" w:rsidP="00C9440B">
            <w:pPr>
              <w:jc w:val="center"/>
              <w:rPr>
                <w:sz w:val="18"/>
                <w:szCs w:val="18"/>
              </w:rPr>
            </w:pPr>
          </w:p>
        </w:tc>
        <w:tc>
          <w:tcPr>
            <w:tcW w:w="562" w:type="dxa"/>
            <w:tcBorders>
              <w:top w:val="nil"/>
              <w:left w:val="single" w:sz="4" w:space="0" w:color="auto"/>
              <w:bottom w:val="single" w:sz="12"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6" w:type="dxa"/>
            <w:tcBorders>
              <w:top w:val="nil"/>
              <w:left w:val="nil"/>
              <w:bottom w:val="single" w:sz="12"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545" w:type="dxa"/>
            <w:tcBorders>
              <w:top w:val="nil"/>
              <w:left w:val="nil"/>
              <w:bottom w:val="single" w:sz="12" w:space="0" w:color="auto"/>
              <w:right w:val="single" w:sz="4" w:space="0" w:color="auto"/>
            </w:tcBorders>
            <w:shd w:val="clear" w:color="auto" w:fill="auto"/>
            <w:noWrap/>
            <w:vAlign w:val="bottom"/>
            <w:hideMark/>
          </w:tcPr>
          <w:p w:rsidR="003615AB" w:rsidRPr="00EF2646" w:rsidRDefault="003615AB" w:rsidP="00C9440B">
            <w:pPr>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rsidR="003615AB" w:rsidRPr="00EF2646" w:rsidRDefault="003615AB" w:rsidP="00C9440B">
            <w:pPr>
              <w:rPr>
                <w:sz w:val="18"/>
                <w:szCs w:val="18"/>
              </w:rPr>
            </w:pPr>
            <w:r w:rsidRPr="00EF2646">
              <w:rPr>
                <w:sz w:val="18"/>
                <w:szCs w:val="18"/>
              </w:rPr>
              <w:t>0</w:t>
            </w:r>
          </w:p>
        </w:tc>
      </w:tr>
    </w:tbl>
    <w:p w:rsidR="003615AB" w:rsidRPr="00D821A0" w:rsidRDefault="003615AB" w:rsidP="00D821A0">
      <w:pPr>
        <w:pStyle w:val="SingleTxtG"/>
        <w:spacing w:before="120" w:line="240" w:lineRule="auto"/>
        <w:rPr>
          <w:i/>
        </w:rPr>
      </w:pPr>
      <w:r w:rsidRPr="00EF2646">
        <w:rPr>
          <w:vertAlign w:val="superscript"/>
        </w:rPr>
        <w:t>a</w:t>
      </w:r>
      <w:r w:rsidRPr="00EF2646">
        <w:tab/>
      </w:r>
      <w:r w:rsidRPr="00D821A0">
        <w:rPr>
          <w:i/>
        </w:rPr>
        <w:t>Batteries or single cell batteries not equipped with battery overcharge protection that are designed for use only as a component in another battery or in equipment, which affords such protection, are not subject to the requirements of this test;</w:t>
      </w:r>
    </w:p>
    <w:p w:rsidR="003615AB" w:rsidRPr="00D821A0" w:rsidRDefault="003615AB" w:rsidP="003615AB">
      <w:pPr>
        <w:pStyle w:val="SingleTxtG"/>
        <w:rPr>
          <w:i/>
        </w:rPr>
      </w:pPr>
      <w:proofErr w:type="gramStart"/>
      <w:r w:rsidRPr="00EF2646">
        <w:rPr>
          <w:vertAlign w:val="superscript"/>
        </w:rPr>
        <w:t>b</w:t>
      </w:r>
      <w:proofErr w:type="gramEnd"/>
      <w:r w:rsidRPr="00EF2646">
        <w:tab/>
      </w:r>
      <w:r w:rsidRPr="00D821A0">
        <w:rPr>
          <w:i/>
        </w:rPr>
        <w:t>Except for the T.7 Overcharge test, a single cell battery containing one tested cell does not require testing unless a change in cell design could result in the failure of any test;</w:t>
      </w:r>
    </w:p>
    <w:p w:rsidR="003615AB" w:rsidRPr="00D821A0" w:rsidRDefault="003615AB" w:rsidP="00D821A0">
      <w:pPr>
        <w:pStyle w:val="SingleTxtG"/>
        <w:spacing w:after="0"/>
        <w:rPr>
          <w:i/>
        </w:rPr>
      </w:pPr>
      <w:proofErr w:type="gramStart"/>
      <w:r w:rsidRPr="00EF2646">
        <w:rPr>
          <w:vertAlign w:val="superscript"/>
        </w:rPr>
        <w:lastRenderedPageBreak/>
        <w:t>c</w:t>
      </w:r>
      <w:proofErr w:type="gramEnd"/>
      <w:r w:rsidRPr="00EF2646">
        <w:tab/>
      </w:r>
      <w:r w:rsidRPr="00D821A0">
        <w:rPr>
          <w:i/>
        </w:rPr>
        <w:t xml:space="preserve">If the assembled battery is of a type that has been verified as preventing: </w:t>
      </w:r>
    </w:p>
    <w:p w:rsidR="003615AB" w:rsidRPr="00D821A0" w:rsidRDefault="003615AB" w:rsidP="00D821A0">
      <w:pPr>
        <w:pStyle w:val="SingleTxtG"/>
        <w:spacing w:after="0"/>
        <w:ind w:left="1701"/>
        <w:rPr>
          <w:i/>
        </w:rPr>
      </w:pPr>
      <w:r w:rsidRPr="00D821A0">
        <w:rPr>
          <w:i/>
        </w:rPr>
        <w:t>(i)</w:t>
      </w:r>
      <w:r w:rsidRPr="00D821A0">
        <w:rPr>
          <w:i/>
        </w:rPr>
        <w:tab/>
        <w:t xml:space="preserve">Overcharge; </w:t>
      </w:r>
    </w:p>
    <w:p w:rsidR="003615AB" w:rsidRPr="00D821A0" w:rsidRDefault="003615AB" w:rsidP="00D821A0">
      <w:pPr>
        <w:pStyle w:val="SingleTxtG"/>
        <w:spacing w:after="0"/>
        <w:ind w:left="1701"/>
        <w:rPr>
          <w:i/>
        </w:rPr>
      </w:pPr>
      <w:r w:rsidRPr="00D821A0">
        <w:rPr>
          <w:i/>
        </w:rPr>
        <w:t>(ii)</w:t>
      </w:r>
      <w:r w:rsidRPr="00D821A0">
        <w:rPr>
          <w:i/>
        </w:rPr>
        <w:tab/>
        <w:t xml:space="preserve">Short circuits; and </w:t>
      </w:r>
    </w:p>
    <w:p w:rsidR="003615AB" w:rsidRPr="00D821A0" w:rsidRDefault="003615AB" w:rsidP="003615AB">
      <w:pPr>
        <w:pStyle w:val="SingleTxtG"/>
        <w:ind w:left="1701"/>
        <w:rPr>
          <w:i/>
        </w:rPr>
      </w:pPr>
      <w:r w:rsidRPr="00D821A0">
        <w:rPr>
          <w:i/>
        </w:rPr>
        <w:t>(iii)</w:t>
      </w:r>
      <w:r w:rsidRPr="00D821A0">
        <w:rPr>
          <w:i/>
        </w:rPr>
        <w:tab/>
        <w:t>Over discharge between the batteries.</w:t>
      </w:r>
    </w:p>
    <w:p w:rsidR="003615AB" w:rsidRPr="00D821A0" w:rsidRDefault="003615AB" w:rsidP="003615AB">
      <w:pPr>
        <w:pStyle w:val="SingleTxtG"/>
        <w:rPr>
          <w:i/>
        </w:rPr>
      </w:pPr>
      <w:proofErr w:type="gramStart"/>
      <w:r w:rsidRPr="00EF2646">
        <w:rPr>
          <w:vertAlign w:val="superscript"/>
        </w:rPr>
        <w:t>d</w:t>
      </w:r>
      <w:proofErr w:type="gramEnd"/>
      <w:r w:rsidRPr="00EF2646">
        <w:tab/>
      </w:r>
      <w:r w:rsidRPr="00D821A0">
        <w:rPr>
          <w:i/>
        </w:rPr>
        <w:t>the sum represents the number of tests required, not the number of cells or batteries tested.</w:t>
      </w:r>
    </w:p>
    <w:p w:rsidR="004E08C4" w:rsidRPr="00023052" w:rsidRDefault="003615AB" w:rsidP="009B782E">
      <w:pPr>
        <w:spacing w:before="120" w:after="120" w:line="240" w:lineRule="auto"/>
        <w:ind w:left="1134" w:right="1134"/>
        <w:jc w:val="both"/>
        <w:rPr>
          <w:i/>
          <w:iCs/>
        </w:rPr>
      </w:pPr>
      <w:r w:rsidRPr="00023052">
        <w:rPr>
          <w:i/>
          <w:iCs/>
        </w:rPr>
        <w:t>(</w:t>
      </w:r>
      <w:r w:rsidR="006231F3" w:rsidRPr="00EF2646">
        <w:rPr>
          <w:i/>
          <w:iCs/>
        </w:rPr>
        <w:t>Reference</w:t>
      </w:r>
      <w:r w:rsidRPr="00023052">
        <w:rPr>
          <w:i/>
          <w:iCs/>
        </w:rPr>
        <w:t xml:space="preserve"> document: ST/SG/AC.10/C.3/2016/46, proposal 3, option 1 as amended in informal document INF.70</w:t>
      </w:r>
      <w:r w:rsidR="0064594C" w:rsidRPr="00EF2646">
        <w:rPr>
          <w:i/>
          <w:iCs/>
        </w:rPr>
        <w:t xml:space="preserve"> as amended</w:t>
      </w:r>
      <w:r w:rsidRPr="00023052">
        <w:rPr>
          <w:i/>
          <w:iCs/>
        </w:rPr>
        <w:t>)</w:t>
      </w:r>
    </w:p>
    <w:p w:rsidR="009B782E" w:rsidRPr="00EF2646" w:rsidRDefault="009B782E" w:rsidP="009B782E">
      <w:pPr>
        <w:spacing w:before="120" w:after="120" w:line="240" w:lineRule="auto"/>
        <w:ind w:left="1134" w:right="1134"/>
        <w:jc w:val="both"/>
      </w:pPr>
      <w:r w:rsidRPr="00EF2646">
        <w:t>51.2.2</w:t>
      </w:r>
      <w:r w:rsidRPr="00EF2646">
        <w:tab/>
        <w:t>At the end of the sentence, before the indents, add “, in that state”.</w:t>
      </w:r>
    </w:p>
    <w:p w:rsidR="009B782E" w:rsidRPr="00EF2646" w:rsidRDefault="009B782E" w:rsidP="009B782E">
      <w:pPr>
        <w:spacing w:before="120" w:after="120" w:line="240" w:lineRule="auto"/>
        <w:ind w:left="1134" w:right="1134"/>
        <w:jc w:val="both"/>
      </w:pPr>
      <w:r w:rsidRPr="00EF2646">
        <w:t>51.2.2 (</w:t>
      </w:r>
      <w:proofErr w:type="gramStart"/>
      <w:r w:rsidRPr="00EF2646">
        <w:t>a</w:t>
      </w:r>
      <w:proofErr w:type="gramEnd"/>
      <w:r w:rsidRPr="00EF2646">
        <w:t>)</w:t>
      </w:r>
      <w:r w:rsidRPr="00EF2646">
        <w:tab/>
        <w:t>Amend to read as follows:</w:t>
      </w:r>
    </w:p>
    <w:p w:rsidR="009B782E" w:rsidRPr="00EF2646" w:rsidRDefault="009B782E" w:rsidP="009B782E">
      <w:pPr>
        <w:spacing w:before="120" w:after="120" w:line="240" w:lineRule="auto"/>
        <w:ind w:left="1134" w:right="1134"/>
        <w:jc w:val="both"/>
      </w:pPr>
      <w:r w:rsidRPr="00EF2646">
        <w:t>“</w:t>
      </w:r>
      <w:r w:rsidR="00E62344" w:rsidRPr="00EF2646">
        <w:t>(</w:t>
      </w:r>
      <w:proofErr w:type="gramStart"/>
      <w:r w:rsidR="00E62344" w:rsidRPr="00EF2646">
        <w:t>a</w:t>
      </w:r>
      <w:proofErr w:type="gramEnd"/>
      <w:r w:rsidR="00E62344" w:rsidRPr="00EF2646">
        <w:t>)</w:t>
      </w:r>
      <w:r w:rsidR="00E62344" w:rsidRPr="00EF2646">
        <w:tab/>
      </w:r>
      <w:r w:rsidRPr="00EF2646">
        <w:t xml:space="preserve">They are intended to produce a practical explosive or pyrotechnic effect;”. </w:t>
      </w:r>
    </w:p>
    <w:p w:rsidR="0093325E" w:rsidRPr="00EF2646" w:rsidRDefault="0093325E" w:rsidP="009B782E">
      <w:pPr>
        <w:spacing w:before="120" w:after="120" w:line="240" w:lineRule="auto"/>
        <w:ind w:left="1134" w:right="1134"/>
        <w:jc w:val="both"/>
      </w:pPr>
      <w:r w:rsidRPr="00EF2646">
        <w:t>51.2.2 (</w:t>
      </w:r>
      <w:proofErr w:type="gramStart"/>
      <w:r w:rsidRPr="00EF2646">
        <w:t>b</w:t>
      </w:r>
      <w:proofErr w:type="gramEnd"/>
      <w:r w:rsidRPr="00EF2646">
        <w:t>)</w:t>
      </w:r>
      <w:r w:rsidRPr="00EF2646">
        <w:tab/>
        <w:t>Replace “or their corrected burning” by “or the corrected burning”.</w:t>
      </w:r>
    </w:p>
    <w:p w:rsidR="0093325E" w:rsidRPr="00EF2646" w:rsidRDefault="00174AF1" w:rsidP="009B782E">
      <w:pPr>
        <w:spacing w:before="120" w:after="120" w:line="240" w:lineRule="auto"/>
        <w:ind w:left="1134" w:right="1134"/>
        <w:jc w:val="both"/>
      </w:pPr>
      <w:r w:rsidRPr="00EF2646">
        <w:t xml:space="preserve">51.2.2 (c) </w:t>
      </w:r>
      <w:r w:rsidRPr="00EF2646">
        <w:tab/>
        <w:t xml:space="preserve">Replace “Their exothermic” by “The exothermic”. </w:t>
      </w:r>
    </w:p>
    <w:p w:rsidR="00174AF1" w:rsidRPr="00EF2646" w:rsidRDefault="00174AF1" w:rsidP="009B782E">
      <w:pPr>
        <w:spacing w:before="120" w:after="120" w:line="240" w:lineRule="auto"/>
        <w:ind w:left="1134" w:right="1134"/>
        <w:jc w:val="both"/>
        <w:rPr>
          <w:i/>
          <w:iCs/>
        </w:rPr>
      </w:pPr>
      <w:r w:rsidRPr="00EF2646">
        <w:rPr>
          <w:i/>
          <w:iCs/>
        </w:rPr>
        <w:t xml:space="preserve">(Reference document: </w:t>
      </w:r>
      <w:r w:rsidR="008D2409">
        <w:rPr>
          <w:i/>
          <w:iCs/>
        </w:rPr>
        <w:t>informal</w:t>
      </w:r>
      <w:r w:rsidRPr="00EF2646">
        <w:rPr>
          <w:i/>
          <w:iCs/>
        </w:rPr>
        <w:t xml:space="preserve"> Document INF.66, annex 3, amendment 7)</w:t>
      </w:r>
    </w:p>
    <w:p w:rsidR="008C3097" w:rsidRPr="00EF2646" w:rsidRDefault="008C3097" w:rsidP="008C3097">
      <w:pPr>
        <w:pStyle w:val="SingleTxtG"/>
        <w:spacing w:line="240" w:lineRule="auto"/>
        <w:ind w:left="567" w:right="39" w:firstLine="567"/>
      </w:pPr>
      <w:r w:rsidRPr="00EF2646">
        <w:rPr>
          <w:bCs/>
        </w:rPr>
        <w:t>Appendix 6, Section 2.3</w:t>
      </w:r>
      <w:r w:rsidRPr="00EF2646">
        <w:rPr>
          <w:b/>
        </w:rPr>
        <w:t xml:space="preserve"> </w:t>
      </w:r>
      <w:r w:rsidRPr="00EF2646">
        <w:rPr>
          <w:bCs/>
        </w:rPr>
        <w:t>A</w:t>
      </w:r>
      <w:r w:rsidRPr="00EF2646">
        <w:t>mend to read as follows:</w:t>
      </w:r>
    </w:p>
    <w:p w:rsidR="008C3097" w:rsidRPr="00EF2646" w:rsidRDefault="008C3097" w:rsidP="008C3097">
      <w:pPr>
        <w:pStyle w:val="SingleTxtG"/>
        <w:ind w:right="1719"/>
      </w:pPr>
      <w:r w:rsidRPr="00EF2646">
        <w:t>“</w:t>
      </w:r>
      <w:r w:rsidR="00E62344" w:rsidRPr="00EF2646">
        <w:t>2.3</w:t>
      </w:r>
      <w:r w:rsidR="00E62344" w:rsidRPr="00EF2646">
        <w:tab/>
      </w:r>
      <w:r w:rsidRPr="00EF2646">
        <w:t>The remarks 1.1.2 from section 1 "General introduction" are emphasized that technical competence on the part of the testing body is assumed</w:t>
      </w:r>
      <w:r w:rsidR="00E62344" w:rsidRPr="00EF2646">
        <w:t>.</w:t>
      </w:r>
      <w:proofErr w:type="gramStart"/>
      <w:r w:rsidRPr="00EF2646">
        <w:t>”.</w:t>
      </w:r>
      <w:proofErr w:type="gramEnd"/>
    </w:p>
    <w:p w:rsidR="008C3097" w:rsidRPr="00EF2646" w:rsidRDefault="00580B9F" w:rsidP="009B782E">
      <w:pPr>
        <w:spacing w:before="120" w:after="120" w:line="240" w:lineRule="auto"/>
        <w:ind w:left="1134" w:right="1134"/>
        <w:jc w:val="both"/>
        <w:rPr>
          <w:i/>
          <w:iCs/>
        </w:rPr>
      </w:pPr>
      <w:r w:rsidRPr="00EF2646">
        <w:rPr>
          <w:i/>
          <w:iCs/>
        </w:rPr>
        <w:t xml:space="preserve">(Reference document: </w:t>
      </w:r>
      <w:r w:rsidR="008D2409">
        <w:rPr>
          <w:i/>
          <w:iCs/>
        </w:rPr>
        <w:t>informal</w:t>
      </w:r>
      <w:r w:rsidRPr="00EF2646">
        <w:rPr>
          <w:i/>
          <w:iCs/>
        </w:rPr>
        <w:t xml:space="preserve"> Document INF.66, annex 3, amendment 6)</w:t>
      </w:r>
    </w:p>
    <w:p w:rsidR="00CD512A" w:rsidRPr="00EF2646" w:rsidRDefault="00CD512A" w:rsidP="007734D9">
      <w:pPr>
        <w:pStyle w:val="SingleTxtG"/>
        <w:rPr>
          <w:iCs/>
        </w:rPr>
      </w:pPr>
      <w:r w:rsidRPr="00EF2646">
        <w:rPr>
          <w:b/>
          <w:iCs/>
        </w:rPr>
        <w:t>In document ST/SG/AC.10/C.3/96/Add.1</w:t>
      </w:r>
      <w:r w:rsidRPr="00EF2646">
        <w:rPr>
          <w:iCs/>
        </w:rPr>
        <w:t>, annex I, appendix 7, delete the brackets.</w:t>
      </w:r>
    </w:p>
    <w:p w:rsidR="00E62344" w:rsidRPr="00EF2646" w:rsidRDefault="00E62344">
      <w:pPr>
        <w:suppressAutoHyphens w:val="0"/>
        <w:spacing w:line="240" w:lineRule="auto"/>
        <w:rPr>
          <w:b/>
          <w:sz w:val="28"/>
        </w:rPr>
      </w:pPr>
      <w:r w:rsidRPr="00EF2646">
        <w:br w:type="page"/>
      </w:r>
    </w:p>
    <w:p w:rsidR="0059658B" w:rsidRPr="00EF2646" w:rsidRDefault="0059658B" w:rsidP="0059658B">
      <w:pPr>
        <w:pStyle w:val="HChG"/>
      </w:pPr>
      <w:r w:rsidRPr="00EF2646">
        <w:lastRenderedPageBreak/>
        <w:t>Annex I</w:t>
      </w:r>
      <w:r w:rsidR="008319EF" w:rsidRPr="00EF2646">
        <w:t>I</w:t>
      </w:r>
    </w:p>
    <w:p w:rsidR="00D86A46" w:rsidRPr="00EF2646" w:rsidRDefault="0059658B" w:rsidP="00CA28C0">
      <w:pPr>
        <w:pStyle w:val="HChG"/>
      </w:pPr>
      <w:r w:rsidRPr="00EF2646">
        <w:tab/>
      </w:r>
      <w:r w:rsidR="00D86A46" w:rsidRPr="00EF2646">
        <w:tab/>
      </w:r>
      <w:r w:rsidR="00CA28C0" w:rsidRPr="00EF2646">
        <w:t xml:space="preserve">Draft amendments to the </w:t>
      </w:r>
      <w:r w:rsidR="001571CC" w:rsidRPr="00EF2646">
        <w:t>nineteenth</w:t>
      </w:r>
      <w:r w:rsidR="00CA28C0" w:rsidRPr="00EF2646">
        <w:t xml:space="preserve"> revised edition of the UN Recommendations on the Transport of Dangerous Goods</w:t>
      </w:r>
      <w:proofErr w:type="gramStart"/>
      <w:r w:rsidR="00CA28C0" w:rsidRPr="00EF2646">
        <w:t>,</w:t>
      </w:r>
      <w:proofErr w:type="gramEnd"/>
      <w:r w:rsidR="00CA28C0" w:rsidRPr="00EF2646">
        <w:br/>
        <w:t>Model Regulations (ST/SG/AC.10/1/Rev.19)</w:t>
      </w:r>
    </w:p>
    <w:p w:rsidR="0054256C" w:rsidRPr="00EF2646" w:rsidRDefault="00D86A46" w:rsidP="0063376C">
      <w:pPr>
        <w:pStyle w:val="H23G"/>
      </w:pPr>
      <w:r w:rsidRPr="00EF2646">
        <w:tab/>
      </w:r>
      <w:r w:rsidRPr="00EF2646">
        <w:tab/>
      </w:r>
      <w:r w:rsidR="0054256C" w:rsidRPr="00EF2646">
        <w:t>Recommendations</w:t>
      </w:r>
    </w:p>
    <w:p w:rsidR="0054256C" w:rsidRPr="00750128" w:rsidRDefault="0054256C" w:rsidP="00750128">
      <w:pPr>
        <w:pStyle w:val="SingleTxtG"/>
      </w:pPr>
      <w:r w:rsidRPr="00750128">
        <w:t>Paragraph 6</w:t>
      </w:r>
      <w:r w:rsidRPr="00750128">
        <w:tab/>
        <w:t xml:space="preserve">In the first </w:t>
      </w:r>
      <w:proofErr w:type="gramStart"/>
      <w:r w:rsidRPr="00750128">
        <w:t>sentence,</w:t>
      </w:r>
      <w:proofErr w:type="gramEnd"/>
      <w:r w:rsidRPr="00750128">
        <w:t xml:space="preserve"> replace “risk</w:t>
      </w:r>
      <w:r w:rsidR="000509A1" w:rsidRPr="00750128">
        <w:t>”</w:t>
      </w:r>
      <w:r w:rsidRPr="00750128">
        <w:t xml:space="preserve"> by “hazard”.</w:t>
      </w:r>
    </w:p>
    <w:p w:rsidR="000509A1" w:rsidRPr="00EF2646" w:rsidRDefault="000509A1" w:rsidP="000509A1">
      <w:pPr>
        <w:pStyle w:val="SingleTxtG"/>
      </w:pPr>
      <w:r w:rsidRPr="00EF2646">
        <w:t xml:space="preserve">Paragraph 11 </w:t>
      </w:r>
      <w:proofErr w:type="gramStart"/>
      <w:r w:rsidRPr="00EF2646">
        <w:t>In</w:t>
      </w:r>
      <w:proofErr w:type="gramEnd"/>
      <w:r w:rsidRPr="00EF2646">
        <w:t xml:space="preserve"> the first sentence, replace “risk” by “hazard”.</w:t>
      </w:r>
    </w:p>
    <w:p w:rsidR="0092228A" w:rsidRPr="00EF2646" w:rsidRDefault="000509A1" w:rsidP="000509A1">
      <w:pPr>
        <w:pStyle w:val="SingleTxtG"/>
      </w:pPr>
      <w:r w:rsidRPr="00EF2646">
        <w:t>Paragraph 12</w:t>
      </w:r>
      <w:r w:rsidRPr="00EF2646">
        <w:tab/>
        <w:t>In the first sentence, replace “</w:t>
      </w:r>
      <w:r w:rsidR="00EB358B" w:rsidRPr="00EF2646">
        <w:t xml:space="preserve">potential </w:t>
      </w:r>
      <w:r w:rsidRPr="00EF2646">
        <w:t>risk” by “</w:t>
      </w:r>
      <w:r w:rsidR="00EB358B" w:rsidRPr="00EF2646">
        <w:t xml:space="preserve">[potential] </w:t>
      </w:r>
      <w:r w:rsidRPr="00EF2646">
        <w:t>hazard”.</w:t>
      </w:r>
    </w:p>
    <w:p w:rsidR="000509A1" w:rsidRPr="00EF2646" w:rsidRDefault="0092228A" w:rsidP="0092228A">
      <w:pPr>
        <w:pStyle w:val="SingleTxtG"/>
      </w:pPr>
      <w:r w:rsidRPr="00EF2646">
        <w:rPr>
          <w:i/>
          <w:iCs/>
        </w:rPr>
        <w:t>(Reference document: ST/SG/AC.10/C.3/2016/16)</w:t>
      </w:r>
    </w:p>
    <w:p w:rsidR="0063376C" w:rsidRPr="00EF2646" w:rsidRDefault="0054256C" w:rsidP="0063376C">
      <w:pPr>
        <w:pStyle w:val="H23G"/>
      </w:pPr>
      <w:r w:rsidRPr="00EF2646">
        <w:tab/>
      </w:r>
      <w:r w:rsidRPr="00EF2646">
        <w:tab/>
      </w:r>
      <w:r w:rsidR="0063376C" w:rsidRPr="00EF2646">
        <w:t>Chapter 1.4</w:t>
      </w:r>
    </w:p>
    <w:p w:rsidR="00EE4906" w:rsidRPr="00EF2646" w:rsidRDefault="00EE4906" w:rsidP="0063376C">
      <w:pPr>
        <w:pStyle w:val="SingleTxtG"/>
      </w:pPr>
      <w:r w:rsidRPr="00EF2646">
        <w:t>1.4.3.1.5</w:t>
      </w:r>
      <w:r w:rsidRPr="00EF2646">
        <w:tab/>
        <w:t>In the first sentence, replace “</w:t>
      </w:r>
      <w:r w:rsidR="00A20605" w:rsidRPr="00EF2646">
        <w:t xml:space="preserve">subsidiary </w:t>
      </w:r>
      <w:r w:rsidRPr="00EF2646">
        <w:t>risks” by “</w:t>
      </w:r>
      <w:r w:rsidR="00A20605" w:rsidRPr="00EF2646">
        <w:t xml:space="preserve">subsidiary </w:t>
      </w:r>
      <w:r w:rsidRPr="00EF2646">
        <w:t>hazards”.</w:t>
      </w:r>
    </w:p>
    <w:p w:rsidR="006E2CE7" w:rsidRPr="00EF2646" w:rsidRDefault="006E2CE7" w:rsidP="0063376C">
      <w:pPr>
        <w:pStyle w:val="SingleTxtG"/>
      </w:pPr>
      <w:r w:rsidRPr="00EF2646">
        <w:rPr>
          <w:i/>
          <w:iCs/>
        </w:rPr>
        <w:t>(Reference document: ST/SG/AC.10/C.3/2016/16)</w:t>
      </w:r>
    </w:p>
    <w:p w:rsidR="0063376C" w:rsidRPr="00EF2646" w:rsidRDefault="00BD2BAB" w:rsidP="0063376C">
      <w:pPr>
        <w:pStyle w:val="SingleTxtG"/>
      </w:pPr>
      <w:r w:rsidRPr="00EF2646">
        <w:t>[</w:t>
      </w:r>
      <w:r w:rsidR="0063376C" w:rsidRPr="00EF2646">
        <w:t>1.4.3.2.1</w:t>
      </w:r>
      <w:r w:rsidR="0063376C" w:rsidRPr="00EF2646">
        <w:tab/>
        <w:t>At the end, insert the following note between square brackets:</w:t>
      </w:r>
    </w:p>
    <w:p w:rsidR="0063376C" w:rsidRPr="00EF2646" w:rsidRDefault="00BD2BAB" w:rsidP="0063376C">
      <w:pPr>
        <w:pStyle w:val="SingleTxtG"/>
        <w:rPr>
          <w:i/>
        </w:rPr>
      </w:pPr>
      <w:r w:rsidRPr="00EF2646">
        <w:t xml:space="preserve"> </w:t>
      </w:r>
      <w:r w:rsidR="0063376C" w:rsidRPr="00EF2646">
        <w:t>“</w:t>
      </w:r>
      <w:r w:rsidR="0063376C" w:rsidRPr="00EF2646">
        <w:rPr>
          <w:b/>
          <w:i/>
        </w:rPr>
        <w:t>NOTE</w:t>
      </w:r>
      <w:r w:rsidR="0063376C" w:rsidRPr="00EF2646">
        <w:rPr>
          <w:i/>
        </w:rPr>
        <w:t>: In addition to the security provisions of these Regulations, competent authorities may implement further security provisions for reasons other than safety of dangerous goods during transport. In order to not impede international and multimodal transport by different explosives security markings, it is recommended that such markings be formatted consistent with an internationally harmonized standard (e.g. European Union Commission Directive 2008/43/EC).</w:t>
      </w:r>
      <w:r w:rsidR="0063376C" w:rsidRPr="00EF2646">
        <w:t>”.</w:t>
      </w:r>
      <w:r w:rsidRPr="00EF2646">
        <w:t>]</w:t>
      </w:r>
    </w:p>
    <w:p w:rsidR="0063376C" w:rsidRPr="00EF2646" w:rsidRDefault="0063376C" w:rsidP="0063376C">
      <w:pPr>
        <w:ind w:left="1134"/>
        <w:rPr>
          <w:i/>
          <w:iCs/>
        </w:rPr>
      </w:pPr>
      <w:r w:rsidRPr="00EF2646">
        <w:rPr>
          <w:i/>
          <w:iCs/>
        </w:rPr>
        <w:t xml:space="preserve">(Reference document: </w:t>
      </w:r>
      <w:r w:rsidR="008D2409">
        <w:rPr>
          <w:i/>
          <w:iCs/>
        </w:rPr>
        <w:t>informal</w:t>
      </w:r>
      <w:r w:rsidRPr="00EF2646">
        <w:rPr>
          <w:i/>
          <w:iCs/>
        </w:rPr>
        <w:t xml:space="preserve"> document INF.67)</w:t>
      </w:r>
    </w:p>
    <w:p w:rsidR="004A2554" w:rsidRPr="00EF2646" w:rsidRDefault="004A2554" w:rsidP="0063376C">
      <w:pPr>
        <w:ind w:left="1134"/>
        <w:rPr>
          <w:i/>
          <w:iCs/>
        </w:rPr>
      </w:pPr>
    </w:p>
    <w:p w:rsidR="004A2554" w:rsidRPr="00EF2646" w:rsidRDefault="004A2554" w:rsidP="004A2554">
      <w:pPr>
        <w:pStyle w:val="SingleTxtG"/>
        <w:rPr>
          <w:b/>
          <w:bCs/>
        </w:rPr>
      </w:pPr>
      <w:r w:rsidRPr="00EF2646">
        <w:rPr>
          <w:b/>
          <w:bCs/>
        </w:rPr>
        <w:t>Chapter 1.5</w:t>
      </w:r>
    </w:p>
    <w:p w:rsidR="004A2554" w:rsidRPr="00EF2646" w:rsidRDefault="00A20605">
      <w:pPr>
        <w:pStyle w:val="SingleTxtG"/>
      </w:pPr>
      <w:r w:rsidRPr="00EF2646">
        <w:t xml:space="preserve">Figure 1, </w:t>
      </w:r>
      <w:r w:rsidR="004A2554" w:rsidRPr="00EF2646">
        <w:t>1.5.2,</w:t>
      </w:r>
      <w:r w:rsidR="004A2554" w:rsidRPr="00EF2646">
        <w:tab/>
        <w:t xml:space="preserve">Replace </w:t>
      </w:r>
      <w:r w:rsidR="0012252A" w:rsidRPr="00EF2646">
        <w:t>“</w:t>
      </w:r>
      <w:r w:rsidR="0012252A">
        <w:t>subsidiary</w:t>
      </w:r>
      <w:r w:rsidR="00E70F9D">
        <w:t xml:space="preserve"> </w:t>
      </w:r>
      <w:r w:rsidR="004A2554" w:rsidRPr="00EF2646">
        <w:t>risk(s)” by “</w:t>
      </w:r>
      <w:r w:rsidR="00E70F9D">
        <w:t xml:space="preserve">subsidiary </w:t>
      </w:r>
      <w:r w:rsidR="004A2554" w:rsidRPr="00EF2646">
        <w:t>hazard(s)”.</w:t>
      </w:r>
      <w:r w:rsidR="004A2554" w:rsidRPr="00EF2646">
        <w:tab/>
      </w:r>
    </w:p>
    <w:p w:rsidR="006E2CE7" w:rsidRPr="00EF2646" w:rsidRDefault="006E2CE7" w:rsidP="004A2554">
      <w:pPr>
        <w:pStyle w:val="SingleTxtG"/>
      </w:pPr>
      <w:r w:rsidRPr="00EF2646">
        <w:rPr>
          <w:i/>
          <w:iCs/>
        </w:rPr>
        <w:t>(Reference document: ST/SG/AC.10/C.3/2016/16)</w:t>
      </w:r>
    </w:p>
    <w:p w:rsidR="00A80E85" w:rsidRPr="00EF2646" w:rsidRDefault="00A80E85" w:rsidP="004A2554">
      <w:pPr>
        <w:pStyle w:val="SingleTxtG"/>
      </w:pPr>
      <w:r w:rsidRPr="00EF2646">
        <w:t>1.5.5.1</w:t>
      </w:r>
      <w:r w:rsidRPr="00EF2646">
        <w:tab/>
      </w:r>
      <w:r w:rsidRPr="00EF2646">
        <w:tab/>
        <w:t>In the first sentence, replace “</w:t>
      </w:r>
      <w:r w:rsidR="00A20605" w:rsidRPr="00EF2646">
        <w:t xml:space="preserve">subsidiary </w:t>
      </w:r>
      <w:r w:rsidRPr="00EF2646">
        <w:t>risk” by “</w:t>
      </w:r>
      <w:r w:rsidR="00A20605" w:rsidRPr="00EF2646">
        <w:t xml:space="preserve">subsidiary </w:t>
      </w:r>
      <w:r w:rsidRPr="00EF2646">
        <w:t>hazard”.</w:t>
      </w:r>
    </w:p>
    <w:p w:rsidR="006E2CE7" w:rsidRPr="00EF2646" w:rsidRDefault="006E2CE7" w:rsidP="004A2554">
      <w:pPr>
        <w:pStyle w:val="SingleTxtG"/>
        <w:rPr>
          <w:i/>
          <w:iCs/>
        </w:rPr>
      </w:pPr>
      <w:r w:rsidRPr="00EF2646">
        <w:rPr>
          <w:i/>
          <w:iCs/>
        </w:rPr>
        <w:t>(Reference document: ST/SG/AC.10/C.3/2016/16)</w:t>
      </w:r>
    </w:p>
    <w:p w:rsidR="00BF328F" w:rsidRPr="00EF2646" w:rsidRDefault="00BF328F" w:rsidP="0063376C">
      <w:pPr>
        <w:pStyle w:val="H23G"/>
        <w:ind w:left="2268"/>
      </w:pPr>
      <w:r w:rsidRPr="00EF2646">
        <w:t>Chapter 2.0</w:t>
      </w:r>
    </w:p>
    <w:p w:rsidR="0077077B" w:rsidRPr="00EF2646" w:rsidRDefault="0077077B" w:rsidP="00BF328F">
      <w:pPr>
        <w:pStyle w:val="SingleTxtG"/>
      </w:pPr>
      <w:r w:rsidRPr="00EF2646">
        <w:t>2.0.0.2</w:t>
      </w:r>
      <w:r w:rsidRPr="00EF2646">
        <w:tab/>
      </w:r>
      <w:r w:rsidRPr="00EF2646">
        <w:tab/>
        <w:t>In the second indent, replace “risk(s)” by “hazard(s)”.</w:t>
      </w:r>
      <w:r w:rsidRPr="00EF2646">
        <w:tab/>
      </w:r>
    </w:p>
    <w:p w:rsidR="0077077B" w:rsidRPr="00EF2646" w:rsidRDefault="0077077B" w:rsidP="0077077B">
      <w:pPr>
        <w:pStyle w:val="SingleTxtG"/>
        <w:rPr>
          <w:i/>
          <w:iCs/>
        </w:rPr>
      </w:pPr>
      <w:r w:rsidRPr="00EF2646">
        <w:rPr>
          <w:i/>
          <w:iCs/>
        </w:rPr>
        <w:t>(Reference document: ST/SG/AC.10/C.3/2016/16)</w:t>
      </w:r>
    </w:p>
    <w:p w:rsidR="004C5AE2" w:rsidRPr="00EF2646" w:rsidRDefault="004C5AE2" w:rsidP="00D215B8">
      <w:pPr>
        <w:pStyle w:val="SingleTxtG"/>
      </w:pPr>
      <w:r w:rsidRPr="00EF2646">
        <w:t>2.0.1.5</w:t>
      </w:r>
      <w:r w:rsidRPr="00EF2646">
        <w:tab/>
        <w:t xml:space="preserve"> </w:t>
      </w:r>
      <w:r w:rsidRPr="00EF2646">
        <w:tab/>
        <w:t xml:space="preserve">In the </w:t>
      </w:r>
      <w:r w:rsidR="0042151D" w:rsidRPr="00EF2646">
        <w:t xml:space="preserve">end of the </w:t>
      </w:r>
      <w:r w:rsidR="00D215B8" w:rsidRPr="00EF2646">
        <w:t>last sentence</w:t>
      </w:r>
      <w:r w:rsidRPr="00EF2646">
        <w:t xml:space="preserve">, replace </w:t>
      </w:r>
      <w:r w:rsidR="00D215B8" w:rsidRPr="00EF2646">
        <w:t>“risk(s)” by “hazard(s)”.</w:t>
      </w:r>
      <w:r w:rsidR="00D215B8" w:rsidRPr="00EF2646">
        <w:tab/>
      </w:r>
    </w:p>
    <w:p w:rsidR="004C5AE2" w:rsidRPr="00EF2646" w:rsidRDefault="004C5AE2" w:rsidP="004C5AE2">
      <w:pPr>
        <w:pStyle w:val="SingleTxtG"/>
        <w:rPr>
          <w:i/>
          <w:iCs/>
        </w:rPr>
      </w:pPr>
      <w:r w:rsidRPr="00EF2646">
        <w:rPr>
          <w:i/>
          <w:iCs/>
        </w:rPr>
        <w:t>(Reference document: ST/SG/AC.10/C.3/2016/16)</w:t>
      </w:r>
    </w:p>
    <w:p w:rsidR="0042151D" w:rsidRPr="00EF2646" w:rsidRDefault="0077077B" w:rsidP="0042151D">
      <w:pPr>
        <w:pStyle w:val="SingleTxtG"/>
      </w:pPr>
      <w:r w:rsidRPr="00EF2646">
        <w:t>2.0.1.6</w:t>
      </w:r>
      <w:r w:rsidR="0042151D" w:rsidRPr="00EF2646">
        <w:tab/>
      </w:r>
      <w:r w:rsidR="0042151D" w:rsidRPr="00EF2646">
        <w:tab/>
        <w:t>In the end of the last sentence, replace “risk(s)” by “hazard(s)”.</w:t>
      </w:r>
      <w:r w:rsidR="0042151D" w:rsidRPr="00EF2646">
        <w:tab/>
      </w:r>
    </w:p>
    <w:p w:rsidR="0042151D" w:rsidRPr="00EF2646" w:rsidRDefault="0042151D" w:rsidP="0042151D">
      <w:pPr>
        <w:pStyle w:val="SingleTxtG"/>
        <w:rPr>
          <w:i/>
          <w:iCs/>
        </w:rPr>
      </w:pPr>
      <w:r w:rsidRPr="00EF2646">
        <w:rPr>
          <w:i/>
          <w:iCs/>
        </w:rPr>
        <w:t>(Reference document: ST/SG/AC.10/C.3/2016/16)</w:t>
      </w:r>
    </w:p>
    <w:p w:rsidR="00243F85" w:rsidRPr="00EF2646" w:rsidRDefault="00243F85" w:rsidP="00243F85">
      <w:pPr>
        <w:pStyle w:val="SingleTxtG"/>
      </w:pPr>
      <w:r w:rsidRPr="00EF2646">
        <w:t>2.0.2.2</w:t>
      </w:r>
      <w:r w:rsidRPr="00EF2646">
        <w:tab/>
      </w:r>
      <w:r w:rsidRPr="00EF2646">
        <w:tab/>
        <w:t>In the second paragraph, replace “risk(s)” by “hazard(s)”.</w:t>
      </w:r>
      <w:r w:rsidRPr="00EF2646">
        <w:tab/>
      </w:r>
    </w:p>
    <w:p w:rsidR="00243F85" w:rsidRPr="00EF2646" w:rsidRDefault="00243F85" w:rsidP="00243F85">
      <w:pPr>
        <w:pStyle w:val="SingleTxtG"/>
        <w:rPr>
          <w:i/>
          <w:iCs/>
        </w:rPr>
      </w:pPr>
      <w:r w:rsidRPr="00EF2646">
        <w:rPr>
          <w:i/>
          <w:iCs/>
        </w:rPr>
        <w:t>(Reference document: ST/SG/AC.10/C.3/2016/16)</w:t>
      </w:r>
    </w:p>
    <w:p w:rsidR="005C48BE" w:rsidRPr="00EF2646" w:rsidRDefault="005C48BE" w:rsidP="00243F85">
      <w:pPr>
        <w:pStyle w:val="SingleTxtG"/>
      </w:pPr>
      <w:r w:rsidRPr="00EF2646">
        <w:t>2.0.2.5 (c)</w:t>
      </w:r>
      <w:r w:rsidRPr="00EF2646">
        <w:tab/>
        <w:t>Replace “risk(s)” by “hazard(s)”.</w:t>
      </w:r>
    </w:p>
    <w:p w:rsidR="005C48BE" w:rsidRPr="00EF2646" w:rsidRDefault="005C48BE" w:rsidP="005C48BE">
      <w:pPr>
        <w:pStyle w:val="SingleTxtG"/>
        <w:rPr>
          <w:i/>
          <w:iCs/>
        </w:rPr>
      </w:pPr>
      <w:r w:rsidRPr="00EF2646">
        <w:rPr>
          <w:i/>
          <w:iCs/>
        </w:rPr>
        <w:lastRenderedPageBreak/>
        <w:t>(Reference document: ST/SG/AC.10/C.3/2016/16)</w:t>
      </w:r>
    </w:p>
    <w:p w:rsidR="005C48BE" w:rsidRPr="00EF2646" w:rsidRDefault="005C48BE" w:rsidP="00243F85">
      <w:pPr>
        <w:pStyle w:val="SingleTxtG"/>
      </w:pPr>
      <w:r w:rsidRPr="00EF2646">
        <w:t>2.0.2.9</w:t>
      </w:r>
      <w:r w:rsidRPr="00EF2646">
        <w:tab/>
      </w:r>
      <w:r w:rsidRPr="00EF2646">
        <w:tab/>
        <w:t>At the end, replace “risk(s)” by “hazard(s)”.</w:t>
      </w:r>
    </w:p>
    <w:p w:rsidR="005C48BE" w:rsidRPr="00EF2646" w:rsidRDefault="005C48BE" w:rsidP="005C48BE">
      <w:pPr>
        <w:pStyle w:val="SingleTxtG"/>
        <w:rPr>
          <w:i/>
          <w:iCs/>
        </w:rPr>
      </w:pPr>
      <w:r w:rsidRPr="00EF2646">
        <w:rPr>
          <w:i/>
          <w:iCs/>
        </w:rPr>
        <w:t>(Reference document: ST/SG/AC.10/C.3/2016/16)</w:t>
      </w:r>
    </w:p>
    <w:p w:rsidR="00EA71EA" w:rsidRPr="00EF2646" w:rsidRDefault="00EA71EA" w:rsidP="005C48BE">
      <w:pPr>
        <w:pStyle w:val="SingleTxtG"/>
      </w:pPr>
      <w:r w:rsidRPr="00EF2646">
        <w:t>2.0.3.1</w:t>
      </w:r>
      <w:r w:rsidRPr="00EF2646">
        <w:tab/>
      </w:r>
      <w:r w:rsidRPr="00EF2646">
        <w:tab/>
        <w:t>In the first sentence, replace “one risk” by “one hazard”. In the second sentence, replace “multiple risks” by “multiple hazards”.</w:t>
      </w:r>
    </w:p>
    <w:p w:rsidR="00EA71EA" w:rsidRPr="00EF2646" w:rsidRDefault="00EA71EA" w:rsidP="00EA71EA">
      <w:pPr>
        <w:pStyle w:val="SingleTxtG"/>
        <w:rPr>
          <w:i/>
          <w:iCs/>
        </w:rPr>
      </w:pPr>
      <w:r w:rsidRPr="00EF2646">
        <w:rPr>
          <w:i/>
          <w:iCs/>
        </w:rPr>
        <w:t>(Reference document: ST/SG/AC.10/C.3/2016/16)</w:t>
      </w:r>
    </w:p>
    <w:p w:rsidR="00431E29" w:rsidRPr="00EF2646" w:rsidRDefault="00431E29" w:rsidP="00431E29">
      <w:pPr>
        <w:pStyle w:val="SingleTxtG"/>
      </w:pPr>
      <w:r w:rsidRPr="00EF2646">
        <w:t>2.0.3.2</w:t>
      </w:r>
      <w:r w:rsidRPr="00EF2646">
        <w:tab/>
      </w:r>
      <w:r w:rsidRPr="00EF2646">
        <w:tab/>
        <w:t>In the first sentence, replace “risk” by “hazard”.</w:t>
      </w:r>
    </w:p>
    <w:p w:rsidR="00431E29" w:rsidRPr="00EF2646" w:rsidRDefault="00431E29" w:rsidP="00431E29">
      <w:pPr>
        <w:pStyle w:val="SingleTxtG"/>
        <w:rPr>
          <w:i/>
          <w:iCs/>
        </w:rPr>
      </w:pPr>
      <w:r w:rsidRPr="00EF2646">
        <w:rPr>
          <w:i/>
          <w:iCs/>
        </w:rPr>
        <w:t>(Reference document: ST/SG/AC.10/C.3/2016/16)</w:t>
      </w:r>
    </w:p>
    <w:p w:rsidR="00592FC1" w:rsidRPr="00EF2646" w:rsidRDefault="00592FC1" w:rsidP="00592FC1">
      <w:pPr>
        <w:pStyle w:val="H23G"/>
        <w:ind w:left="2268"/>
      </w:pPr>
      <w:r w:rsidRPr="00EF2646">
        <w:t>Chapter 2.1</w:t>
      </w:r>
    </w:p>
    <w:p w:rsidR="00592FC1" w:rsidRPr="00EF2646" w:rsidRDefault="00592FC1" w:rsidP="00431E29">
      <w:pPr>
        <w:pStyle w:val="SingleTxtG"/>
      </w:pPr>
      <w:r w:rsidRPr="00EF2646">
        <w:t>2.1.1.4 (</w:t>
      </w:r>
      <w:proofErr w:type="gramStart"/>
      <w:r w:rsidRPr="00EF2646">
        <w:t>f</w:t>
      </w:r>
      <w:proofErr w:type="gramEnd"/>
      <w:r w:rsidRPr="00EF2646">
        <w:t>)</w:t>
      </w:r>
      <w:r w:rsidRPr="00EF2646">
        <w:tab/>
        <w:t>In the Note, replace “risk” by “hazard”.</w:t>
      </w:r>
    </w:p>
    <w:p w:rsidR="00592FC1" w:rsidRPr="00EF2646" w:rsidRDefault="00592FC1" w:rsidP="00592FC1">
      <w:pPr>
        <w:pStyle w:val="SingleTxtG"/>
        <w:rPr>
          <w:i/>
          <w:iCs/>
        </w:rPr>
      </w:pPr>
      <w:r w:rsidRPr="00EF2646">
        <w:rPr>
          <w:i/>
          <w:iCs/>
        </w:rPr>
        <w:t>(Reference document: ST/SG/AC.10/C.3/2016/16)</w:t>
      </w:r>
    </w:p>
    <w:p w:rsidR="00592FC1" w:rsidRPr="00EF2646" w:rsidRDefault="00592FC1" w:rsidP="00F16B27">
      <w:pPr>
        <w:pStyle w:val="SingleTxtG"/>
      </w:pPr>
      <w:r w:rsidRPr="00EF2646">
        <w:t>2.1.</w:t>
      </w:r>
      <w:r w:rsidR="00F16B27" w:rsidRPr="00EF2646">
        <w:t>2</w:t>
      </w:r>
      <w:r w:rsidRPr="00EF2646">
        <w:t>.</w:t>
      </w:r>
      <w:r w:rsidR="00F16B27" w:rsidRPr="00EF2646">
        <w:t>1</w:t>
      </w:r>
      <w:r w:rsidRPr="00EF2646">
        <w:t>.1 Replace “risk” by “hazard”</w:t>
      </w:r>
      <w:r w:rsidR="00F16B27" w:rsidRPr="00EF2646">
        <w:t>, in the Table for Compatibility Group L.</w:t>
      </w:r>
    </w:p>
    <w:p w:rsidR="00592FC1" w:rsidRPr="00EF2646" w:rsidRDefault="00592FC1" w:rsidP="00592FC1">
      <w:pPr>
        <w:pStyle w:val="SingleTxtG"/>
        <w:rPr>
          <w:i/>
          <w:iCs/>
        </w:rPr>
      </w:pPr>
      <w:r w:rsidRPr="00EF2646">
        <w:rPr>
          <w:i/>
          <w:iCs/>
        </w:rPr>
        <w:t>(Reference document: ST/SG/AC.10/C.3/2016/16)</w:t>
      </w:r>
    </w:p>
    <w:p w:rsidR="00592FC1" w:rsidRPr="00EF2646" w:rsidRDefault="009B1F1E" w:rsidP="00175A43">
      <w:pPr>
        <w:pStyle w:val="SingleTxtG"/>
      </w:pPr>
      <w:r w:rsidRPr="00EF2646">
        <w:t>2.1.3.1.2</w:t>
      </w:r>
      <w:r w:rsidR="00C7356D" w:rsidRPr="00EF2646">
        <w:t xml:space="preserve"> </w:t>
      </w:r>
      <w:r w:rsidRPr="00EF2646">
        <w:t>(c)</w:t>
      </w:r>
      <w:r w:rsidRPr="00EF2646">
        <w:tab/>
        <w:t xml:space="preserve">In the Note, </w:t>
      </w:r>
      <w:proofErr w:type="gramStart"/>
      <w:r w:rsidRPr="00EF2646">
        <w:t>replace</w:t>
      </w:r>
      <w:proofErr w:type="gramEnd"/>
      <w:r w:rsidRPr="00EF2646">
        <w:t xml:space="preserve"> “risk” by “hazard” twice.</w:t>
      </w:r>
    </w:p>
    <w:p w:rsidR="009B1F1E" w:rsidRPr="00EF2646" w:rsidRDefault="009B1F1E" w:rsidP="009B1F1E">
      <w:pPr>
        <w:pStyle w:val="SingleTxtG"/>
        <w:rPr>
          <w:i/>
          <w:iCs/>
        </w:rPr>
      </w:pPr>
      <w:r w:rsidRPr="00EF2646">
        <w:rPr>
          <w:i/>
          <w:iCs/>
        </w:rPr>
        <w:t>(Reference document: ST/SG/AC.10/C.3/2016/16)</w:t>
      </w:r>
    </w:p>
    <w:p w:rsidR="00BD51A5" w:rsidRPr="00EF2646" w:rsidRDefault="00BD51A5" w:rsidP="00BD51A5">
      <w:pPr>
        <w:pStyle w:val="SingleTxtG"/>
      </w:pPr>
      <w:r w:rsidRPr="00EF2646">
        <w:t>2.1.3.6.3</w:t>
      </w:r>
      <w:r w:rsidRPr="00EF2646">
        <w:tab/>
        <w:t>In the last sentence, replace “risk(s)” by “hazard(s)”.</w:t>
      </w:r>
    </w:p>
    <w:p w:rsidR="00BD51A5" w:rsidRPr="00EF2646" w:rsidRDefault="00BD51A5" w:rsidP="00BD51A5">
      <w:pPr>
        <w:pStyle w:val="SingleTxtG"/>
        <w:rPr>
          <w:i/>
          <w:iCs/>
        </w:rPr>
      </w:pPr>
      <w:r w:rsidRPr="00EF2646">
        <w:rPr>
          <w:i/>
          <w:iCs/>
        </w:rPr>
        <w:t>(Reference document: ST/SG/AC.10/C.3/2016/16)</w:t>
      </w:r>
    </w:p>
    <w:p w:rsidR="00BD51A5" w:rsidRPr="00EF2646" w:rsidRDefault="00BD51A5" w:rsidP="00BD51A5">
      <w:pPr>
        <w:pStyle w:val="SingleTxtG"/>
      </w:pPr>
      <w:r w:rsidRPr="00EF2646">
        <w:t>2.1.3.6.4</w:t>
      </w:r>
      <w:r w:rsidRPr="00EF2646">
        <w:tab/>
        <w:t>In Note 2, at the end of the sentence, replace “risk” by “hazard”.</w:t>
      </w:r>
    </w:p>
    <w:p w:rsidR="009B1F1E" w:rsidRPr="00EF2646" w:rsidRDefault="00BD51A5" w:rsidP="00BD51A5">
      <w:pPr>
        <w:pStyle w:val="SingleTxtG"/>
      </w:pPr>
      <w:r w:rsidRPr="00EF2646">
        <w:rPr>
          <w:i/>
          <w:iCs/>
        </w:rPr>
        <w:t>(Reference document: ST/SG/AC.10/C.3/2016/16)</w:t>
      </w:r>
      <w:r w:rsidRPr="00EF2646">
        <w:t xml:space="preserve"> </w:t>
      </w:r>
      <w:r w:rsidRPr="00EF2646">
        <w:tab/>
      </w:r>
    </w:p>
    <w:p w:rsidR="00175A43" w:rsidRPr="00EF2646" w:rsidRDefault="00175A43" w:rsidP="00175A43">
      <w:pPr>
        <w:pStyle w:val="H23G"/>
        <w:ind w:left="2268"/>
      </w:pPr>
      <w:r w:rsidRPr="00EF2646">
        <w:t>Chapter 2.2</w:t>
      </w:r>
    </w:p>
    <w:p w:rsidR="00175A43" w:rsidRPr="00EF2646" w:rsidRDefault="00175A43" w:rsidP="00BD51A5">
      <w:pPr>
        <w:pStyle w:val="SingleTxtG"/>
      </w:pPr>
      <w:r w:rsidRPr="00EF2646">
        <w:t>2.2.2.1 (c)</w:t>
      </w:r>
      <w:r w:rsidRPr="00EF2646">
        <w:tab/>
        <w:t xml:space="preserve">In the first sentence, </w:t>
      </w:r>
      <w:proofErr w:type="gramStart"/>
      <w:r w:rsidRPr="00EF2646">
        <w:t>replace</w:t>
      </w:r>
      <w:proofErr w:type="gramEnd"/>
      <w:r w:rsidRPr="00EF2646">
        <w:t xml:space="preserve"> “risk” by “hazard”.</w:t>
      </w:r>
    </w:p>
    <w:p w:rsidR="00175A43" w:rsidRPr="00EF2646" w:rsidRDefault="00175A43" w:rsidP="00BD51A5">
      <w:pPr>
        <w:pStyle w:val="SingleTxtG"/>
        <w:rPr>
          <w:i/>
          <w:iCs/>
        </w:rPr>
      </w:pPr>
      <w:r w:rsidRPr="00EF2646">
        <w:rPr>
          <w:i/>
          <w:iCs/>
        </w:rPr>
        <w:t>(Reference document: ST/SG/AC.10/C.3/2016/16)</w:t>
      </w:r>
    </w:p>
    <w:p w:rsidR="00175A43" w:rsidRPr="00EF2646" w:rsidRDefault="00175A43" w:rsidP="00175A43">
      <w:pPr>
        <w:pStyle w:val="SingleTxtG"/>
      </w:pPr>
      <w:r w:rsidRPr="00EF2646">
        <w:t>2.2.3 (c)</w:t>
      </w:r>
      <w:r w:rsidRPr="00EF2646">
        <w:tab/>
        <w:t xml:space="preserve">In the first sentence, </w:t>
      </w:r>
      <w:proofErr w:type="gramStart"/>
      <w:r w:rsidRPr="00EF2646">
        <w:t>replace</w:t>
      </w:r>
      <w:proofErr w:type="gramEnd"/>
      <w:r w:rsidRPr="00EF2646">
        <w:t xml:space="preserve"> “risk” by “hazard”.</w:t>
      </w:r>
    </w:p>
    <w:p w:rsidR="00175A43" w:rsidRPr="00EF2646" w:rsidRDefault="00175A43" w:rsidP="00175A43">
      <w:pPr>
        <w:pStyle w:val="SingleTxtG"/>
      </w:pPr>
      <w:r w:rsidRPr="00EF2646">
        <w:rPr>
          <w:i/>
          <w:iCs/>
        </w:rPr>
        <w:t>(Reference document: ST/SG/AC.10/C.3/2016/16)</w:t>
      </w:r>
      <w:r w:rsidRPr="00EF2646">
        <w:t xml:space="preserve"> </w:t>
      </w:r>
      <w:r w:rsidRPr="00EF2646">
        <w:tab/>
      </w:r>
    </w:p>
    <w:p w:rsidR="00AF187F" w:rsidRPr="00EF2646" w:rsidRDefault="00AF187F" w:rsidP="00AF187F">
      <w:pPr>
        <w:pStyle w:val="H23G"/>
        <w:ind w:left="2268"/>
      </w:pPr>
      <w:r w:rsidRPr="00EF2646">
        <w:t>Chapter 2.3</w:t>
      </w:r>
    </w:p>
    <w:p w:rsidR="00AF187F" w:rsidRPr="00EF2646" w:rsidRDefault="00AF187F" w:rsidP="00AF187F">
      <w:pPr>
        <w:pStyle w:val="SingleTxtG"/>
      </w:pPr>
      <w:r w:rsidRPr="00EF2646">
        <w:t>2.3.2.1</w:t>
      </w:r>
      <w:r w:rsidRPr="00EF2646">
        <w:tab/>
      </w:r>
      <w:r w:rsidRPr="00EF2646">
        <w:tab/>
        <w:t>Replace “risk” by “hazard”</w:t>
      </w:r>
      <w:r w:rsidR="0012252A">
        <w:t xml:space="preserve"> (twice)</w:t>
      </w:r>
      <w:r w:rsidRPr="00EF2646">
        <w:t>.</w:t>
      </w:r>
    </w:p>
    <w:p w:rsidR="00AF187F" w:rsidRPr="00EF2646" w:rsidRDefault="00AF187F" w:rsidP="00AF187F">
      <w:pPr>
        <w:pStyle w:val="SingleTxtG"/>
      </w:pPr>
      <w:r w:rsidRPr="00EF2646">
        <w:rPr>
          <w:i/>
          <w:iCs/>
        </w:rPr>
        <w:t>(Reference document: ST/SG/AC.10/C.3/2016/16)</w:t>
      </w:r>
      <w:r w:rsidRPr="00EF2646">
        <w:t xml:space="preserve"> </w:t>
      </w:r>
      <w:r w:rsidRPr="00EF2646">
        <w:tab/>
      </w:r>
    </w:p>
    <w:p w:rsidR="00AC1279" w:rsidRPr="00EF2646" w:rsidRDefault="00A81E1B" w:rsidP="00AC1279">
      <w:pPr>
        <w:pStyle w:val="SingleTxtG"/>
      </w:pPr>
      <w:r w:rsidRPr="00EF2646">
        <w:t>2.3.2.1.1</w:t>
      </w:r>
      <w:r w:rsidRPr="00EF2646">
        <w:tab/>
      </w:r>
      <w:r w:rsidR="00AC1279" w:rsidRPr="00EF2646">
        <w:t>Replace “risk” by “hazard”.</w:t>
      </w:r>
    </w:p>
    <w:p w:rsidR="00AF187F" w:rsidRPr="00EF2646" w:rsidRDefault="00AC1279" w:rsidP="00AC1279">
      <w:pPr>
        <w:pStyle w:val="SingleTxtG"/>
        <w:rPr>
          <w:i/>
          <w:iCs/>
        </w:rPr>
      </w:pPr>
      <w:r w:rsidRPr="00EF2646">
        <w:rPr>
          <w:i/>
          <w:iCs/>
        </w:rPr>
        <w:t>(Reference document: ST/SG/AC.10/C.3/2016/16)</w:t>
      </w:r>
    </w:p>
    <w:p w:rsidR="0075321E" w:rsidRPr="00EF2646" w:rsidRDefault="0075321E" w:rsidP="0075321E">
      <w:pPr>
        <w:pStyle w:val="SingleTxtG"/>
      </w:pPr>
      <w:r w:rsidRPr="00EF2646">
        <w:t>2.3.2.1.2</w:t>
      </w:r>
      <w:r w:rsidRPr="00EF2646">
        <w:tab/>
      </w:r>
      <w:r w:rsidR="00E57BDF" w:rsidRPr="00EF2646">
        <w:t>R</w:t>
      </w:r>
      <w:r w:rsidRPr="00EF2646">
        <w:t>eplace “risk(s)” by “hazard(s)” twice.</w:t>
      </w:r>
    </w:p>
    <w:p w:rsidR="0075321E" w:rsidRPr="00EF2646" w:rsidRDefault="0075321E" w:rsidP="0075321E">
      <w:pPr>
        <w:pStyle w:val="SingleTxtG"/>
        <w:rPr>
          <w:i/>
          <w:iCs/>
        </w:rPr>
      </w:pPr>
      <w:r w:rsidRPr="00EF2646">
        <w:rPr>
          <w:i/>
          <w:iCs/>
        </w:rPr>
        <w:t>(Reference document: ST/SG/AC.10/C.3/2016/16)</w:t>
      </w:r>
    </w:p>
    <w:p w:rsidR="004830B9" w:rsidRPr="00EF2646" w:rsidRDefault="004830B9" w:rsidP="004830B9">
      <w:pPr>
        <w:pStyle w:val="H23G"/>
        <w:ind w:left="2268"/>
      </w:pPr>
      <w:r w:rsidRPr="00EF2646">
        <w:t>Chapter 2.4</w:t>
      </w:r>
    </w:p>
    <w:p w:rsidR="00E57BDF" w:rsidRPr="00EF2646" w:rsidRDefault="00E57BDF">
      <w:pPr>
        <w:pStyle w:val="SingleTxtG"/>
      </w:pPr>
      <w:r w:rsidRPr="00EF2646">
        <w:t>In the Introductory notes, in Note 3, replace “</w:t>
      </w:r>
      <w:r w:rsidR="005826FA" w:rsidRPr="00EF2646">
        <w:t xml:space="preserve">additional subsidiary </w:t>
      </w:r>
      <w:r w:rsidRPr="00EF2646">
        <w:t>risk” by “</w:t>
      </w:r>
      <w:r w:rsidR="005826FA" w:rsidRPr="00EF2646">
        <w:t xml:space="preserve">additional subsidiary </w:t>
      </w:r>
      <w:r w:rsidRPr="00EF2646">
        <w:t>hazard”.</w:t>
      </w:r>
    </w:p>
    <w:p w:rsidR="00E57BDF" w:rsidRPr="00EF2646" w:rsidRDefault="00E57BDF" w:rsidP="00E57BDF">
      <w:pPr>
        <w:pStyle w:val="SingleTxtG"/>
        <w:rPr>
          <w:i/>
          <w:iCs/>
        </w:rPr>
      </w:pPr>
      <w:r w:rsidRPr="00EF2646">
        <w:rPr>
          <w:i/>
          <w:iCs/>
        </w:rPr>
        <w:t>(Reference document: ST/SG/AC.10/C.3/2016/16)</w:t>
      </w:r>
    </w:p>
    <w:p w:rsidR="002B5A00" w:rsidRPr="00EF2646" w:rsidRDefault="002B5A00" w:rsidP="002B5A00">
      <w:pPr>
        <w:pStyle w:val="SingleTxtG"/>
      </w:pPr>
      <w:r w:rsidRPr="00EF2646">
        <w:lastRenderedPageBreak/>
        <w:t>2.4.2.3.2.2</w:t>
      </w:r>
      <w:r w:rsidRPr="00EF2646">
        <w:tab/>
        <w:t>At the end of the paragraph, replace “</w:t>
      </w:r>
      <w:r w:rsidR="00096DFA">
        <w:t xml:space="preserve">subsidiary </w:t>
      </w:r>
      <w:r w:rsidRPr="00EF2646">
        <w:t>risk(s)” by “</w:t>
      </w:r>
      <w:r w:rsidR="00096DFA">
        <w:t xml:space="preserve">subsidiary </w:t>
      </w:r>
      <w:r w:rsidRPr="00EF2646">
        <w:t>hazard(s)”.</w:t>
      </w:r>
    </w:p>
    <w:p w:rsidR="002B5A00" w:rsidRPr="00EF2646" w:rsidRDefault="002B5A00" w:rsidP="002B5A00">
      <w:pPr>
        <w:pStyle w:val="SingleTxtG"/>
        <w:rPr>
          <w:i/>
          <w:iCs/>
        </w:rPr>
      </w:pPr>
      <w:r w:rsidRPr="00EF2646">
        <w:rPr>
          <w:i/>
          <w:iCs/>
        </w:rPr>
        <w:t>(Reference document: ST/SG/AC.10/C.3/2016/16)</w:t>
      </w:r>
    </w:p>
    <w:p w:rsidR="002B5A00" w:rsidRPr="00EF2646" w:rsidRDefault="002B5A00" w:rsidP="002B5A00">
      <w:pPr>
        <w:pStyle w:val="SingleTxtG"/>
      </w:pPr>
      <w:r w:rsidRPr="00EF2646">
        <w:t>2.4.2.3.2.3</w:t>
      </w:r>
      <w:r w:rsidRPr="00EF2646">
        <w:tab/>
        <w:t>In the table, under Remarks, replace “risk” by “hazard”.</w:t>
      </w:r>
    </w:p>
    <w:p w:rsidR="002B5A00" w:rsidRPr="00EF2646" w:rsidRDefault="002B5A00" w:rsidP="002B5A00">
      <w:pPr>
        <w:pStyle w:val="SingleTxtG"/>
        <w:rPr>
          <w:i/>
          <w:iCs/>
        </w:rPr>
      </w:pPr>
      <w:r w:rsidRPr="00EF2646">
        <w:rPr>
          <w:i/>
          <w:iCs/>
        </w:rPr>
        <w:t>(Reference document: ST/SG/AC.10/C.3/2016/16)</w:t>
      </w:r>
    </w:p>
    <w:p w:rsidR="006166C8" w:rsidRPr="00EF2646" w:rsidRDefault="006166C8" w:rsidP="006166C8">
      <w:pPr>
        <w:pStyle w:val="SingleTxtG"/>
      </w:pPr>
      <w:r w:rsidRPr="00EF2646">
        <w:t>2.4.2.3.3.2 (</w:t>
      </w:r>
      <w:proofErr w:type="gramStart"/>
      <w:r w:rsidRPr="00EF2646">
        <w:t>b</w:t>
      </w:r>
      <w:proofErr w:type="gramEnd"/>
      <w:r w:rsidRPr="00EF2646">
        <w:t>)</w:t>
      </w:r>
      <w:r w:rsidRPr="00EF2646">
        <w:tab/>
      </w:r>
      <w:r w:rsidR="00AB28E5" w:rsidRPr="00EF2646">
        <w:t xml:space="preserve"> </w:t>
      </w:r>
      <w:r w:rsidRPr="00EF2646">
        <w:t>In the first sentence, replace “risk” by “hazard”.</w:t>
      </w:r>
    </w:p>
    <w:p w:rsidR="002B5A00" w:rsidRPr="00EF2646" w:rsidRDefault="006166C8" w:rsidP="006166C8">
      <w:pPr>
        <w:pStyle w:val="SingleTxtG"/>
      </w:pPr>
      <w:r w:rsidRPr="00EF2646">
        <w:rPr>
          <w:i/>
          <w:iCs/>
        </w:rPr>
        <w:t>(Reference document: ST/SG/AC.10/C.3/2016/16)</w:t>
      </w:r>
    </w:p>
    <w:p w:rsidR="00BD77BD" w:rsidRPr="00EF2646" w:rsidRDefault="00BD77BD" w:rsidP="00BD77BD">
      <w:pPr>
        <w:pStyle w:val="SingleTxtG"/>
      </w:pPr>
      <w:r w:rsidRPr="00EF2646">
        <w:t>2.4.2.3.3.2 (c)</w:t>
      </w:r>
      <w:r w:rsidRPr="00EF2646">
        <w:tab/>
      </w:r>
      <w:r w:rsidR="00AB28E5" w:rsidRPr="00EF2646">
        <w:t xml:space="preserve"> </w:t>
      </w:r>
      <w:r w:rsidRPr="00EF2646">
        <w:t xml:space="preserve">In the first sentence, </w:t>
      </w:r>
      <w:proofErr w:type="gramStart"/>
      <w:r w:rsidRPr="00EF2646">
        <w:t>replace</w:t>
      </w:r>
      <w:proofErr w:type="gramEnd"/>
      <w:r w:rsidRPr="00EF2646">
        <w:t xml:space="preserve"> “risk” by “hazard”.</w:t>
      </w:r>
    </w:p>
    <w:p w:rsidR="00BD77BD" w:rsidRPr="00EF2646" w:rsidRDefault="00BD77BD" w:rsidP="00BD77BD">
      <w:pPr>
        <w:pStyle w:val="SingleTxtG"/>
      </w:pPr>
      <w:r w:rsidRPr="00EF2646">
        <w:rPr>
          <w:i/>
          <w:iCs/>
        </w:rPr>
        <w:t>(Reference document: ST/SG/AC.10/C.3/2016/16)</w:t>
      </w:r>
    </w:p>
    <w:p w:rsidR="00BD77BD" w:rsidRPr="00EF2646" w:rsidRDefault="00BD77BD" w:rsidP="00BD77BD">
      <w:pPr>
        <w:pStyle w:val="H23G"/>
        <w:ind w:left="2268"/>
      </w:pPr>
      <w:r w:rsidRPr="00EF2646">
        <w:t>Chapter 2.5</w:t>
      </w:r>
    </w:p>
    <w:p w:rsidR="00BD77BD" w:rsidRPr="00EF2646" w:rsidRDefault="00BD77BD" w:rsidP="00BD77BD">
      <w:pPr>
        <w:pStyle w:val="SingleTxtG"/>
      </w:pPr>
      <w:r w:rsidRPr="00EF2646">
        <w:t>2.5.2.1.2</w:t>
      </w:r>
      <w:r w:rsidRPr="00EF2646">
        <w:tab/>
        <w:t>Replace “risk</w:t>
      </w:r>
      <w:r w:rsidR="00C31F72">
        <w:t>s</w:t>
      </w:r>
      <w:r w:rsidRPr="00EF2646">
        <w:t>” by “hazard</w:t>
      </w:r>
      <w:r w:rsidR="00C31F72">
        <w:t>s</w:t>
      </w:r>
      <w:r w:rsidRPr="00EF2646">
        <w:t>”.</w:t>
      </w:r>
    </w:p>
    <w:p w:rsidR="00BD77BD" w:rsidRPr="00EF2646" w:rsidRDefault="00BD77BD" w:rsidP="00BD77BD">
      <w:pPr>
        <w:pStyle w:val="SingleTxtG"/>
      </w:pPr>
      <w:r w:rsidRPr="00EF2646">
        <w:rPr>
          <w:i/>
          <w:iCs/>
        </w:rPr>
        <w:t>(Reference document: ST/SG/AC.10/C.3/2016/16)</w:t>
      </w:r>
    </w:p>
    <w:p w:rsidR="0074639A" w:rsidRPr="00EF2646" w:rsidRDefault="0074639A" w:rsidP="0074639A">
      <w:pPr>
        <w:pStyle w:val="SingleTxtG"/>
      </w:pPr>
      <w:r w:rsidRPr="00EF2646">
        <w:t>2.5.3.2.3</w:t>
      </w:r>
      <w:r w:rsidRPr="00EF2646">
        <w:tab/>
        <w:t>In the second sentence, replace “risks” by “hazards”.</w:t>
      </w:r>
    </w:p>
    <w:p w:rsidR="0074639A" w:rsidRPr="00EF2646" w:rsidRDefault="0074639A" w:rsidP="0074639A">
      <w:pPr>
        <w:pStyle w:val="SingleTxtG"/>
      </w:pPr>
      <w:r w:rsidRPr="00EF2646">
        <w:rPr>
          <w:i/>
          <w:iCs/>
        </w:rPr>
        <w:t>(Reference document: ST/SG/AC.10/C.3/2016/16)</w:t>
      </w:r>
    </w:p>
    <w:p w:rsidR="0074639A" w:rsidRPr="00EF2646" w:rsidRDefault="0074639A" w:rsidP="0074639A">
      <w:pPr>
        <w:pStyle w:val="SingleTxtG"/>
      </w:pPr>
      <w:r w:rsidRPr="00EF2646">
        <w:t>2.5.3.2.4</w:t>
      </w:r>
      <w:r w:rsidRPr="00EF2646">
        <w:tab/>
        <w:t>In the Table header, last column, replace “risks” by “hazards”.</w:t>
      </w:r>
    </w:p>
    <w:p w:rsidR="0074639A" w:rsidRPr="00EF2646" w:rsidRDefault="0074639A" w:rsidP="0074639A">
      <w:pPr>
        <w:pStyle w:val="SingleTxtG"/>
      </w:pPr>
      <w:r w:rsidRPr="00EF2646">
        <w:rPr>
          <w:i/>
          <w:iCs/>
        </w:rPr>
        <w:t>(Reference document: ST/SG/AC.10/C.3/2016/16)</w:t>
      </w:r>
    </w:p>
    <w:p w:rsidR="004830B9" w:rsidRPr="00EF2646" w:rsidRDefault="00442D27">
      <w:pPr>
        <w:pStyle w:val="SingleTxtG"/>
      </w:pPr>
      <w:r w:rsidRPr="00EF2646">
        <w:t>2.5.3.2.4</w:t>
      </w:r>
      <w:r w:rsidRPr="00EF2646">
        <w:tab/>
        <w:t>In Table Note</w:t>
      </w:r>
      <w:r w:rsidR="006756C5" w:rsidRPr="00EF2646">
        <w:t>s</w:t>
      </w:r>
      <w:r w:rsidRPr="00EF2646">
        <w:t xml:space="preserve"> 3</w:t>
      </w:r>
      <w:r w:rsidR="006756C5" w:rsidRPr="00EF2646">
        <w:t>, 13, 18 and 27</w:t>
      </w:r>
      <w:r w:rsidRPr="00EF2646">
        <w:t>, replace “risk” by “hazard”.</w:t>
      </w:r>
    </w:p>
    <w:p w:rsidR="00442D27" w:rsidRPr="00EF2646" w:rsidRDefault="00442D27" w:rsidP="00442D27">
      <w:pPr>
        <w:pStyle w:val="SingleTxtG"/>
      </w:pPr>
      <w:r w:rsidRPr="00EF2646">
        <w:rPr>
          <w:i/>
          <w:iCs/>
        </w:rPr>
        <w:t>(Reference document: ST/SG/AC.10/C.3/2016/16)</w:t>
      </w:r>
    </w:p>
    <w:p w:rsidR="00740D93" w:rsidRPr="00EF2646" w:rsidRDefault="00740D93" w:rsidP="00740D93">
      <w:pPr>
        <w:pStyle w:val="SingleTxtG"/>
      </w:pPr>
      <w:r w:rsidRPr="00EF2646">
        <w:t>2.5.3.3.2 (</w:t>
      </w:r>
      <w:proofErr w:type="gramStart"/>
      <w:r w:rsidRPr="00EF2646">
        <w:t>b</w:t>
      </w:r>
      <w:proofErr w:type="gramEnd"/>
      <w:r w:rsidRPr="00EF2646">
        <w:t>)</w:t>
      </w:r>
      <w:r w:rsidRPr="00EF2646">
        <w:tab/>
        <w:t>In the first sentence, replace “risk” by “hazard”.</w:t>
      </w:r>
    </w:p>
    <w:p w:rsidR="00740D93" w:rsidRPr="00EF2646" w:rsidRDefault="00740D93" w:rsidP="00740D93">
      <w:pPr>
        <w:pStyle w:val="SingleTxtG"/>
      </w:pPr>
      <w:r w:rsidRPr="00EF2646">
        <w:rPr>
          <w:i/>
          <w:iCs/>
        </w:rPr>
        <w:t>(Reference document: ST/SG/AC.10/C.3/2016/16)</w:t>
      </w:r>
    </w:p>
    <w:p w:rsidR="00740D93" w:rsidRPr="00EF2646" w:rsidRDefault="00740D93" w:rsidP="00740D93">
      <w:pPr>
        <w:pStyle w:val="SingleTxtG"/>
      </w:pPr>
      <w:proofErr w:type="gramStart"/>
      <w:r w:rsidRPr="00EF2646">
        <w:t>2.5.3.3.2 (c)</w:t>
      </w:r>
      <w:r w:rsidRPr="00EF2646">
        <w:tab/>
      </w:r>
      <w:r w:rsidR="00AB28E5" w:rsidRPr="00EF2646">
        <w:t>Replace</w:t>
      </w:r>
      <w:r w:rsidRPr="00EF2646">
        <w:t xml:space="preserve"> “risk” by “hazard”.</w:t>
      </w:r>
      <w:proofErr w:type="gramEnd"/>
    </w:p>
    <w:p w:rsidR="00740D93" w:rsidRPr="00EF2646" w:rsidRDefault="00740D93" w:rsidP="00740D93">
      <w:pPr>
        <w:pStyle w:val="SingleTxtG"/>
      </w:pPr>
      <w:r w:rsidRPr="00EF2646">
        <w:rPr>
          <w:i/>
          <w:iCs/>
        </w:rPr>
        <w:t>(Reference document: ST/SG/AC.10/C.3/2016/16)</w:t>
      </w:r>
    </w:p>
    <w:p w:rsidR="00740D93" w:rsidRPr="00EF2646" w:rsidRDefault="00740D93" w:rsidP="00740D93">
      <w:pPr>
        <w:pStyle w:val="H23G"/>
        <w:ind w:left="2268"/>
      </w:pPr>
      <w:r w:rsidRPr="00EF2646">
        <w:t>Chapter 2.6</w:t>
      </w:r>
    </w:p>
    <w:p w:rsidR="00740D93" w:rsidRPr="00EF2646" w:rsidRDefault="00740D93" w:rsidP="00740D93">
      <w:pPr>
        <w:pStyle w:val="SingleTxtG"/>
      </w:pPr>
      <w:proofErr w:type="gramStart"/>
      <w:r w:rsidRPr="00EF2646">
        <w:t>2.6.2.2.1 (a)</w:t>
      </w:r>
      <w:r w:rsidR="00391155" w:rsidRPr="00EF2646">
        <w:t>, (b) and (c)</w:t>
      </w:r>
      <w:r w:rsidRPr="00EF2646">
        <w:tab/>
        <w:t>Replace</w:t>
      </w:r>
      <w:proofErr w:type="gramEnd"/>
      <w:r w:rsidRPr="00EF2646">
        <w:t xml:space="preserve"> “risk” by “hazard”.</w:t>
      </w:r>
    </w:p>
    <w:p w:rsidR="00740D93" w:rsidRPr="00EF2646" w:rsidRDefault="00740D93" w:rsidP="00740D93">
      <w:pPr>
        <w:pStyle w:val="SingleTxtG"/>
      </w:pPr>
      <w:r w:rsidRPr="00EF2646">
        <w:rPr>
          <w:i/>
          <w:iCs/>
        </w:rPr>
        <w:t>(Reference document: ST/SG/AC.10/C.3/2016/16)</w:t>
      </w:r>
    </w:p>
    <w:p w:rsidR="00B91A1E" w:rsidRPr="00EF2646" w:rsidRDefault="00B91A1E" w:rsidP="00B91A1E">
      <w:pPr>
        <w:pStyle w:val="SingleTxtG"/>
      </w:pPr>
      <w:r w:rsidRPr="00EF2646">
        <w:t>2.6.2.4.1</w:t>
      </w:r>
      <w:r w:rsidRPr="00EF2646">
        <w:tab/>
        <w:t>In the second sentence, replace “risk</w:t>
      </w:r>
      <w:r w:rsidR="006B1976">
        <w:t>s</w:t>
      </w:r>
      <w:r w:rsidRPr="00EF2646">
        <w:t>” by “hazard</w:t>
      </w:r>
      <w:r w:rsidR="006B1976">
        <w:t>s</w:t>
      </w:r>
      <w:r w:rsidRPr="00EF2646">
        <w:t>”.</w:t>
      </w:r>
    </w:p>
    <w:p w:rsidR="00B91A1E" w:rsidRPr="00EF2646" w:rsidRDefault="00B91A1E" w:rsidP="00B91A1E">
      <w:pPr>
        <w:pStyle w:val="SingleTxtG"/>
      </w:pPr>
      <w:r w:rsidRPr="00EF2646">
        <w:rPr>
          <w:i/>
          <w:iCs/>
        </w:rPr>
        <w:t>(Reference document: ST/SG/AC.10/C.3/2016/16)</w:t>
      </w:r>
    </w:p>
    <w:p w:rsidR="00B91A1E" w:rsidRPr="00EF2646" w:rsidRDefault="00B91A1E" w:rsidP="00B91A1E">
      <w:pPr>
        <w:pStyle w:val="SingleTxtG"/>
      </w:pPr>
      <w:r w:rsidRPr="00EF2646">
        <w:t>2.6.2.4.3</w:t>
      </w:r>
      <w:r w:rsidRPr="00EF2646">
        <w:tab/>
        <w:t>Replace “risks” by “hazards”.</w:t>
      </w:r>
    </w:p>
    <w:p w:rsidR="00B91A1E" w:rsidRPr="00EF2646" w:rsidRDefault="00B91A1E" w:rsidP="00B91A1E">
      <w:pPr>
        <w:pStyle w:val="SingleTxtG"/>
      </w:pPr>
      <w:r w:rsidRPr="00EF2646">
        <w:rPr>
          <w:i/>
          <w:iCs/>
        </w:rPr>
        <w:t>(Reference document: ST/SG/AC.10/C.3/2016/16)</w:t>
      </w:r>
    </w:p>
    <w:p w:rsidR="0063376C" w:rsidRPr="00EF2646" w:rsidRDefault="0063376C" w:rsidP="0063376C">
      <w:pPr>
        <w:pStyle w:val="H23G"/>
        <w:ind w:left="2268"/>
      </w:pPr>
      <w:r w:rsidRPr="00EF2646">
        <w:t>Chapter 2.8</w:t>
      </w:r>
    </w:p>
    <w:p w:rsidR="006231F3" w:rsidRPr="00EF2646" w:rsidRDefault="006231F3" w:rsidP="006231F3">
      <w:pPr>
        <w:pStyle w:val="SingleTxtG"/>
      </w:pPr>
      <w:r w:rsidRPr="00EF2646">
        <w:t>[Amend Chapter 2.8 to read as follows:</w:t>
      </w:r>
    </w:p>
    <w:p w:rsidR="006231F3" w:rsidRPr="00EF2646" w:rsidRDefault="006231F3" w:rsidP="006231F3">
      <w:pPr>
        <w:pStyle w:val="SingleTxtG"/>
      </w:pPr>
      <w:r w:rsidRPr="00EF2646">
        <w:t>“</w:t>
      </w:r>
      <w:r w:rsidR="003B7AA8" w:rsidRPr="00EF2646">
        <w:t xml:space="preserve">CHAPTER </w:t>
      </w:r>
      <w:r w:rsidRPr="00EF2646">
        <w:t>2.8</w:t>
      </w:r>
    </w:p>
    <w:p w:rsidR="006231F3" w:rsidRPr="00EF2646" w:rsidRDefault="003B7AA8" w:rsidP="006231F3">
      <w:pPr>
        <w:pStyle w:val="SingleTxtG"/>
      </w:pPr>
      <w:r w:rsidRPr="00EF2646">
        <w:t>CLASS 8 – CORROSIVE SUBSTANCES</w:t>
      </w:r>
    </w:p>
    <w:p w:rsidR="006231F3" w:rsidRPr="00EF2646" w:rsidRDefault="006231F3" w:rsidP="006231F3">
      <w:pPr>
        <w:pStyle w:val="SingleTxtG"/>
        <w:rPr>
          <w:b/>
          <w:u w:val="single"/>
        </w:rPr>
      </w:pPr>
      <w:r w:rsidRPr="00EF2646">
        <w:rPr>
          <w:b/>
        </w:rPr>
        <w:t>2.8.1</w:t>
      </w:r>
      <w:r w:rsidRPr="00EF2646">
        <w:rPr>
          <w:b/>
        </w:rPr>
        <w:tab/>
      </w:r>
      <w:r w:rsidRPr="00EF2646">
        <w:rPr>
          <w:b/>
        </w:rPr>
        <w:tab/>
        <w:t>Definition and general provisions</w:t>
      </w:r>
      <w:r w:rsidRPr="00EF2646">
        <w:rPr>
          <w:b/>
          <w:u w:val="single"/>
        </w:rPr>
        <w:t xml:space="preserve"> </w:t>
      </w:r>
    </w:p>
    <w:p w:rsidR="006231F3" w:rsidRPr="00EF2646" w:rsidRDefault="006231F3" w:rsidP="006231F3">
      <w:pPr>
        <w:pStyle w:val="SingleTxtG"/>
      </w:pPr>
      <w:r w:rsidRPr="00EF2646">
        <w:lastRenderedPageBreak/>
        <w:t xml:space="preserve">2.8.1.1 </w:t>
      </w:r>
      <w:r w:rsidRPr="00EF2646">
        <w:tab/>
      </w:r>
      <w:r w:rsidRPr="00EF2646">
        <w:rPr>
          <w:i/>
          <w:iCs/>
        </w:rPr>
        <w:t xml:space="preserve">Corrosive substances </w:t>
      </w:r>
      <w:r w:rsidRPr="00EF2646">
        <w:t xml:space="preserve">are substances which, by chemical action, will cause irreversible damage to the </w:t>
      </w:r>
      <w:proofErr w:type="gramStart"/>
      <w:r w:rsidRPr="00EF2646">
        <w:t>skin,</w:t>
      </w:r>
      <w:proofErr w:type="gramEnd"/>
      <w:r w:rsidRPr="00EF2646">
        <w:t xml:space="preserve"> or, in the case of leakage, will materially damage, or even destroy, other goods or the means of transport. </w:t>
      </w:r>
    </w:p>
    <w:p w:rsidR="006231F3" w:rsidRPr="00EF2646" w:rsidRDefault="006231F3" w:rsidP="006231F3">
      <w:pPr>
        <w:pStyle w:val="SingleTxtG"/>
      </w:pPr>
      <w:r w:rsidRPr="00EF2646">
        <w:t xml:space="preserve">2.8.1.2 </w:t>
      </w:r>
      <w:r w:rsidRPr="00EF2646">
        <w:tab/>
        <w:t xml:space="preserve">For substances and mixtures that are corrosive to skin, general classification provisions are provided in section 2.8.2. [Skin corrosion refers to the production of irreversible damage to the skin, namely, visible necrosis through the epidermis and into the dermis occurring after exposure to a substance or mixture.] [A substance is corrosive to skin when it leads to the destruction of skin tissue, namely, visible necrosis through the epidermis and into the dermis, in at least one tested animal after exposure for up to 4 hours.] </w:t>
      </w:r>
    </w:p>
    <w:p w:rsidR="006231F3" w:rsidRPr="00EF2646" w:rsidRDefault="006231F3" w:rsidP="006231F3">
      <w:pPr>
        <w:pStyle w:val="SingleTxtG"/>
      </w:pPr>
      <w:r w:rsidRPr="00EF2646">
        <w:t xml:space="preserve">2.8.1.3 </w:t>
      </w:r>
      <w:r w:rsidRPr="00EF2646">
        <w:tab/>
        <w:t xml:space="preserve">Liquids and solids which may become liquid during transport, which are judged not to be skin corrosive shall still be considered for their potential to cause corrosion to certain metal surfaces in accordance with the criteria in 2.8.3.3 (c) (ii). </w:t>
      </w:r>
    </w:p>
    <w:p w:rsidR="006231F3" w:rsidRPr="00EF2646" w:rsidRDefault="006231F3" w:rsidP="006231F3">
      <w:pPr>
        <w:pStyle w:val="SingleTxtG"/>
        <w:rPr>
          <w:b/>
        </w:rPr>
      </w:pPr>
      <w:r w:rsidRPr="00EF2646">
        <w:rPr>
          <w:b/>
        </w:rPr>
        <w:t>2.8.2</w:t>
      </w:r>
      <w:r w:rsidRPr="00EF2646">
        <w:rPr>
          <w:b/>
        </w:rPr>
        <w:tab/>
      </w:r>
      <w:r w:rsidRPr="00EF2646">
        <w:rPr>
          <w:b/>
        </w:rPr>
        <w:tab/>
        <w:t>General classification provisions</w:t>
      </w:r>
    </w:p>
    <w:p w:rsidR="006231F3" w:rsidRPr="00EF2646" w:rsidRDefault="006231F3" w:rsidP="006231F3">
      <w:pPr>
        <w:pStyle w:val="SingleTxtG"/>
      </w:pPr>
      <w:r w:rsidRPr="00EF2646">
        <w:t xml:space="preserve">2.8.2.1 </w:t>
      </w:r>
      <w:r w:rsidRPr="00EF2646">
        <w:tab/>
        <w:t xml:space="preserve">Substances and mixtures of Class 8 are divided among the three packing groups according to their degree of danger in transport: </w:t>
      </w:r>
    </w:p>
    <w:p w:rsidR="006231F3" w:rsidRPr="00EF2646" w:rsidRDefault="006231F3" w:rsidP="003B7AA8">
      <w:pPr>
        <w:pStyle w:val="SingleTxtG"/>
        <w:ind w:left="2268"/>
      </w:pPr>
      <w:r w:rsidRPr="00EF2646">
        <w:t>(a)</w:t>
      </w:r>
      <w:r w:rsidRPr="00EF2646">
        <w:tab/>
      </w:r>
      <w:r w:rsidRPr="00EF2646">
        <w:rPr>
          <w:i/>
          <w:iCs/>
        </w:rPr>
        <w:t xml:space="preserve">Packing group I </w:t>
      </w:r>
      <w:r w:rsidRPr="00EF2646">
        <w:t xml:space="preserve">is assigned to very dangerous substances and mixtures; </w:t>
      </w:r>
    </w:p>
    <w:p w:rsidR="006231F3" w:rsidRPr="00EF2646" w:rsidRDefault="006231F3" w:rsidP="003B7AA8">
      <w:pPr>
        <w:pStyle w:val="SingleTxtG"/>
        <w:ind w:left="2268"/>
      </w:pPr>
      <w:r w:rsidRPr="00EF2646">
        <w:t xml:space="preserve">(b) </w:t>
      </w:r>
      <w:r w:rsidRPr="00EF2646">
        <w:tab/>
      </w:r>
      <w:r w:rsidRPr="00EF2646">
        <w:rPr>
          <w:i/>
          <w:iCs/>
        </w:rPr>
        <w:t>Packing group II</w:t>
      </w:r>
      <w:r w:rsidRPr="00EF2646">
        <w:t xml:space="preserve"> is assigned to substances and mixtures presenting medium danger; </w:t>
      </w:r>
    </w:p>
    <w:p w:rsidR="006231F3" w:rsidRPr="00EF2646" w:rsidRDefault="006231F3" w:rsidP="003B7AA8">
      <w:pPr>
        <w:pStyle w:val="SingleTxtG"/>
        <w:ind w:left="2268"/>
        <w:rPr>
          <w:i/>
        </w:rPr>
      </w:pPr>
      <w:r w:rsidRPr="00EF2646">
        <w:t xml:space="preserve">(c) </w:t>
      </w:r>
      <w:r w:rsidRPr="00EF2646">
        <w:tab/>
      </w:r>
      <w:r w:rsidRPr="00EF2646">
        <w:rPr>
          <w:i/>
        </w:rPr>
        <w:t>Packing group III</w:t>
      </w:r>
      <w:r w:rsidRPr="00EF2646">
        <w:t xml:space="preserve"> is assigned to substances and mixtures that present minor danger. </w:t>
      </w:r>
    </w:p>
    <w:p w:rsidR="006231F3" w:rsidRPr="00EF2646" w:rsidRDefault="006231F3" w:rsidP="006231F3">
      <w:pPr>
        <w:pStyle w:val="SingleTxtG"/>
      </w:pPr>
      <w:r w:rsidRPr="00EF2646">
        <w:t xml:space="preserve">2.8.2.2 </w:t>
      </w:r>
      <w:r w:rsidRPr="00EF2646">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rsidR="006231F3" w:rsidRPr="00EF2646" w:rsidRDefault="006231F3" w:rsidP="006231F3">
      <w:pPr>
        <w:pStyle w:val="SingleTxtG"/>
        <w:rPr>
          <w:strike/>
        </w:rPr>
      </w:pPr>
      <w:r w:rsidRPr="00EF2646">
        <w:t>2.8.2.3</w:t>
      </w:r>
      <w:r w:rsidRPr="00EF2646">
        <w:tab/>
      </w:r>
      <w:r w:rsidRPr="00EF2646">
        <w:tab/>
        <w:t xml:space="preserve">New substances and mixtures can be assigned to packing groups on the basis of the length of time of contact necessary to produce [full thickness destruction of human skin] in accordance with the criteria in 2.8.3. Alternatively, for mixtures, the criteria in 2.8.4 can be used. </w:t>
      </w:r>
    </w:p>
    <w:p w:rsidR="006231F3" w:rsidRPr="00EF2646" w:rsidRDefault="006231F3" w:rsidP="006231F3">
      <w:pPr>
        <w:pStyle w:val="SingleTxtG"/>
      </w:pPr>
      <w:r w:rsidRPr="00EF2646">
        <w:t xml:space="preserve">2.8.2.4 </w:t>
      </w:r>
      <w:r w:rsidRPr="00EF2646">
        <w:tab/>
        <w:t>A substance or mixture meeting the criteria of Class 8 having an inhalation toxicity of dusts and mists (LC</w:t>
      </w:r>
      <w:r w:rsidRPr="00EF2646">
        <w:rPr>
          <w:vertAlign w:val="subscript"/>
        </w:rPr>
        <w:t>50</w:t>
      </w:r>
      <w:r w:rsidRPr="00EF2646">
        <w:t>) in the range of packing group I, but toxicity through oral ingestion or dermal contact only in the range of packing group III or less, shall be allocated to Class 8 (see note under 2.6.2.2.4.1).</w:t>
      </w:r>
    </w:p>
    <w:p w:rsidR="006231F3" w:rsidRPr="00EF2646" w:rsidRDefault="006231F3" w:rsidP="006231F3">
      <w:pPr>
        <w:pStyle w:val="SingleTxtG"/>
        <w:rPr>
          <w:b/>
        </w:rPr>
      </w:pPr>
      <w:r w:rsidRPr="00EF2646">
        <w:rPr>
          <w:b/>
        </w:rPr>
        <w:t>2.8.3</w:t>
      </w:r>
      <w:r w:rsidRPr="00EF2646">
        <w:rPr>
          <w:b/>
        </w:rPr>
        <w:tab/>
      </w:r>
      <w:r w:rsidRPr="00EF2646">
        <w:rPr>
          <w:b/>
        </w:rPr>
        <w:tab/>
        <w:t>Packing group assignment for substances and mixtures</w:t>
      </w:r>
    </w:p>
    <w:p w:rsidR="006231F3" w:rsidRPr="00EF2646" w:rsidRDefault="006231F3" w:rsidP="006231F3">
      <w:pPr>
        <w:pStyle w:val="SingleTxtG"/>
      </w:pPr>
      <w:r w:rsidRPr="00EF2646">
        <w:t>2.8.3.1</w:t>
      </w:r>
      <w:r w:rsidRPr="00EF2646">
        <w:tab/>
      </w:r>
      <w:r w:rsidRPr="00EF2646">
        <w:tab/>
        <w:t>Existing human and animal data including information from single or repeated exposure shall be the first line of evaluation, as they give information directly relevant to effects on the skin.</w:t>
      </w:r>
    </w:p>
    <w:p w:rsidR="006231F3" w:rsidRPr="00EF2646" w:rsidRDefault="006231F3" w:rsidP="006231F3">
      <w:pPr>
        <w:pStyle w:val="SingleTxtG"/>
      </w:pPr>
      <w:r w:rsidRPr="00EF2646">
        <w:t>2.8.3.2</w:t>
      </w:r>
      <w:r w:rsidRPr="00EF2646">
        <w:rPr>
          <w:i/>
        </w:rPr>
        <w:tab/>
      </w:r>
      <w:r w:rsidRPr="00EF2646">
        <w:rPr>
          <w:i/>
        </w:rPr>
        <w:tab/>
      </w:r>
      <w:r w:rsidRPr="00EF2646">
        <w:t>In assigning the packing group in accordance with 2.8.2.3, account shall be taken of human experience in instances of accidental exposure. In the absence of human experience the grouping shall be based on data obtained from experiments in accordance with OECD Test Guideline 404</w:t>
      </w:r>
      <w:r w:rsidRPr="00EF2646">
        <w:rPr>
          <w:rStyle w:val="FootnoteReference"/>
        </w:rPr>
        <w:footnoteReference w:id="2"/>
      </w:r>
      <w:r w:rsidRPr="00EF2646">
        <w:t xml:space="preserve"> or 435</w:t>
      </w:r>
      <w:r w:rsidRPr="00EF2646">
        <w:rPr>
          <w:rStyle w:val="FootnoteReference"/>
        </w:rPr>
        <w:footnoteReference w:id="3"/>
      </w:r>
      <w:r w:rsidRPr="00EF2646">
        <w:t xml:space="preserve">. A substance or mixture which is determined not to </w:t>
      </w:r>
      <w:r w:rsidRPr="00EF2646">
        <w:lastRenderedPageBreak/>
        <w:t>be corrosive in accordance with OECD Test Guideline 430</w:t>
      </w:r>
      <w:r w:rsidRPr="00EF2646">
        <w:rPr>
          <w:rStyle w:val="FootnoteReference"/>
        </w:rPr>
        <w:footnoteReference w:id="4"/>
      </w:r>
      <w:r w:rsidRPr="00EF2646">
        <w:t xml:space="preserve"> or 431</w:t>
      </w:r>
      <w:r w:rsidRPr="00EF2646">
        <w:rPr>
          <w:rStyle w:val="FootnoteReference"/>
        </w:rPr>
        <w:footnoteReference w:id="5"/>
      </w:r>
      <w:r w:rsidRPr="00EF2646">
        <w:t xml:space="preserve"> may be considered not to be corrosive to skin for the purposes of these Regulations without further testing.</w:t>
      </w:r>
      <w:r w:rsidRPr="00EF2646" w:rsidDel="00A26428">
        <w:t xml:space="preserve"> </w:t>
      </w:r>
    </w:p>
    <w:p w:rsidR="006231F3" w:rsidRPr="00EF2646" w:rsidRDefault="006231F3" w:rsidP="006231F3">
      <w:pPr>
        <w:pStyle w:val="SingleTxtG"/>
      </w:pPr>
      <w:r w:rsidRPr="00EF2646">
        <w:t>2.8.3.3</w:t>
      </w:r>
      <w:r w:rsidRPr="00EF2646">
        <w:tab/>
      </w:r>
      <w:r w:rsidRPr="00EF2646">
        <w:tab/>
        <w:t xml:space="preserve">Packing groups are assigned to corrosive substances in accordance with the following criteria (see table </w:t>
      </w:r>
      <w:r w:rsidR="003B7AA8" w:rsidRPr="00EF2646">
        <w:t>2.8.3.4</w:t>
      </w:r>
      <w:r w:rsidRPr="00EF2646">
        <w:t>):</w:t>
      </w:r>
    </w:p>
    <w:p w:rsidR="006231F3" w:rsidRPr="00EF2646" w:rsidRDefault="006231F3" w:rsidP="003B7AA8">
      <w:pPr>
        <w:pStyle w:val="SingleTxtG"/>
        <w:ind w:left="2268"/>
      </w:pPr>
      <w:r w:rsidRPr="00EF2646">
        <w:t>(a)</w:t>
      </w:r>
      <w:r w:rsidRPr="00EF2646">
        <w:tab/>
        <w:t>Packing group I is assigned to substances that cause [full thickness destruction] of intact skin tissue within an observation period up to 60 minutes starting after the exposure time of three minutes or less;</w:t>
      </w:r>
    </w:p>
    <w:p w:rsidR="006231F3" w:rsidRPr="00EF2646" w:rsidRDefault="006231F3" w:rsidP="003B7AA8">
      <w:pPr>
        <w:pStyle w:val="SingleTxtG"/>
        <w:ind w:left="2268"/>
      </w:pPr>
      <w:r w:rsidRPr="00EF2646">
        <w:t>(b)</w:t>
      </w:r>
      <w:r w:rsidRPr="00EF2646">
        <w:tab/>
        <w:t>Packing group II is assigned to substances that cause [full thickness destruction] of intact skin tissue within an observation period up to 14 days starting after the exposure time of more than three minutes but not more than 60 minutes;</w:t>
      </w:r>
    </w:p>
    <w:p w:rsidR="006231F3" w:rsidRPr="00EF2646" w:rsidRDefault="006231F3" w:rsidP="003B7AA8">
      <w:pPr>
        <w:pStyle w:val="SingleTxtG"/>
        <w:ind w:left="2268"/>
      </w:pPr>
      <w:r w:rsidRPr="00EF2646">
        <w:t xml:space="preserve">(c) </w:t>
      </w:r>
      <w:r w:rsidRPr="00EF2646">
        <w:tab/>
        <w:t>Packing group III is assigned to substances that:</w:t>
      </w:r>
    </w:p>
    <w:p w:rsidR="006231F3" w:rsidRPr="00EF2646" w:rsidRDefault="006231F3" w:rsidP="003B7AA8">
      <w:pPr>
        <w:pStyle w:val="SingleTxtG"/>
        <w:ind w:left="2835"/>
      </w:pPr>
      <w:r w:rsidRPr="00EF2646">
        <w:t>(i)</w:t>
      </w:r>
      <w:r w:rsidRPr="00EF2646">
        <w:tab/>
        <w:t>Cause [full thickness destruction] of intact skin tissue within an observation period up to 14 days starting after the exposure time of more than 60 minutes but not more than 4 hours; or</w:t>
      </w:r>
    </w:p>
    <w:p w:rsidR="006231F3" w:rsidRPr="00EF2646" w:rsidRDefault="006231F3" w:rsidP="003B7AA8">
      <w:pPr>
        <w:pStyle w:val="SingleTxtG"/>
        <w:ind w:left="2835"/>
      </w:pPr>
      <w:r w:rsidRPr="00EF2646">
        <w:t>(ii)</w:t>
      </w:r>
      <w:r w:rsidRPr="00EF2646">
        <w:tab/>
      </w:r>
      <w:proofErr w:type="gramStart"/>
      <w:r w:rsidRPr="00EF2646">
        <w:t>are</w:t>
      </w:r>
      <w:proofErr w:type="gramEnd"/>
      <w:r w:rsidRPr="00EF2646">
        <w:t xml:space="preserv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rsidR="006231F3" w:rsidRPr="00EF2646" w:rsidRDefault="006231F3" w:rsidP="003B7AA8">
      <w:pPr>
        <w:pStyle w:val="SingleTxtG"/>
        <w:ind w:left="2835"/>
        <w:rPr>
          <w:i/>
        </w:rPr>
      </w:pPr>
      <w:r w:rsidRPr="00EF2646">
        <w:rPr>
          <w:b/>
          <w:i/>
        </w:rPr>
        <w:t>NOTE:</w:t>
      </w:r>
      <w:r w:rsidRPr="00EF2646">
        <w:rPr>
          <w:i/>
        </w:rPr>
        <w:t xml:space="preserve"> Where an initial test on either steel or aluminium indicates the substance being tested is corrosive the follow up test on the other metal is not required.</w:t>
      </w:r>
    </w:p>
    <w:p w:rsidR="006231F3" w:rsidRPr="00EF2646" w:rsidRDefault="006231F3" w:rsidP="003B7AA8">
      <w:pPr>
        <w:pStyle w:val="SingleTxtG"/>
        <w:jc w:val="center"/>
        <w:rPr>
          <w:b/>
        </w:rPr>
      </w:pPr>
      <w:r w:rsidRPr="00EF2646">
        <w:rPr>
          <w:b/>
        </w:rPr>
        <w:t>Table 2.8.3.4: Table summarizing the criteria in 2.8.3.3</w:t>
      </w:r>
    </w:p>
    <w:tbl>
      <w:tblPr>
        <w:tblStyle w:val="TableGrid"/>
        <w:tblW w:w="0" w:type="auto"/>
        <w:tblInd w:w="1134" w:type="dxa"/>
        <w:tblLook w:val="04A0" w:firstRow="1" w:lastRow="0" w:firstColumn="1" w:lastColumn="0" w:noHBand="0" w:noVBand="1"/>
      </w:tblPr>
      <w:tblGrid>
        <w:gridCol w:w="959"/>
        <w:gridCol w:w="1559"/>
        <w:gridCol w:w="1276"/>
        <w:gridCol w:w="4433"/>
      </w:tblGrid>
      <w:tr w:rsidR="006231F3" w:rsidRPr="00EF2646" w:rsidTr="00B840EF">
        <w:tc>
          <w:tcPr>
            <w:tcW w:w="959" w:type="dxa"/>
          </w:tcPr>
          <w:p w:rsidR="006231F3" w:rsidRPr="00EF2646" w:rsidRDefault="006231F3" w:rsidP="00B840EF">
            <w:pPr>
              <w:jc w:val="center"/>
              <w:rPr>
                <w:b/>
                <w:color w:val="000000"/>
              </w:rPr>
            </w:pPr>
            <w:r w:rsidRPr="00EF2646">
              <w:rPr>
                <w:b/>
                <w:color w:val="000000"/>
              </w:rPr>
              <w:t>Packing Group</w:t>
            </w:r>
          </w:p>
        </w:tc>
        <w:tc>
          <w:tcPr>
            <w:tcW w:w="1559" w:type="dxa"/>
          </w:tcPr>
          <w:p w:rsidR="006231F3" w:rsidRPr="00EF2646" w:rsidRDefault="006231F3" w:rsidP="00B840EF">
            <w:pPr>
              <w:jc w:val="center"/>
              <w:rPr>
                <w:b/>
                <w:color w:val="000000"/>
              </w:rPr>
            </w:pPr>
            <w:r w:rsidRPr="00EF2646">
              <w:rPr>
                <w:b/>
                <w:color w:val="000000"/>
              </w:rPr>
              <w:t xml:space="preserve">Exposure </w:t>
            </w:r>
            <w:r w:rsidRPr="00EF2646">
              <w:rPr>
                <w:b/>
                <w:color w:val="000000"/>
              </w:rPr>
              <w:br/>
              <w:t>Time</w:t>
            </w:r>
          </w:p>
        </w:tc>
        <w:tc>
          <w:tcPr>
            <w:tcW w:w="1276" w:type="dxa"/>
          </w:tcPr>
          <w:p w:rsidR="006231F3" w:rsidRPr="00EF2646" w:rsidRDefault="006231F3" w:rsidP="00B840EF">
            <w:pPr>
              <w:jc w:val="center"/>
              <w:rPr>
                <w:b/>
                <w:color w:val="000000"/>
              </w:rPr>
            </w:pPr>
            <w:r w:rsidRPr="00EF2646">
              <w:rPr>
                <w:b/>
                <w:color w:val="000000"/>
              </w:rPr>
              <w:t>Observation Period</w:t>
            </w:r>
          </w:p>
        </w:tc>
        <w:tc>
          <w:tcPr>
            <w:tcW w:w="4433" w:type="dxa"/>
          </w:tcPr>
          <w:p w:rsidR="006231F3" w:rsidRPr="00EF2646" w:rsidRDefault="006231F3" w:rsidP="00B840EF">
            <w:pPr>
              <w:jc w:val="center"/>
              <w:rPr>
                <w:b/>
                <w:color w:val="000000"/>
              </w:rPr>
            </w:pPr>
            <w:r w:rsidRPr="00EF2646">
              <w:rPr>
                <w:b/>
                <w:color w:val="000000"/>
              </w:rPr>
              <w:t>Effect</w:t>
            </w:r>
          </w:p>
        </w:tc>
      </w:tr>
      <w:tr w:rsidR="006231F3" w:rsidRPr="00EF2646" w:rsidTr="00B840EF">
        <w:tc>
          <w:tcPr>
            <w:tcW w:w="959" w:type="dxa"/>
            <w:vAlign w:val="center"/>
          </w:tcPr>
          <w:p w:rsidR="006231F3" w:rsidRPr="00EF2646" w:rsidRDefault="006231F3" w:rsidP="00B840EF">
            <w:pPr>
              <w:jc w:val="center"/>
              <w:rPr>
                <w:color w:val="000000"/>
              </w:rPr>
            </w:pPr>
            <w:r w:rsidRPr="00EF2646">
              <w:rPr>
                <w:color w:val="000000"/>
              </w:rPr>
              <w:t>I</w:t>
            </w:r>
          </w:p>
        </w:tc>
        <w:tc>
          <w:tcPr>
            <w:tcW w:w="1559" w:type="dxa"/>
            <w:vAlign w:val="center"/>
          </w:tcPr>
          <w:p w:rsidR="006231F3" w:rsidRPr="00EF2646" w:rsidRDefault="006231F3" w:rsidP="00B840EF">
            <w:pPr>
              <w:jc w:val="center"/>
              <w:rPr>
                <w:color w:val="000000"/>
              </w:rPr>
            </w:pPr>
            <w:r w:rsidRPr="00EF2646">
              <w:rPr>
                <w:color w:val="000000"/>
              </w:rPr>
              <w:t>≤ 3 min</w:t>
            </w:r>
          </w:p>
        </w:tc>
        <w:tc>
          <w:tcPr>
            <w:tcW w:w="1276" w:type="dxa"/>
            <w:vAlign w:val="center"/>
          </w:tcPr>
          <w:p w:rsidR="006231F3" w:rsidRPr="00EF2646" w:rsidRDefault="006231F3" w:rsidP="00B840EF">
            <w:pPr>
              <w:jc w:val="center"/>
              <w:rPr>
                <w:color w:val="000000"/>
              </w:rPr>
            </w:pPr>
            <w:r w:rsidRPr="00EF2646">
              <w:rPr>
                <w:color w:val="000000"/>
              </w:rPr>
              <w:t>≤ 60 min</w:t>
            </w:r>
          </w:p>
        </w:tc>
        <w:tc>
          <w:tcPr>
            <w:tcW w:w="4433" w:type="dxa"/>
          </w:tcPr>
          <w:p w:rsidR="006231F3" w:rsidRPr="00EF2646" w:rsidRDefault="006231F3" w:rsidP="00B840EF">
            <w:pPr>
              <w:rPr>
                <w:color w:val="000000"/>
              </w:rPr>
            </w:pPr>
            <w:r w:rsidRPr="00EF2646">
              <w:rPr>
                <w:color w:val="000000"/>
              </w:rPr>
              <w:t>[full thickness destruction] of intact skin</w:t>
            </w:r>
          </w:p>
        </w:tc>
      </w:tr>
      <w:tr w:rsidR="006231F3" w:rsidRPr="00EF2646" w:rsidTr="00B840EF">
        <w:tc>
          <w:tcPr>
            <w:tcW w:w="959" w:type="dxa"/>
            <w:vAlign w:val="center"/>
          </w:tcPr>
          <w:p w:rsidR="006231F3" w:rsidRPr="00EF2646" w:rsidRDefault="006231F3" w:rsidP="00B840EF">
            <w:pPr>
              <w:jc w:val="center"/>
              <w:rPr>
                <w:color w:val="000000"/>
              </w:rPr>
            </w:pPr>
            <w:r w:rsidRPr="00EF2646">
              <w:rPr>
                <w:color w:val="000000"/>
              </w:rPr>
              <w:t>II</w:t>
            </w:r>
          </w:p>
        </w:tc>
        <w:tc>
          <w:tcPr>
            <w:tcW w:w="1559" w:type="dxa"/>
            <w:vAlign w:val="center"/>
          </w:tcPr>
          <w:p w:rsidR="006231F3" w:rsidRPr="00EF2646" w:rsidRDefault="006231F3" w:rsidP="00B840EF">
            <w:pPr>
              <w:jc w:val="center"/>
              <w:rPr>
                <w:color w:val="000000"/>
              </w:rPr>
            </w:pPr>
            <w:r w:rsidRPr="00EF2646">
              <w:rPr>
                <w:color w:val="000000"/>
              </w:rPr>
              <w:t>&gt; 3 min ≤ 1 h</w:t>
            </w:r>
          </w:p>
        </w:tc>
        <w:tc>
          <w:tcPr>
            <w:tcW w:w="1276" w:type="dxa"/>
            <w:vAlign w:val="center"/>
          </w:tcPr>
          <w:p w:rsidR="006231F3" w:rsidRPr="00EF2646" w:rsidRDefault="006231F3" w:rsidP="00B840EF">
            <w:pPr>
              <w:jc w:val="center"/>
              <w:rPr>
                <w:color w:val="000000"/>
              </w:rPr>
            </w:pPr>
            <w:r w:rsidRPr="00EF2646">
              <w:rPr>
                <w:color w:val="000000"/>
              </w:rPr>
              <w:t>≤ 14 d</w:t>
            </w:r>
          </w:p>
        </w:tc>
        <w:tc>
          <w:tcPr>
            <w:tcW w:w="4433" w:type="dxa"/>
          </w:tcPr>
          <w:p w:rsidR="006231F3" w:rsidRPr="00EF2646" w:rsidRDefault="006231F3" w:rsidP="00B840EF">
            <w:pPr>
              <w:rPr>
                <w:color w:val="000000"/>
              </w:rPr>
            </w:pPr>
            <w:r w:rsidRPr="00EF2646">
              <w:rPr>
                <w:color w:val="000000"/>
              </w:rPr>
              <w:t>[full thickness destruction] of intact skin</w:t>
            </w:r>
          </w:p>
        </w:tc>
      </w:tr>
      <w:tr w:rsidR="006231F3" w:rsidRPr="00EF2646" w:rsidTr="00B840EF">
        <w:tc>
          <w:tcPr>
            <w:tcW w:w="959" w:type="dxa"/>
            <w:vAlign w:val="center"/>
          </w:tcPr>
          <w:p w:rsidR="006231F3" w:rsidRPr="00EF2646" w:rsidRDefault="006231F3" w:rsidP="00B840EF">
            <w:pPr>
              <w:jc w:val="center"/>
              <w:rPr>
                <w:color w:val="000000"/>
              </w:rPr>
            </w:pPr>
            <w:r w:rsidRPr="00EF2646">
              <w:rPr>
                <w:color w:val="000000"/>
              </w:rPr>
              <w:t>III</w:t>
            </w:r>
          </w:p>
        </w:tc>
        <w:tc>
          <w:tcPr>
            <w:tcW w:w="1559" w:type="dxa"/>
            <w:vAlign w:val="center"/>
          </w:tcPr>
          <w:p w:rsidR="006231F3" w:rsidRPr="00EF2646" w:rsidRDefault="006231F3" w:rsidP="00B840EF">
            <w:pPr>
              <w:jc w:val="center"/>
              <w:rPr>
                <w:color w:val="000000"/>
              </w:rPr>
            </w:pPr>
            <w:r w:rsidRPr="00EF2646">
              <w:rPr>
                <w:color w:val="000000"/>
              </w:rPr>
              <w:t>&gt; 1 h ≤ 4 h</w:t>
            </w:r>
          </w:p>
        </w:tc>
        <w:tc>
          <w:tcPr>
            <w:tcW w:w="1276" w:type="dxa"/>
            <w:vAlign w:val="center"/>
          </w:tcPr>
          <w:p w:rsidR="006231F3" w:rsidRPr="00EF2646" w:rsidRDefault="006231F3" w:rsidP="00B840EF">
            <w:pPr>
              <w:jc w:val="center"/>
              <w:rPr>
                <w:color w:val="000000"/>
              </w:rPr>
            </w:pPr>
            <w:r w:rsidRPr="00EF2646">
              <w:rPr>
                <w:color w:val="000000"/>
              </w:rPr>
              <w:t>≤ 14 d</w:t>
            </w:r>
          </w:p>
        </w:tc>
        <w:tc>
          <w:tcPr>
            <w:tcW w:w="4433" w:type="dxa"/>
          </w:tcPr>
          <w:p w:rsidR="006231F3" w:rsidRPr="00EF2646" w:rsidRDefault="006231F3" w:rsidP="00B840EF">
            <w:pPr>
              <w:rPr>
                <w:color w:val="000000"/>
              </w:rPr>
            </w:pPr>
            <w:r w:rsidRPr="00EF2646">
              <w:rPr>
                <w:color w:val="000000"/>
              </w:rPr>
              <w:t>[full thickness destruction] of intact skin</w:t>
            </w:r>
          </w:p>
        </w:tc>
      </w:tr>
      <w:tr w:rsidR="006231F3" w:rsidRPr="00EF2646" w:rsidTr="00B840EF">
        <w:tc>
          <w:tcPr>
            <w:tcW w:w="959" w:type="dxa"/>
          </w:tcPr>
          <w:p w:rsidR="006231F3" w:rsidRPr="00EF2646" w:rsidRDefault="006231F3" w:rsidP="00B840EF">
            <w:pPr>
              <w:jc w:val="center"/>
              <w:rPr>
                <w:color w:val="000000"/>
              </w:rPr>
            </w:pPr>
            <w:r w:rsidRPr="00EF2646">
              <w:rPr>
                <w:color w:val="000000"/>
              </w:rPr>
              <w:t>III</w:t>
            </w:r>
          </w:p>
        </w:tc>
        <w:tc>
          <w:tcPr>
            <w:tcW w:w="1559" w:type="dxa"/>
          </w:tcPr>
          <w:p w:rsidR="006231F3" w:rsidRPr="00EF2646" w:rsidRDefault="006231F3" w:rsidP="00B840EF">
            <w:pPr>
              <w:jc w:val="center"/>
              <w:rPr>
                <w:color w:val="000000"/>
              </w:rPr>
            </w:pPr>
            <w:r w:rsidRPr="00EF2646">
              <w:rPr>
                <w:color w:val="000000"/>
              </w:rPr>
              <w:t>-</w:t>
            </w:r>
          </w:p>
        </w:tc>
        <w:tc>
          <w:tcPr>
            <w:tcW w:w="1276" w:type="dxa"/>
          </w:tcPr>
          <w:p w:rsidR="006231F3" w:rsidRPr="00EF2646" w:rsidRDefault="006231F3" w:rsidP="00B840EF">
            <w:pPr>
              <w:jc w:val="center"/>
              <w:rPr>
                <w:color w:val="000000"/>
              </w:rPr>
            </w:pPr>
            <w:r w:rsidRPr="00EF2646">
              <w:rPr>
                <w:color w:val="000000"/>
              </w:rPr>
              <w:t>-</w:t>
            </w:r>
          </w:p>
        </w:tc>
        <w:tc>
          <w:tcPr>
            <w:tcW w:w="4433" w:type="dxa"/>
          </w:tcPr>
          <w:p w:rsidR="006231F3" w:rsidRPr="00EF2646" w:rsidRDefault="006231F3" w:rsidP="00B840EF">
            <w:pPr>
              <w:jc w:val="both"/>
              <w:rPr>
                <w:color w:val="000000"/>
              </w:rPr>
            </w:pPr>
            <w:r w:rsidRPr="00EF2646">
              <w:rPr>
                <w:color w:val="000000"/>
              </w:rPr>
              <w:t>Corrosion rate on either steel or aluminium surfaces exceeding 6.25 mm a year at a test temperature of 55 ºC when tested on both materials</w:t>
            </w:r>
          </w:p>
        </w:tc>
      </w:tr>
    </w:tbl>
    <w:p w:rsidR="006231F3" w:rsidRPr="00EF2646" w:rsidRDefault="006231F3" w:rsidP="003B7AA8">
      <w:pPr>
        <w:pStyle w:val="SingleTxtG"/>
        <w:spacing w:before="120"/>
        <w:rPr>
          <w:b/>
        </w:rPr>
      </w:pPr>
      <w:r w:rsidRPr="00EF2646">
        <w:rPr>
          <w:b/>
        </w:rPr>
        <w:t xml:space="preserve">2.8.4 </w:t>
      </w:r>
      <w:r w:rsidRPr="00EF2646">
        <w:rPr>
          <w:b/>
        </w:rPr>
        <w:tab/>
      </w:r>
      <w:r w:rsidR="003B7AA8" w:rsidRPr="00EF2646">
        <w:rPr>
          <w:b/>
        </w:rPr>
        <w:tab/>
      </w:r>
      <w:r w:rsidRPr="00EF2646">
        <w:rPr>
          <w:b/>
        </w:rPr>
        <w:t>Alternative packing group assignment methods for mixtures: Step-wise approach</w:t>
      </w:r>
    </w:p>
    <w:p w:rsidR="006231F3" w:rsidRPr="00EF2646" w:rsidRDefault="006231F3" w:rsidP="006231F3">
      <w:pPr>
        <w:pStyle w:val="SingleTxtG"/>
      </w:pPr>
      <w:r w:rsidRPr="00EF2646">
        <w:rPr>
          <w:bCs/>
        </w:rPr>
        <w:t xml:space="preserve">2.8.4.1 </w:t>
      </w:r>
      <w:r w:rsidRPr="00EF2646">
        <w:rPr>
          <w:bCs/>
        </w:rPr>
        <w:tab/>
      </w:r>
      <w:r w:rsidRPr="00EF2646">
        <w:rPr>
          <w:i/>
        </w:rPr>
        <w:t>General provisions</w:t>
      </w:r>
    </w:p>
    <w:p w:rsidR="006231F3" w:rsidRPr="00EF2646" w:rsidRDefault="006231F3" w:rsidP="006231F3">
      <w:pPr>
        <w:pStyle w:val="SingleTxtG"/>
      </w:pPr>
      <w:r w:rsidRPr="00EF2646">
        <w:t xml:space="preserve">2.8.4.1.1 </w:t>
      </w:r>
      <w:r w:rsidRPr="00EF2646">
        <w:tab/>
        <w:t xml:space="preserve">For mixtures it is necessary to obtain or derive information that allows the criteria to be applied to the mixture for the purpose of classification and assignment of </w:t>
      </w:r>
      <w:r w:rsidRPr="00EF2646">
        <w:lastRenderedPageBreak/>
        <w:t xml:space="preserve">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rsidR="006231F3" w:rsidRPr="00EF2646" w:rsidRDefault="006231F3" w:rsidP="003B7AA8">
      <w:pPr>
        <w:pStyle w:val="SingleTxtG"/>
        <w:jc w:val="center"/>
        <w:rPr>
          <w:b/>
          <w:noProof/>
          <w:lang w:eastAsia="nl-NL"/>
        </w:rPr>
      </w:pPr>
      <w:r w:rsidRPr="00EF2646">
        <w:rPr>
          <w:b/>
          <w:noProof/>
          <w:lang w:eastAsia="en-GB"/>
        </w:rPr>
        <mc:AlternateContent>
          <mc:Choice Requires="wpg">
            <w:drawing>
              <wp:anchor distT="0" distB="0" distL="114300" distR="114300" simplePos="0" relativeHeight="251667456" behindDoc="0" locked="0" layoutInCell="1" allowOverlap="1" wp14:anchorId="6D417E58" wp14:editId="0498EB29">
                <wp:simplePos x="0" y="0"/>
                <wp:positionH relativeFrom="column">
                  <wp:posOffset>397510</wp:posOffset>
                </wp:positionH>
                <wp:positionV relativeFrom="paragraph">
                  <wp:posOffset>387985</wp:posOffset>
                </wp:positionV>
                <wp:extent cx="5328285" cy="2184400"/>
                <wp:effectExtent l="0" t="0" r="24765" b="25400"/>
                <wp:wrapTopAndBottom/>
                <wp:docPr id="2"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5" name="Groep 4"/>
                        <wpg:cNvGrpSpPr/>
                        <wpg:grpSpPr>
                          <a:xfrm>
                            <a:off x="0" y="1"/>
                            <a:ext cx="5328285" cy="2184400"/>
                            <a:chOff x="0" y="1"/>
                            <a:chExt cx="5328592" cy="2184471"/>
                          </a:xfrm>
                        </wpg:grpSpPr>
                        <wps:wsp>
                          <wps:cNvPr id="6"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7" name="Tekstvak 9"/>
                          <wps:cNvSpPr txBox="1"/>
                          <wps:spPr>
                            <a:xfrm>
                              <a:off x="937260" y="525780"/>
                              <a:ext cx="431825" cy="243848"/>
                            </a:xfrm>
                            <a:prstGeom prst="rect">
                              <a:avLst/>
                            </a:prstGeom>
                            <a:noFill/>
                          </wps:spPr>
                          <wps:txbx>
                            <w:txbxContent>
                              <w:p w:rsidR="00D821A0" w:rsidRDefault="00D821A0" w:rsidP="006231F3">
                                <w:pPr>
                                  <w:pStyle w:val="NormalWeb"/>
                                </w:pPr>
                                <w:r>
                                  <w:rPr>
                                    <w:rFonts w:eastAsia="+mn-ea"/>
                                    <w:color w:val="000000"/>
                                    <w:kern w:val="24"/>
                                    <w:sz w:val="20"/>
                                    <w:szCs w:val="20"/>
                                  </w:rPr>
                                  <w:t>No</w:t>
                                </w:r>
                              </w:p>
                            </w:txbxContent>
                          </wps:txbx>
                          <wps:bodyPr wrap="square" rtlCol="0">
                            <a:spAutoFit/>
                          </wps:bodyPr>
                        </wps:wsp>
                        <wps:wsp>
                          <wps:cNvPr id="11" name="Tekstvak 16"/>
                          <wps:cNvSpPr txBox="1"/>
                          <wps:spPr>
                            <a:xfrm>
                              <a:off x="38100" y="784860"/>
                              <a:ext cx="1799694" cy="548658"/>
                            </a:xfrm>
                            <a:prstGeom prst="rect">
                              <a:avLst/>
                            </a:prstGeom>
                            <a:noFill/>
                          </wps:spPr>
                          <wps:txbx>
                            <w:txbxContent>
                              <w:p w:rsidR="00D821A0" w:rsidRPr="00C749FC" w:rsidRDefault="00D821A0" w:rsidP="006231F3">
                                <w:pPr>
                                  <w:pStyle w:val="NormalWeb"/>
                                  <w:jc w:val="center"/>
                                </w:pPr>
                                <w:r w:rsidRPr="00C749FC">
                                  <w:rPr>
                                    <w:rFonts w:eastAsia="+mn-ea"/>
                                    <w:color w:val="000000"/>
                                    <w:kern w:val="24"/>
                                    <w:sz w:val="20"/>
                                    <w:szCs w:val="20"/>
                                  </w:rPr>
                                  <w:t>Sufficient data available on similar mixtures to estimate classification hazards</w:t>
                                </w:r>
                              </w:p>
                            </w:txbxContent>
                          </wps:txbx>
                          <wps:bodyPr wrap="square" rtlCol="0">
                            <a:spAutoFit/>
                          </wps:bodyPr>
                        </wps:wsp>
                        <wps:wsp>
                          <wps:cNvPr id="12" name="Tekstvak 17"/>
                          <wps:cNvSpPr txBox="1"/>
                          <wps:spPr>
                            <a:xfrm>
                              <a:off x="38100" y="1653540"/>
                              <a:ext cx="1799694" cy="396253"/>
                            </a:xfrm>
                            <a:prstGeom prst="rect">
                              <a:avLst/>
                            </a:prstGeom>
                            <a:noFill/>
                          </wps:spPr>
                          <wps:txbx>
                            <w:txbxContent>
                              <w:p w:rsidR="00D821A0" w:rsidRPr="00C749FC" w:rsidRDefault="00D821A0" w:rsidP="006231F3">
                                <w:pPr>
                                  <w:pStyle w:val="NormalWeb"/>
                                  <w:jc w:val="center"/>
                                </w:pPr>
                                <w:r w:rsidRPr="00C749FC">
                                  <w:rPr>
                                    <w:rFonts w:eastAsia="+mn-ea"/>
                                    <w:color w:val="000000"/>
                                    <w:kern w:val="24"/>
                                    <w:sz w:val="20"/>
                                    <w:szCs w:val="20"/>
                                  </w:rPr>
                                  <w:t>Available corrosivity data for all ingredients</w:t>
                                </w:r>
                              </w:p>
                            </w:txbxContent>
                          </wps:txbx>
                          <wps:bodyPr wrap="square" rtlCol="0">
                            <a:spAutoFit/>
                          </wps:bodyPr>
                        </wps:wsp>
                        <wpg:grpSp>
                          <wpg:cNvPr id="13" name="Groep 20"/>
                          <wpg:cNvGrpSpPr/>
                          <wpg:grpSpPr>
                            <a:xfrm>
                              <a:off x="952500" y="1363980"/>
                              <a:ext cx="431825" cy="257810"/>
                              <a:chOff x="936104" y="1364958"/>
                              <a:chExt cx="431825" cy="257835"/>
                            </a:xfrm>
                          </wpg:grpSpPr>
                          <wps:wsp>
                            <wps:cNvPr id="14" name="Tekstvak 18"/>
                            <wps:cNvSpPr txBox="1"/>
                            <wps:spPr>
                              <a:xfrm>
                                <a:off x="936104" y="1364958"/>
                                <a:ext cx="431825" cy="243871"/>
                              </a:xfrm>
                              <a:prstGeom prst="rect">
                                <a:avLst/>
                              </a:prstGeom>
                              <a:noFill/>
                            </wps:spPr>
                            <wps:txbx>
                              <w:txbxContent>
                                <w:p w:rsidR="00D821A0" w:rsidRDefault="00D821A0" w:rsidP="006231F3">
                                  <w:pPr>
                                    <w:pStyle w:val="NormalWeb"/>
                                  </w:pPr>
                                  <w:r>
                                    <w:rPr>
                                      <w:color w:val="000000" w:themeColor="text1"/>
                                      <w:kern w:val="24"/>
                                      <w:sz w:val="20"/>
                                      <w:szCs w:val="20"/>
                                    </w:rPr>
                                    <w:t>No</w:t>
                                  </w:r>
                                </w:p>
                              </w:txbxContent>
                            </wps:txbx>
                            <wps:bodyPr wrap="square" rtlCol="0">
                              <a:spAutoFit/>
                            </wps:bodyPr>
                          </wps:wsp>
                          <wps:wsp>
                            <wps:cNvPr id="15"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20" name="Tekstvak 23"/>
                          <wps:cNvSpPr txBox="1"/>
                          <wps:spPr>
                            <a:xfrm>
                              <a:off x="1729740" y="830580"/>
                              <a:ext cx="431825" cy="243848"/>
                            </a:xfrm>
                            <a:prstGeom prst="rect">
                              <a:avLst/>
                            </a:prstGeom>
                            <a:noFill/>
                          </wps:spPr>
                          <wps:txbx>
                            <w:txbxContent>
                              <w:p w:rsidR="00D821A0" w:rsidRDefault="00D821A0" w:rsidP="006231F3">
                                <w:pPr>
                                  <w:pStyle w:val="NormalWeb"/>
                                  <w:jc w:val="center"/>
                                </w:pPr>
                                <w:r>
                                  <w:rPr>
                                    <w:rFonts w:eastAsia="+mn-ea"/>
                                    <w:color w:val="000000"/>
                                    <w:kern w:val="24"/>
                                    <w:sz w:val="20"/>
                                    <w:szCs w:val="20"/>
                                  </w:rPr>
                                  <w:t>Yes</w:t>
                                </w:r>
                              </w:p>
                            </w:txbxContent>
                          </wps:txbx>
                          <wps:bodyPr wrap="square" rtlCol="0">
                            <a:spAutoFit/>
                          </wps:bodyPr>
                        </wps:wsp>
                        <wps:wsp>
                          <wps:cNvPr id="22" name="Tekstvak 31"/>
                          <wps:cNvSpPr txBox="1"/>
                          <wps:spPr>
                            <a:xfrm>
                              <a:off x="1729740" y="1645920"/>
                              <a:ext cx="431825" cy="243848"/>
                            </a:xfrm>
                            <a:prstGeom prst="rect">
                              <a:avLst/>
                            </a:prstGeom>
                            <a:noFill/>
                          </wps:spPr>
                          <wps:txbx>
                            <w:txbxContent>
                              <w:p w:rsidR="00D821A0" w:rsidRDefault="00D821A0" w:rsidP="006231F3">
                                <w:pPr>
                                  <w:pStyle w:val="NormalWeb"/>
                                  <w:jc w:val="center"/>
                                </w:pPr>
                                <w:r>
                                  <w:rPr>
                                    <w:rFonts w:eastAsia="+mn-ea"/>
                                    <w:color w:val="000000"/>
                                    <w:kern w:val="24"/>
                                    <w:sz w:val="20"/>
                                    <w:szCs w:val="20"/>
                                  </w:rPr>
                                  <w:t>Yes</w:t>
                                </w:r>
                              </w:p>
                            </w:txbxContent>
                          </wps:txbx>
                          <wps:bodyPr wrap="square" rtlCol="0">
                            <a:spAutoFit/>
                          </wps:bodyPr>
                        </wps:wsp>
                        <wps:wsp>
                          <wps:cNvPr id="25" name="Tekstvak 32"/>
                          <wps:cNvSpPr txBox="1"/>
                          <wps:spPr>
                            <a:xfrm>
                              <a:off x="2164080" y="861060"/>
                              <a:ext cx="1583781" cy="396253"/>
                            </a:xfrm>
                            <a:prstGeom prst="rect">
                              <a:avLst/>
                            </a:prstGeom>
                            <a:noFill/>
                          </wps:spPr>
                          <wps:txbx>
                            <w:txbxContent>
                              <w:p w:rsidR="00D821A0" w:rsidRDefault="00D821A0" w:rsidP="006231F3">
                                <w:pPr>
                                  <w:pStyle w:val="NormalWeb"/>
                                  <w:jc w:val="center"/>
                                </w:pPr>
                                <w:r>
                                  <w:rPr>
                                    <w:rFonts w:eastAsia="+mn-ea"/>
                                    <w:color w:val="000000"/>
                                    <w:kern w:val="24"/>
                                    <w:sz w:val="20"/>
                                    <w:szCs w:val="20"/>
                                  </w:rPr>
                                  <w:t>Apply bridging principles in 2.8.4.2</w:t>
                                </w:r>
                              </w:p>
                            </w:txbxContent>
                          </wps:txbx>
                          <wps:bodyPr wrap="square" rtlCol="0">
                            <a:spAutoFit/>
                          </wps:bodyPr>
                        </wps:wsp>
                        <wps:wsp>
                          <wps:cNvPr id="26" name="Tekstvak 36"/>
                          <wps:cNvSpPr txBox="1"/>
                          <wps:spPr>
                            <a:xfrm>
                              <a:off x="4320540" y="861060"/>
                              <a:ext cx="1007803" cy="396253"/>
                            </a:xfrm>
                            <a:prstGeom prst="rect">
                              <a:avLst/>
                            </a:prstGeom>
                            <a:noFill/>
                          </wps:spPr>
                          <wps:txbx>
                            <w:txbxContent>
                              <w:p w:rsidR="00D821A0" w:rsidRDefault="00D821A0" w:rsidP="006231F3">
                                <w:pPr>
                                  <w:pStyle w:val="NormalWeb"/>
                                  <w:jc w:val="center"/>
                                </w:pPr>
                                <w:r>
                                  <w:rPr>
                                    <w:rFonts w:eastAsia="+mn-ea"/>
                                    <w:b/>
                                    <w:bCs/>
                                    <w:color w:val="000000"/>
                                    <w:kern w:val="24"/>
                                    <w:sz w:val="20"/>
                                    <w:szCs w:val="20"/>
                                  </w:rPr>
                                  <w:t>Classify and assign PG</w:t>
                                </w:r>
                              </w:p>
                            </w:txbxContent>
                          </wps:txbx>
                          <wps:bodyPr wrap="square" rtlCol="0">
                            <a:spAutoFit/>
                          </wps:bodyPr>
                        </wps:wsp>
                        <wps:wsp>
                          <wps:cNvPr id="27" name="Tekstvak 38"/>
                          <wps:cNvSpPr txBox="1"/>
                          <wps:spPr>
                            <a:xfrm>
                              <a:off x="2164080" y="1684020"/>
                              <a:ext cx="1583781" cy="396253"/>
                            </a:xfrm>
                            <a:prstGeom prst="rect">
                              <a:avLst/>
                            </a:prstGeom>
                            <a:noFill/>
                          </wps:spPr>
                          <wps:txbx>
                            <w:txbxContent>
                              <w:p w:rsidR="00D821A0" w:rsidRDefault="00D821A0" w:rsidP="006231F3">
                                <w:pPr>
                                  <w:pStyle w:val="NormalWeb"/>
                                  <w:jc w:val="center"/>
                                </w:pPr>
                                <w:r>
                                  <w:rPr>
                                    <w:rFonts w:eastAsia="+mn-ea"/>
                                    <w:color w:val="000000"/>
                                    <w:kern w:val="24"/>
                                    <w:sz w:val="20"/>
                                    <w:szCs w:val="20"/>
                                  </w:rPr>
                                  <w:t>Apply calculation method in 2.8.4.3</w:t>
                                </w:r>
                              </w:p>
                            </w:txbxContent>
                          </wps:txbx>
                          <wps:bodyPr wrap="square" rtlCol="0">
                            <a:spAutoFit/>
                          </wps:bodyPr>
                        </wps:wsp>
                        <wps:wsp>
                          <wps:cNvPr id="28" name="Tekstvak 40"/>
                          <wps:cNvSpPr txBox="1"/>
                          <wps:spPr>
                            <a:xfrm>
                              <a:off x="4320540" y="1684020"/>
                              <a:ext cx="1007803" cy="396253"/>
                            </a:xfrm>
                            <a:prstGeom prst="rect">
                              <a:avLst/>
                            </a:prstGeom>
                            <a:noFill/>
                          </wps:spPr>
                          <wps:txbx>
                            <w:txbxContent>
                              <w:p w:rsidR="00D821A0" w:rsidRDefault="00D821A0" w:rsidP="006231F3">
                                <w:pPr>
                                  <w:pStyle w:val="NormalWeb"/>
                                  <w:jc w:val="center"/>
                                </w:pPr>
                                <w:r>
                                  <w:rPr>
                                    <w:rFonts w:eastAsia="+mn-ea"/>
                                    <w:b/>
                                    <w:bCs/>
                                    <w:color w:val="000000"/>
                                    <w:kern w:val="24"/>
                                    <w:sz w:val="20"/>
                                    <w:szCs w:val="20"/>
                                  </w:rPr>
                                  <w:t>Classify and assign PG</w:t>
                                </w:r>
                              </w:p>
                            </w:txbxContent>
                          </wps:txbx>
                          <wps:bodyPr wrap="square" rtlCol="0">
                            <a:spAutoFit/>
                          </wps:bodyPr>
                        </wps:wsp>
                        <wps:wsp>
                          <wps:cNvPr id="29" name="Tekstvak 53"/>
                          <wps:cNvSpPr txBox="1"/>
                          <wps:spPr>
                            <a:xfrm>
                              <a:off x="38100" y="76200"/>
                              <a:ext cx="1799694" cy="396253"/>
                            </a:xfrm>
                            <a:prstGeom prst="rect">
                              <a:avLst/>
                            </a:prstGeom>
                            <a:noFill/>
                          </wps:spPr>
                          <wps:txbx>
                            <w:txbxContent>
                              <w:p w:rsidR="00D821A0" w:rsidRPr="00C749FC" w:rsidRDefault="00D821A0" w:rsidP="006231F3">
                                <w:pPr>
                                  <w:pStyle w:val="NormalWeb"/>
                                  <w:jc w:val="center"/>
                                </w:pPr>
                                <w:r w:rsidRPr="00C749FC">
                                  <w:rPr>
                                    <w:rFonts w:eastAsia="+mn-ea"/>
                                    <w:color w:val="000000"/>
                                    <w:kern w:val="24"/>
                                    <w:sz w:val="20"/>
                                    <w:szCs w:val="20"/>
                                  </w:rPr>
                                  <w:t>Test data available on the mixture as a whole</w:t>
                                </w:r>
                              </w:p>
                            </w:txbxContent>
                          </wps:txbx>
                          <wps:bodyPr wrap="square" rtlCol="0">
                            <a:spAutoFit/>
                          </wps:bodyPr>
                        </wps:wsp>
                        <wps:wsp>
                          <wps:cNvPr id="30" name="Tekstvak 55"/>
                          <wps:cNvSpPr txBox="1"/>
                          <wps:spPr>
                            <a:xfrm>
                              <a:off x="1729740" y="68580"/>
                              <a:ext cx="431825" cy="243848"/>
                            </a:xfrm>
                            <a:prstGeom prst="rect">
                              <a:avLst/>
                            </a:prstGeom>
                            <a:noFill/>
                          </wps:spPr>
                          <wps:txbx>
                            <w:txbxContent>
                              <w:p w:rsidR="00D821A0" w:rsidRDefault="00D821A0" w:rsidP="006231F3">
                                <w:pPr>
                                  <w:pStyle w:val="NormalWeb"/>
                                  <w:jc w:val="center"/>
                                </w:pPr>
                                <w:r>
                                  <w:rPr>
                                    <w:rFonts w:eastAsia="+mn-ea"/>
                                    <w:color w:val="000000"/>
                                    <w:kern w:val="24"/>
                                    <w:sz w:val="20"/>
                                    <w:szCs w:val="20"/>
                                  </w:rPr>
                                  <w:t>Yes</w:t>
                                </w:r>
                              </w:p>
                            </w:txbxContent>
                          </wps:txbx>
                          <wps:bodyPr wrap="square" rtlCol="0">
                            <a:spAutoFit/>
                          </wps:bodyPr>
                        </wps:wsp>
                        <wps:wsp>
                          <wps:cNvPr id="34" name="Tekstvak 56"/>
                          <wps:cNvSpPr txBox="1"/>
                          <wps:spPr>
                            <a:xfrm>
                              <a:off x="2164080" y="182880"/>
                              <a:ext cx="1583781" cy="243848"/>
                            </a:xfrm>
                            <a:prstGeom prst="rect">
                              <a:avLst/>
                            </a:prstGeom>
                            <a:noFill/>
                          </wps:spPr>
                          <wps:txbx>
                            <w:txbxContent>
                              <w:p w:rsidR="00D821A0" w:rsidRDefault="00D821A0" w:rsidP="006231F3">
                                <w:pPr>
                                  <w:pStyle w:val="NormalWeb"/>
                                  <w:jc w:val="center"/>
                                </w:pPr>
                                <w:r>
                                  <w:rPr>
                                    <w:rFonts w:eastAsia="+mn-ea"/>
                                    <w:color w:val="000000"/>
                                    <w:kern w:val="24"/>
                                    <w:sz w:val="20"/>
                                    <w:szCs w:val="20"/>
                                  </w:rPr>
                                  <w:t>Apply criteria in 2.8.3.3</w:t>
                                </w:r>
                              </w:p>
                            </w:txbxContent>
                          </wps:txbx>
                          <wps:bodyPr wrap="square" rtlCol="0">
                            <a:spAutoFit/>
                          </wps:bodyPr>
                        </wps:wsp>
                        <wps:wsp>
                          <wps:cNvPr id="36"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38" name="Tekstvak 58"/>
                          <wps:cNvSpPr txBox="1"/>
                          <wps:spPr>
                            <a:xfrm>
                              <a:off x="4320540" y="106680"/>
                              <a:ext cx="1007803" cy="396253"/>
                            </a:xfrm>
                            <a:prstGeom prst="rect">
                              <a:avLst/>
                            </a:prstGeom>
                            <a:noFill/>
                          </wps:spPr>
                          <wps:txbx>
                            <w:txbxContent>
                              <w:p w:rsidR="00D821A0" w:rsidRDefault="00D821A0" w:rsidP="006231F3">
                                <w:pPr>
                                  <w:pStyle w:val="NormalWeb"/>
                                  <w:jc w:val="center"/>
                                </w:pPr>
                                <w:r>
                                  <w:rPr>
                                    <w:rFonts w:eastAsia="+mn-ea"/>
                                    <w:b/>
                                    <w:bCs/>
                                    <w:color w:val="000000"/>
                                    <w:kern w:val="24"/>
                                    <w:sz w:val="20"/>
                                    <w:szCs w:val="20"/>
                                  </w:rPr>
                                  <w:t>Classify and assign PG</w:t>
                                </w:r>
                              </w:p>
                            </w:txbxContent>
                          </wps:txbx>
                          <wps:bodyPr wrap="square" rtlCol="0">
                            <a:spAutoFit/>
                          </wps:bodyPr>
                        </wps:wsp>
                      </wpg:grpSp>
                      <wps:wsp>
                        <wps:cNvPr id="42"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43"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44"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45"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46"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47"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Groep 2" o:spid="_x0000_s1026" style="position:absolute;left:0;text-align:left;margin-left:31.3pt;margin-top:30.55pt;width:419.55pt;height:172pt;z-index:251667456;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">
                <v:group id="Groep 4" o:spid="_x0000_s1027" style="position:absolute;width:53282;height:21844" coordorigin="" coordsize="53285,2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hthoek 60" o:spid="_x0000_s1028" style="position:absolute;width:53285;height:2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BqcAA&#10;AADaAAAADwAAAGRycy9kb3ducmV2LnhtbESPT4vCMBTE7wv7HcJb8LamFalajbIrCOLNf/dH82zj&#10;Ni/dJmr99kYQPA4z8xtmtuhsLa7UeuNYQdpPQBAXThsuFRz2q+8xCB+QNdaOScGdPCzmnx8zzLW7&#10;8Zauu1CKCGGfo4IqhCaX0hcVWfR91xBH7+RaiyHKtpS6xVuE21oOkiSTFg3HhQobWlZU/O0uVkEz&#10;TCeb8+8hMYUZ3X2Kxyz810r1vrqfKYhAXXiHX+21VpDB80q8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NBqcAAAADaAAAADwAAAAAAAAAAAAAAAACYAgAAZHJzL2Rvd25y&#10;ZXYueG1sUEsFBgAAAAAEAAQA9QAAAIUDA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D821A0" w:rsidRDefault="00D821A0" w:rsidP="006231F3">
                          <w:pPr>
                            <w:pStyle w:val="NormalWeb"/>
                          </w:pPr>
                          <w:r>
                            <w:rPr>
                              <w:rFonts w:eastAsia="+mn-ea"/>
                              <w:color w:val="000000"/>
                              <w:kern w:val="24"/>
                              <w:sz w:val="20"/>
                              <w:szCs w:val="20"/>
                            </w:rPr>
                            <w:t>No</w:t>
                          </w:r>
                        </w:p>
                      </w:txbxContent>
                    </v:textbox>
                  </v:shape>
                  <v:shape id="Tekstvak 16" o:spid="_x0000_s1030" type="#_x0000_t202" style="position:absolute;left:381;top:7848;width:17996;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D821A0" w:rsidRPr="00C749FC" w:rsidRDefault="00D821A0" w:rsidP="006231F3">
                          <w:pPr>
                            <w:pStyle w:val="NormalWeb"/>
                            <w:jc w:val="center"/>
                          </w:pPr>
                          <w:r w:rsidRPr="00C749FC">
                            <w:rPr>
                              <w:rFonts w:eastAsia="+mn-ea"/>
                              <w:color w:val="000000"/>
                              <w:kern w:val="24"/>
                              <w:sz w:val="20"/>
                              <w:szCs w:val="20"/>
                            </w:rPr>
                            <w:t>Sufficient data available on similar mixtures to estimate classification hazards</w:t>
                          </w:r>
                        </w:p>
                      </w:txbxContent>
                    </v:textbox>
                  </v:shape>
                  <v:shape id="Tekstvak 17" o:spid="_x0000_s1031" type="#_x0000_t202" style="position:absolute;left:381;top:16535;width:1799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821A0" w:rsidRPr="00C749FC" w:rsidRDefault="00D821A0" w:rsidP="006231F3">
                          <w:pPr>
                            <w:pStyle w:val="NormalWeb"/>
                            <w:jc w:val="center"/>
                          </w:pPr>
                          <w:r w:rsidRPr="00C749FC">
                            <w:rPr>
                              <w:rFonts w:eastAsia="+mn-ea"/>
                              <w:color w:val="000000"/>
                              <w:kern w:val="24"/>
                              <w:sz w:val="20"/>
                              <w:szCs w:val="20"/>
                            </w:rPr>
                            <w:t>Available corrosivity data for all ingredients</w:t>
                          </w:r>
                        </w:p>
                      </w:txbxContent>
                    </v:textbox>
                  </v:shape>
                  <v:group id="Groep 20" o:spid="_x0000_s1032" style="position:absolute;left:9525;top:13639;width:4318;height:2578" coordorigin="9361,13649" coordsize="4318,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kstvak 18" o:spid="_x0000_s1033" type="#_x0000_t202" style="position:absolute;left:9361;top:13649;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D821A0" w:rsidRDefault="00D821A0" w:rsidP="006231F3">
                            <w:pPr>
                              <w:pStyle w:val="NormalWeb"/>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2PMEAAADbAAAADwAAAGRycy9kb3ducmV2LnhtbERPTWuDQBC9F/IflgnkVlcLkc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fY8wQAAANsAAAAPAAAAAAAAAAAAAAAA&#10;AKECAABkcnMvZG93bnJldi54bWxQSwUGAAAAAAQABAD5AAAAjwMAAAAA&#10;" strokecolor="windowText" strokeweight="1pt">
                      <v:stroke endarrow="open"/>
                    </v:shape>
                  </v:group>
                  <v:shape id="Tekstvak 23" o:spid="_x0000_s1035" type="#_x0000_t202" style="position:absolute;left:17297;top:8305;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D821A0" w:rsidRDefault="00D821A0" w:rsidP="006231F3">
                          <w:pPr>
                            <w:pStyle w:val="NormalWeb"/>
                            <w:jc w:val="center"/>
                          </w:pPr>
                          <w:r>
                            <w:rPr>
                              <w:rFonts w:eastAsia="+mn-ea"/>
                              <w:color w:val="000000"/>
                              <w:kern w:val="24"/>
                              <w:sz w:val="20"/>
                              <w:szCs w:val="20"/>
                            </w:rPr>
                            <w:t>Yes</w:t>
                          </w:r>
                        </w:p>
                      </w:txbxContent>
                    </v:textbox>
                  </v:shape>
                  <v:shape id="Tekstvak 31" o:spid="_x0000_s1036" type="#_x0000_t202" style="position:absolute;left:17297;top:16459;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821A0" w:rsidRDefault="00D821A0" w:rsidP="006231F3">
                          <w:pPr>
                            <w:pStyle w:val="NormalWeb"/>
                            <w:jc w:val="center"/>
                          </w:pPr>
                          <w:r>
                            <w:rPr>
                              <w:rFonts w:eastAsia="+mn-ea"/>
                              <w:color w:val="000000"/>
                              <w:kern w:val="24"/>
                              <w:sz w:val="20"/>
                              <w:szCs w:val="20"/>
                            </w:rPr>
                            <w:t>Yes</w:t>
                          </w:r>
                        </w:p>
                      </w:txbxContent>
                    </v:textbox>
                  </v:shape>
                  <v:shape id="Tekstvak 32" o:spid="_x0000_s1037" type="#_x0000_t202" style="position:absolute;left:21640;top:8610;width:1583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821A0" w:rsidRDefault="00D821A0" w:rsidP="006231F3">
                          <w:pPr>
                            <w:pStyle w:val="NormalWeb"/>
                            <w:jc w:val="center"/>
                          </w:pPr>
                          <w:r>
                            <w:rPr>
                              <w:rFonts w:eastAsia="+mn-ea"/>
                              <w:color w:val="000000"/>
                              <w:kern w:val="24"/>
                              <w:sz w:val="20"/>
                              <w:szCs w:val="20"/>
                            </w:rPr>
                            <w:t>Apply bridging principles in 2.8.4.2</w:t>
                          </w:r>
                        </w:p>
                      </w:txbxContent>
                    </v:textbox>
                  </v:shape>
                  <v:shape id="Tekstvak 36" o:spid="_x0000_s1038" type="#_x0000_t202" style="position:absolute;left:43205;top:8610;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D821A0" w:rsidRDefault="00D821A0" w:rsidP="006231F3">
                          <w:pPr>
                            <w:pStyle w:val="NormalWeb"/>
                            <w:jc w:val="center"/>
                          </w:pPr>
                          <w:r>
                            <w:rPr>
                              <w:rFonts w:eastAsia="+mn-ea"/>
                              <w:b/>
                              <w:bCs/>
                              <w:color w:val="000000"/>
                              <w:kern w:val="24"/>
                              <w:sz w:val="20"/>
                              <w:szCs w:val="20"/>
                            </w:rPr>
                            <w:t>Classify and assign PG</w:t>
                          </w:r>
                        </w:p>
                      </w:txbxContent>
                    </v:textbox>
                  </v:shape>
                  <v:shape id="Tekstvak 38" o:spid="_x0000_s1039" type="#_x0000_t202" style="position:absolute;left:21640;top:16840;width:1583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D821A0" w:rsidRDefault="00D821A0" w:rsidP="006231F3">
                          <w:pPr>
                            <w:pStyle w:val="NormalWeb"/>
                            <w:jc w:val="center"/>
                          </w:pPr>
                          <w:r>
                            <w:rPr>
                              <w:rFonts w:eastAsia="+mn-ea"/>
                              <w:color w:val="000000"/>
                              <w:kern w:val="24"/>
                              <w:sz w:val="20"/>
                              <w:szCs w:val="20"/>
                            </w:rPr>
                            <w:t>Apply calculation method in 2.8.4.3</w:t>
                          </w:r>
                        </w:p>
                      </w:txbxContent>
                    </v:textbox>
                  </v:shape>
                  <v:shape id="Tekstvak 40" o:spid="_x0000_s1040" type="#_x0000_t202" style="position:absolute;left:43205;top:16840;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D821A0" w:rsidRDefault="00D821A0" w:rsidP="006231F3">
                          <w:pPr>
                            <w:pStyle w:val="NormalWeb"/>
                            <w:jc w:val="center"/>
                          </w:pPr>
                          <w:r>
                            <w:rPr>
                              <w:rFonts w:eastAsia="+mn-ea"/>
                              <w:b/>
                              <w:bCs/>
                              <w:color w:val="000000"/>
                              <w:kern w:val="24"/>
                              <w:sz w:val="20"/>
                              <w:szCs w:val="20"/>
                            </w:rPr>
                            <w:t>Classify and assign PG</w:t>
                          </w:r>
                        </w:p>
                      </w:txbxContent>
                    </v:textbox>
                  </v:shape>
                  <v:shape id="Tekstvak 53" o:spid="_x0000_s1041" type="#_x0000_t202" style="position:absolute;left:381;top:762;width:1799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D821A0" w:rsidRPr="00C749FC" w:rsidRDefault="00D821A0" w:rsidP="006231F3">
                          <w:pPr>
                            <w:pStyle w:val="NormalWeb"/>
                            <w:jc w:val="center"/>
                          </w:pPr>
                          <w:r w:rsidRPr="00C749FC">
                            <w:rPr>
                              <w:rFonts w:eastAsia="+mn-ea"/>
                              <w:color w:val="000000"/>
                              <w:kern w:val="24"/>
                              <w:sz w:val="20"/>
                              <w:szCs w:val="20"/>
                            </w:rPr>
                            <w:t>Test data available on the mixture as a whole</w:t>
                          </w:r>
                        </w:p>
                      </w:txbxContent>
                    </v:textbox>
                  </v:shape>
                  <v:shape id="Tekstvak 55" o:spid="_x0000_s1042" type="#_x0000_t202" style="position:absolute;left:17297;top:685;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D821A0" w:rsidRDefault="00D821A0" w:rsidP="006231F3">
                          <w:pPr>
                            <w:pStyle w:val="NormalWeb"/>
                            <w:jc w:val="center"/>
                          </w:pPr>
                          <w:r>
                            <w:rPr>
                              <w:rFonts w:eastAsia="+mn-ea"/>
                              <w:color w:val="000000"/>
                              <w:kern w:val="24"/>
                              <w:sz w:val="20"/>
                              <w:szCs w:val="20"/>
                            </w:rPr>
                            <w:t>Yes</w:t>
                          </w:r>
                        </w:p>
                      </w:txbxContent>
                    </v:textbox>
                  </v:shape>
                  <v:shape id="Tekstvak 56" o:spid="_x0000_s1043" type="#_x0000_t202" style="position:absolute;left:21640;top:1828;width:1583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D821A0" w:rsidRDefault="00D821A0" w:rsidP="006231F3">
                          <w:pPr>
                            <w:pStyle w:val="NormalWeb"/>
                            <w:jc w:val="center"/>
                          </w:pPr>
                          <w:r>
                            <w:rPr>
                              <w:rFonts w:eastAsia="+mn-ea"/>
                              <w:color w:val="000000"/>
                              <w:kern w:val="24"/>
                              <w:sz w:val="20"/>
                              <w:szCs w:val="20"/>
                            </w:rPr>
                            <w:t>Apply criteria in 2.8.3.3</w:t>
                          </w:r>
                        </w:p>
                      </w:txbxContent>
                    </v:textbox>
                  </v:shape>
                  <v:shape id="Rechte verbindingslijn met pijl 57" o:spid="_x0000_s1044" type="#_x0000_t32" style="position:absolute;left:37490;top:3810;width:575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Y6cMAAADbAAAADwAAAGRycy9kb3ducmV2LnhtbESPQWsCMRCF70L/Q5hCb5qtFZWtUUQQ&#10;BIWq7cXbsJlulm4mS5LV3X9vCoLHx5v3vXmLVWdrcSUfKscK3kcZCOLC6YpLBT/f2+EcRIjIGmvH&#10;pKCnAKvly2CBuXY3PtH1HEuRIBxyVGBibHIpQ2HIYhi5hjh5v85bjEn6UmqPtwS3tRxn2VRarDg1&#10;GGxoY6j4O7c2vdHO9pvj17h1/aVn4w9HKidrpd5eu/UniEhdfB4/0jut4GMK/1sSA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GOnDAAAA2wAAAA8AAAAAAAAAAAAA&#10;AAAAoQIAAGRycy9kb3ducmV2LnhtbFBLBQYAAAAABAAEAPkAAACRAwAAAAA=&#10;" strokecolor="windowText" strokeweight="1pt">
                    <v:stroke endarrow="open"/>
                  </v:shape>
                  <v:shape id="Tekstvak 58" o:spid="_x0000_s1045" type="#_x0000_t202" style="position:absolute;left:43205;top:1066;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D821A0" w:rsidRDefault="00D821A0" w:rsidP="006231F3">
                          <w:pPr>
                            <w:pStyle w:val="NormalWeb"/>
                            <w:jc w:val="center"/>
                          </w:pPr>
                          <w:r>
                            <w:rPr>
                              <w:rFonts w:eastAsia="+mn-ea"/>
                              <w:b/>
                              <w:bCs/>
                              <w:color w:val="000000"/>
                              <w:kern w:val="24"/>
                              <w:sz w:val="20"/>
                              <w:szCs w:val="20"/>
                            </w:rPr>
                            <w:t>Classify and assign PG</w:t>
                          </w:r>
                        </w:p>
                      </w:txbxContent>
                    </v:textbox>
                  </v:shape>
                </v:group>
                <v:shape id="Rechte verbindingslijn met pijl 7" o:spid="_x0000_s1046" type="#_x0000_t32" style="position:absolute;left:9525;top:5257;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BVcQAAADbAAAADwAAAGRycy9kb3ducmV2LnhtbESPzWrDMBCE74W8g9hAbo1sE0zrRAkh&#10;xdBCodQNOS/WxjaxVo4l//Ttq0Khx2FmvmF2h9m0YqTeNZYVxOsIBHFpdcOVgvNX/vgEwnlkja1l&#10;UvBNDg77xcMOM20n/qSx8JUIEHYZKqi97zIpXVmTQbe2HXHwrrY36IPsK6l7nALctDKJolQabDgs&#10;1NjRqabyVgxGwZA/X97H+cVf4re0+LinPN0aVmq1nI9bEJ5m/x/+a79qBZsE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0FVxAAAANsAAAAPAAAAAAAAAAAA&#10;AAAAAKECAABkcnMvZG93bnJldi54bWxQSwUGAAAAAAQABAD5AAAAkgM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sMAAADbAAAADwAAAGRycy9kb3ducmV2LnhtbESPQWvCQBSE74X+h+UVems2Wgk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5M7DAAAA2wAAAA8AAAAAAAAAAAAA&#10;AAAAoQIAAGRycy9kb3ducmV2LnhtbFBLBQYAAAAABAAEAPkAAACRAw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8usIAAADbAAAADwAAAGRycy9kb3ducmV2LnhtbESPQYvCMBSE78L+h/AW9qapIkW7RpEV&#10;YQVBrIvnR/Nsi81Lt4lt/fdGEDwOM/MNs1j1phItNa60rGA8ikAQZ1aXnCv4O22HMxDOI2usLJOC&#10;OzlYLT8GC0y07fhIbepzESDsElRQeF8nUrqsIINuZGvi4F1sY9AH2eRSN9gFuKnkJIpiabDksFBg&#10;TT8FZdf0ZhTctvPzvu03/jzexenhP+buWrJSX5/9+huEp96/w6/2r1YwncL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8usIAAADbAAAADwAAAAAAAAAAAAAA&#10;AAChAgAAZHJzL2Rvd25yZXYueG1sUEsFBgAAAAAEAAQA+QAAAJADA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rZIcMAAADbAAAADwAAAGRycy9kb3ducmV2LnhtbESPQWvCQBSE74X+h+UVems2Sg0aXaUo&#10;goJQTIvnR/Y1CWbfxuyaxH/vCkKPw8x8wyxWg6lFR62rLCsYRTEI4tzqigsFvz/bjykI55E11pZJ&#10;wY0crJavLwtMte35SF3mCxEg7FJUUHrfpFK6vCSDLrINcfD+bGvQB9kWUrfYB7ip5TiOE2mw4rBQ&#10;YkPrkvJzdjUKrtvZ6dANG38a7ZPs+5Jwf65Yqfe34WsOwtPg/8PP9k4r+JzA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62SHDAAAA2wAAAA8AAAAAAAAAAAAA&#10;AAAAoQIAAGRycy9kb3ducmV2LnhtbFBLBQYAAAAABAAEAPkAAACRAw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HVsIAAADbAAAADwAAAGRycy9kb3ducmV2LnhtbESPQYvCMBSE78L+h/CEvWmqLMXtGkVW&#10;BAVBrIvnR/O2LTYvtYlt/fdGEDwOM/MNM1/2phItNa60rGAyjkAQZ1aXnCv4O21GMxDOI2usLJOC&#10;OzlYLj4Gc0y07fhIbepzESDsElRQeF8nUrqsIINubGvi4P3bxqAPssmlbrALcFPJaRTF0mDJYaHA&#10;mn4Lyi7pzSi4bb7P+7Zf+/NkF6eHa8zdpWSlPof96geEp96/w6/2Viv4iu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hHVsIAAADbAAAADwAAAAAAAAAAAAAA&#10;AAChAgAAZHJzL2Rvd25yZXYueG1sUEsFBgAAAAAEAAQA+QAAAJADA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izcQAAADbAAAADwAAAGRycy9kb3ducmV2LnhtbESPQWvCQBSE70L/w/IKvenGUqJGN1Is&#10;QguCmBbPj+xrEpJ9G7Nrkv77riB4HGbmG2azHU0jeupcZVnBfBaBIM6trrhQ8PO9ny5BOI+ssbFM&#10;Cv7IwTZ9mmww0XbgE/WZL0SAsEtQQel9m0jp8pIMupltiYP3azuDPsiukLrDIcBNI1+jKJYGKw4L&#10;Jba0Kymvs6tRcN2vzod+/PDn+VecHS8xD3XFSr08j+9rEJ5G/wjf259awdsCbl/CD5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OLNxAAAANsAAAAPAAAAAAAAAAAA&#10;AAAAAKECAABkcnMvZG93bnJldi54bWxQSwUGAAAAAAQABAD5AAAAkgMAAAAA&#10;" strokecolor="windowText" strokeweight="1pt">
                  <v:stroke endarrow="open"/>
                </v:shape>
                <w10:wrap type="topAndBottom"/>
              </v:group>
            </w:pict>
          </mc:Fallback>
        </mc:AlternateContent>
      </w:r>
      <w:r w:rsidRPr="00EF2646">
        <w:rPr>
          <w:b/>
        </w:rPr>
        <w:t>Figure 2.8.4.1: Step-wise approach to classify and assign packing group of corrosive mixtures</w:t>
      </w:r>
    </w:p>
    <w:p w:rsidR="003B7AA8" w:rsidRPr="00EF2646" w:rsidRDefault="003B7AA8" w:rsidP="003B7AA8">
      <w:pPr>
        <w:pStyle w:val="SingleTxtG"/>
        <w:spacing w:after="0"/>
      </w:pPr>
    </w:p>
    <w:p w:rsidR="006231F3" w:rsidRPr="00EF2646" w:rsidRDefault="006231F3" w:rsidP="003B7AA8">
      <w:pPr>
        <w:pStyle w:val="SingleTxtG"/>
      </w:pPr>
      <w:r w:rsidRPr="00EF2646">
        <w:t>2.8.4.2</w:t>
      </w:r>
      <w:r w:rsidRPr="00EF2646">
        <w:tab/>
      </w:r>
      <w:r w:rsidRPr="00EF2646">
        <w:tab/>
      </w:r>
      <w:r w:rsidRPr="00EF2646">
        <w:rPr>
          <w:i/>
        </w:rPr>
        <w:t>Bridging principles</w:t>
      </w:r>
    </w:p>
    <w:p w:rsidR="006231F3" w:rsidRPr="00EF2646" w:rsidRDefault="006231F3" w:rsidP="006231F3">
      <w:pPr>
        <w:pStyle w:val="SingleTxtG"/>
      </w:pPr>
      <w:r w:rsidRPr="00EF2646">
        <w:t>2.8.4.2.1</w:t>
      </w:r>
      <w:r w:rsidRPr="00EF2646">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rsidR="006231F3" w:rsidRPr="00EF2646" w:rsidRDefault="006231F3" w:rsidP="003B7AA8">
      <w:pPr>
        <w:pStyle w:val="SingleTxtG"/>
        <w:ind w:left="2268"/>
      </w:pPr>
      <w:r w:rsidRPr="00EF2646">
        <w:t>(a)</w:t>
      </w:r>
      <w:r w:rsidRPr="00EF2646">
        <w:tab/>
      </w:r>
      <w:r w:rsidRPr="00EF2646">
        <w:rPr>
          <w:b/>
        </w:rPr>
        <w:t>Dilution:</w:t>
      </w:r>
      <w:r w:rsidRPr="00EF2646">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rsidR="006231F3" w:rsidRPr="00EF2646" w:rsidRDefault="003B7AA8" w:rsidP="003B7AA8">
      <w:pPr>
        <w:pStyle w:val="SingleTxtG"/>
        <w:ind w:left="2268"/>
        <w:rPr>
          <w:i/>
        </w:rPr>
      </w:pPr>
      <w:r w:rsidRPr="00EF2646">
        <w:rPr>
          <w:b/>
          <w:i/>
        </w:rPr>
        <w:t>NOTE</w:t>
      </w:r>
      <w:r w:rsidR="006231F3" w:rsidRPr="00EF2646">
        <w:rPr>
          <w:b/>
          <w:i/>
        </w:rPr>
        <w:t>:</w:t>
      </w:r>
      <w:r w:rsidR="006231F3" w:rsidRPr="00EF2646">
        <w:rPr>
          <w:i/>
        </w:rPr>
        <w:t xml:space="preserve"> in certain cases, diluting a mixture or substance may lead to an increase in the corrosive properties. If this is the case, this bridging principle cannot be used.</w:t>
      </w:r>
    </w:p>
    <w:p w:rsidR="006231F3" w:rsidRPr="00EF2646" w:rsidRDefault="006231F3" w:rsidP="003B7AA8">
      <w:pPr>
        <w:pStyle w:val="SingleTxtG"/>
        <w:ind w:left="2268"/>
      </w:pPr>
      <w:r w:rsidRPr="00EF2646">
        <w:t>(b)</w:t>
      </w:r>
      <w:r w:rsidRPr="00EF2646">
        <w:tab/>
      </w:r>
      <w:r w:rsidRPr="00EF2646">
        <w:rPr>
          <w:b/>
        </w:rPr>
        <w:t>Batching:</w:t>
      </w:r>
      <w:r w:rsidRPr="00EF2646">
        <w:t xml:space="preserve">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rsidR="006231F3" w:rsidRPr="00EF2646" w:rsidRDefault="006231F3" w:rsidP="003B7AA8">
      <w:pPr>
        <w:pStyle w:val="SingleTxtG"/>
        <w:ind w:left="2268"/>
      </w:pPr>
      <w:r w:rsidRPr="00EF2646">
        <w:t>(c)</w:t>
      </w:r>
      <w:r w:rsidRPr="00EF2646">
        <w:tab/>
      </w:r>
      <w:r w:rsidRPr="00EF2646">
        <w:rPr>
          <w:b/>
        </w:rPr>
        <w:t>Concentration of mixtures of packing group I:</w:t>
      </w:r>
      <w:r w:rsidRPr="00EF2646">
        <w:t xml:space="preserve">  If a tested mixture meeting the criteria for inclusion in packing group I is concentrated, the more concentrated untested mixture may be assigned to packing group I without additional testing.</w:t>
      </w:r>
    </w:p>
    <w:p w:rsidR="006231F3" w:rsidRPr="00EF2646" w:rsidRDefault="006231F3" w:rsidP="003B7AA8">
      <w:pPr>
        <w:pStyle w:val="SingleTxtG"/>
        <w:ind w:left="2268"/>
      </w:pPr>
      <w:r w:rsidRPr="00EF2646">
        <w:t>(d)</w:t>
      </w:r>
      <w:r w:rsidRPr="00EF2646">
        <w:tab/>
      </w:r>
      <w:r w:rsidRPr="00EF2646">
        <w:rPr>
          <w:b/>
        </w:rPr>
        <w:t xml:space="preserve">Interpolation within one packing group:  </w:t>
      </w:r>
      <w:r w:rsidRPr="00EF2646">
        <w:t>For three mixtures (</w:t>
      </w:r>
      <w:r w:rsidR="003B7AA8" w:rsidRPr="00EF2646">
        <w:t>A</w:t>
      </w:r>
      <w:r w:rsidRPr="00EF2646">
        <w:t xml:space="preserve">, </w:t>
      </w:r>
      <w:r w:rsidR="003B7AA8" w:rsidRPr="00EF2646">
        <w:t xml:space="preserve">B </w:t>
      </w:r>
      <w:r w:rsidRPr="00EF2646">
        <w:t xml:space="preserve">and </w:t>
      </w:r>
      <w:r w:rsidR="003B7AA8" w:rsidRPr="00EF2646">
        <w:t>C</w:t>
      </w:r>
      <w:r w:rsidRPr="00EF2646">
        <w:t xml:space="preserve">) with identical ingredients, where mixtures </w:t>
      </w:r>
      <w:r w:rsidR="003B7AA8" w:rsidRPr="00EF2646">
        <w:t xml:space="preserve">A </w:t>
      </w:r>
      <w:r w:rsidRPr="00EF2646">
        <w:t xml:space="preserve">and </w:t>
      </w:r>
      <w:r w:rsidR="003B7AA8" w:rsidRPr="00EF2646">
        <w:t xml:space="preserve">B </w:t>
      </w:r>
      <w:r w:rsidRPr="00EF2646">
        <w:t xml:space="preserve">have been tested and are in the same skin corrosion packing group, and where untested </w:t>
      </w:r>
      <w:r w:rsidRPr="00EF2646">
        <w:lastRenderedPageBreak/>
        <w:t xml:space="preserve">mixture </w:t>
      </w:r>
      <w:r w:rsidR="003B7AA8" w:rsidRPr="00EF2646">
        <w:t xml:space="preserve">C </w:t>
      </w:r>
      <w:r w:rsidRPr="00EF2646">
        <w:t xml:space="preserve">has the same Class 8 ingredients as mixtures </w:t>
      </w:r>
      <w:r w:rsidR="003B7AA8" w:rsidRPr="00EF2646">
        <w:t xml:space="preserve">A </w:t>
      </w:r>
      <w:r w:rsidRPr="00EF2646">
        <w:t xml:space="preserve">and </w:t>
      </w:r>
      <w:r w:rsidR="003B7AA8" w:rsidRPr="00EF2646">
        <w:t xml:space="preserve">B </w:t>
      </w:r>
      <w:r w:rsidRPr="00EF2646">
        <w:t xml:space="preserve">but has concentrations of Class 8 ingredients intermediate to the concentrations in mixtures </w:t>
      </w:r>
      <w:r w:rsidR="003B7AA8" w:rsidRPr="00EF2646">
        <w:t xml:space="preserve">A </w:t>
      </w:r>
      <w:r w:rsidRPr="00EF2646">
        <w:t xml:space="preserve">and </w:t>
      </w:r>
      <w:r w:rsidR="003B7AA8" w:rsidRPr="00EF2646">
        <w:t>B</w:t>
      </w:r>
      <w:r w:rsidRPr="00EF2646">
        <w:t xml:space="preserve">, then mixture </w:t>
      </w:r>
      <w:r w:rsidR="003B7AA8" w:rsidRPr="00EF2646">
        <w:t xml:space="preserve">C </w:t>
      </w:r>
      <w:r w:rsidRPr="00EF2646">
        <w:t xml:space="preserve">is assumed to be in the same skin corrosion packing group as </w:t>
      </w:r>
      <w:r w:rsidR="003B7AA8" w:rsidRPr="00EF2646">
        <w:t xml:space="preserve">A </w:t>
      </w:r>
      <w:r w:rsidRPr="00EF2646">
        <w:t xml:space="preserve">and </w:t>
      </w:r>
      <w:r w:rsidR="003B7AA8" w:rsidRPr="00EF2646">
        <w:t>B</w:t>
      </w:r>
      <w:r w:rsidRPr="00EF2646">
        <w:t xml:space="preserve">. </w:t>
      </w:r>
    </w:p>
    <w:p w:rsidR="006231F3" w:rsidRPr="00EF2646" w:rsidRDefault="006231F3" w:rsidP="003B7AA8">
      <w:pPr>
        <w:pStyle w:val="SingleTxtG"/>
        <w:ind w:left="2268"/>
      </w:pPr>
      <w:r w:rsidRPr="00EF2646">
        <w:t>(e)</w:t>
      </w:r>
      <w:r w:rsidRPr="00EF2646">
        <w:tab/>
      </w:r>
      <w:r w:rsidRPr="00EF2646">
        <w:rPr>
          <w:b/>
        </w:rPr>
        <w:t>Substantially similar mixtures:</w:t>
      </w:r>
      <w:r w:rsidRPr="00EF2646">
        <w:t xml:space="preserve"> Given the following:</w:t>
      </w:r>
    </w:p>
    <w:p w:rsidR="006231F3" w:rsidRPr="00EF2646" w:rsidRDefault="006231F3" w:rsidP="003B7AA8">
      <w:pPr>
        <w:pStyle w:val="SingleTxtG"/>
        <w:ind w:left="2835"/>
      </w:pPr>
      <w:r w:rsidRPr="00EF2646">
        <w:t>(i)</w:t>
      </w:r>
      <w:r w:rsidRPr="00EF2646">
        <w:tab/>
        <w:t>Two mixtures:  (</w:t>
      </w:r>
      <w:r w:rsidR="003B7AA8" w:rsidRPr="00EF2646">
        <w:t>A</w:t>
      </w:r>
      <w:r w:rsidRPr="00EF2646">
        <w:t>+</w:t>
      </w:r>
      <w:r w:rsidR="003B7AA8" w:rsidRPr="00EF2646">
        <w:t>B</w:t>
      </w:r>
      <w:r w:rsidRPr="00EF2646">
        <w:t>) and (</w:t>
      </w:r>
      <w:r w:rsidR="003B7AA8" w:rsidRPr="00EF2646">
        <w:t>C</w:t>
      </w:r>
      <w:r w:rsidRPr="00EF2646">
        <w:t>+</w:t>
      </w:r>
      <w:r w:rsidR="003B7AA8" w:rsidRPr="00EF2646">
        <w:t>B</w:t>
      </w:r>
      <w:r w:rsidRPr="00EF2646">
        <w:t>);</w:t>
      </w:r>
    </w:p>
    <w:p w:rsidR="006231F3" w:rsidRPr="00EF2646" w:rsidRDefault="006231F3" w:rsidP="003B7AA8">
      <w:pPr>
        <w:pStyle w:val="SingleTxtG"/>
        <w:ind w:left="2835"/>
      </w:pPr>
      <w:r w:rsidRPr="00EF2646">
        <w:t>(ii)</w:t>
      </w:r>
      <w:r w:rsidRPr="00EF2646">
        <w:tab/>
        <w:t xml:space="preserve">The concentration of ingredient </w:t>
      </w:r>
      <w:r w:rsidR="003B7AA8" w:rsidRPr="00EF2646">
        <w:t>B</w:t>
      </w:r>
      <w:r w:rsidRPr="00EF2646">
        <w:t xml:space="preserve"> is the same in both mixtures;</w:t>
      </w:r>
    </w:p>
    <w:p w:rsidR="006231F3" w:rsidRPr="00EF2646" w:rsidRDefault="006231F3" w:rsidP="003B7AA8">
      <w:pPr>
        <w:pStyle w:val="SingleTxtG"/>
        <w:ind w:left="2835"/>
      </w:pPr>
      <w:r w:rsidRPr="00EF2646">
        <w:t>(iii)</w:t>
      </w:r>
      <w:r w:rsidRPr="00EF2646">
        <w:tab/>
        <w:t xml:space="preserve">The concentration of ingredient </w:t>
      </w:r>
      <w:proofErr w:type="gramStart"/>
      <w:r w:rsidR="003B7AA8" w:rsidRPr="00EF2646">
        <w:t>A</w:t>
      </w:r>
      <w:proofErr w:type="gramEnd"/>
      <w:r w:rsidRPr="00EF2646">
        <w:t xml:space="preserve"> in mixture (</w:t>
      </w:r>
      <w:r w:rsidR="003B7AA8" w:rsidRPr="00EF2646">
        <w:t>A</w:t>
      </w:r>
      <w:r w:rsidRPr="00EF2646">
        <w:t>+</w:t>
      </w:r>
      <w:r w:rsidR="003B7AA8" w:rsidRPr="00EF2646">
        <w:t>B</w:t>
      </w:r>
      <w:r w:rsidRPr="00EF2646">
        <w:t xml:space="preserve">) equals the concentration of ingredient </w:t>
      </w:r>
      <w:r w:rsidR="003B7AA8" w:rsidRPr="00EF2646">
        <w:t>C</w:t>
      </w:r>
      <w:r w:rsidRPr="00EF2646">
        <w:t xml:space="preserve"> in mixture (</w:t>
      </w:r>
      <w:r w:rsidR="003B7AA8" w:rsidRPr="00EF2646">
        <w:t>C</w:t>
      </w:r>
      <w:r w:rsidRPr="00EF2646">
        <w:t>+</w:t>
      </w:r>
      <w:r w:rsidR="003B7AA8" w:rsidRPr="00EF2646">
        <w:t>B</w:t>
      </w:r>
      <w:r w:rsidRPr="00EF2646">
        <w:t>);</w:t>
      </w:r>
    </w:p>
    <w:p w:rsidR="006231F3" w:rsidRPr="00EF2646" w:rsidRDefault="006231F3" w:rsidP="003B7AA8">
      <w:pPr>
        <w:pStyle w:val="SingleTxtG"/>
        <w:ind w:left="2835"/>
      </w:pPr>
      <w:proofErr w:type="gramStart"/>
      <w:r w:rsidRPr="00EF2646">
        <w:t>(iv)</w:t>
      </w:r>
      <w:r w:rsidRPr="00EF2646">
        <w:tab/>
        <w:t>Data</w:t>
      </w:r>
      <w:proofErr w:type="gramEnd"/>
      <w:r w:rsidRPr="00EF2646">
        <w:t xml:space="preserve"> on skin corrosion for </w:t>
      </w:r>
      <w:r w:rsidR="003B7AA8" w:rsidRPr="00EF2646">
        <w:t>A</w:t>
      </w:r>
      <w:r w:rsidRPr="00EF2646">
        <w:t xml:space="preserve"> and </w:t>
      </w:r>
      <w:r w:rsidR="003B7AA8" w:rsidRPr="00EF2646">
        <w:t>C</w:t>
      </w:r>
      <w:r w:rsidRPr="00EF2646">
        <w:t xml:space="preserve"> are available and substantially equivalent, i.e. they are the same skin corrosion packing group and do not affect the skin corrosion potential of </w:t>
      </w:r>
      <w:r w:rsidR="003B7AA8" w:rsidRPr="00EF2646">
        <w:t>B</w:t>
      </w:r>
      <w:r w:rsidRPr="00EF2646">
        <w:t>.</w:t>
      </w:r>
    </w:p>
    <w:p w:rsidR="006231F3" w:rsidRPr="00EF2646" w:rsidRDefault="006231F3" w:rsidP="003B7AA8">
      <w:pPr>
        <w:pStyle w:val="SingleTxtG"/>
        <w:ind w:left="2835"/>
      </w:pPr>
      <w:r w:rsidRPr="00EF2646">
        <w:t>If mixture (</w:t>
      </w:r>
      <w:r w:rsidR="003B7AA8" w:rsidRPr="00EF2646">
        <w:t>A</w:t>
      </w:r>
      <w:r w:rsidRPr="00EF2646">
        <w:t>+</w:t>
      </w:r>
      <w:r w:rsidR="003B7AA8" w:rsidRPr="00EF2646">
        <w:t>B</w:t>
      </w:r>
      <w:r w:rsidRPr="00EF2646">
        <w:t>) or (</w:t>
      </w:r>
      <w:r w:rsidR="003B7AA8" w:rsidRPr="00EF2646">
        <w:t>C</w:t>
      </w:r>
      <w:r w:rsidRPr="00EF2646">
        <w:t>+</w:t>
      </w:r>
      <w:r w:rsidR="003B7AA8" w:rsidRPr="00EF2646">
        <w:t>B</w:t>
      </w:r>
      <w:r w:rsidRPr="00EF2646">
        <w:t>) is already classified based on test data, then the other mixture may be assigned to the same packing group.</w:t>
      </w:r>
    </w:p>
    <w:p w:rsidR="006231F3" w:rsidRPr="00EF2646" w:rsidRDefault="006231F3" w:rsidP="006231F3">
      <w:pPr>
        <w:pStyle w:val="SingleTxtG"/>
      </w:pPr>
      <w:r w:rsidRPr="00EF2646">
        <w:t xml:space="preserve">2.8.4.3 </w:t>
      </w:r>
      <w:r w:rsidRPr="00EF2646">
        <w:tab/>
      </w:r>
      <w:r w:rsidRPr="00EF2646">
        <w:rPr>
          <w:i/>
        </w:rPr>
        <w:t>Calculation method based on the classification of the substances</w:t>
      </w:r>
    </w:p>
    <w:p w:rsidR="006231F3" w:rsidRPr="00EF2646" w:rsidRDefault="006231F3" w:rsidP="006231F3">
      <w:pPr>
        <w:pStyle w:val="SingleTxtG"/>
      </w:pPr>
      <w:r w:rsidRPr="00EF2646">
        <w:t xml:space="preserve">2.8.4.3.1 </w:t>
      </w:r>
      <w:r w:rsidRPr="00EF2646">
        <w:tab/>
        <w:t xml:space="preserve">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are considered for classification in accordance with </w:t>
      </w:r>
      <w:r w:rsidR="005443B8">
        <w:t>[</w:t>
      </w:r>
      <w:r w:rsidRPr="00EF2646">
        <w:t>Chapter 2</w:t>
      </w:r>
      <w:r w:rsidR="005443B8">
        <w:t>]</w:t>
      </w:r>
      <w:r w:rsidRPr="00EF2646">
        <w:t>.</w:t>
      </w:r>
    </w:p>
    <w:p w:rsidR="006231F3" w:rsidRPr="00EF2646" w:rsidRDefault="006231F3" w:rsidP="006231F3">
      <w:pPr>
        <w:pStyle w:val="SingleTxtG"/>
      </w:pPr>
      <w:r w:rsidRPr="00EF2646">
        <w:t>Applying the calculation method is only allowed if there are no synergistic effects that make the mixture more corrosive than the sum of its substances. This restriction applies only if packing group II or III would be assigned to the mixture.</w:t>
      </w:r>
    </w:p>
    <w:p w:rsidR="006231F3" w:rsidRPr="00EF2646" w:rsidRDefault="006231F3" w:rsidP="006231F3">
      <w:pPr>
        <w:pStyle w:val="SingleTxtG"/>
      </w:pPr>
      <w:r w:rsidRPr="00EF2646">
        <w:t>2.8.4.3.2</w:t>
      </w:r>
      <w:r w:rsidRPr="00EF2646">
        <w:tab/>
        <w:t>When using the calculation method, all Class 8 ingredients present at a concentration of ≥ 1% shall be taken into account, or &lt;1% if these ingredients are still relevant for classifying the mixture to be corrosive to skin.</w:t>
      </w:r>
    </w:p>
    <w:p w:rsidR="006231F3" w:rsidRPr="00750128" w:rsidRDefault="006231F3" w:rsidP="00750128">
      <w:pPr>
        <w:pStyle w:val="SingleTxtG"/>
      </w:pPr>
      <w:r w:rsidRPr="00750128">
        <w:t>2.8.4.3.3</w:t>
      </w:r>
      <w:r w:rsidRPr="00750128">
        <w:tab/>
        <w:t xml:space="preserve">To determine whether a mixture containing corrosive substances shall be considered a corrosive mixture and to assign a packing group, the calculation method in the flow chart in Figure 2.8.4.3 shall be applied. When a specific concentration limit is assigned to a substance following its entry in the Dangerous Goods List or in a Special Provision, this limit shall be used instead of the generic limits in Figure 2.8.4.3. </w:t>
      </w:r>
      <w:proofErr w:type="gramStart"/>
      <w:r w:rsidRPr="00750128">
        <w:t>for</w:t>
      </w:r>
      <w:proofErr w:type="gramEnd"/>
      <w:r w:rsidRPr="00750128">
        <w:t xml:space="preserve"> that substance.</w:t>
      </w:r>
    </w:p>
    <w:p w:rsidR="006231F3" w:rsidRPr="00EF2646" w:rsidRDefault="006231F3" w:rsidP="006231F3">
      <w:pPr>
        <w:pStyle w:val="SingleTxtG"/>
      </w:pPr>
      <w:r w:rsidRPr="00EF2646">
        <w:t>[</w:t>
      </w:r>
      <w:proofErr w:type="gramStart"/>
      <w:r w:rsidRPr="00EF2646">
        <w:t>insert</w:t>
      </w:r>
      <w:proofErr w:type="gramEnd"/>
      <w:r w:rsidRPr="00EF2646">
        <w:t xml:space="preserve"> example/explanation on specific concentration limits here]</w:t>
      </w:r>
    </w:p>
    <w:p w:rsidR="006231F3" w:rsidRPr="00EF2646" w:rsidRDefault="008D2409" w:rsidP="007B1EF0">
      <w:pPr>
        <w:pStyle w:val="SingleTxtG"/>
        <w:jc w:val="center"/>
        <w:rPr>
          <w:b/>
        </w:rPr>
      </w:pPr>
      <w:r w:rsidRPr="00EF2646">
        <w:rPr>
          <w:noProof/>
          <w:lang w:eastAsia="en-GB"/>
        </w:rPr>
        <w:drawing>
          <wp:anchor distT="0" distB="0" distL="114300" distR="114300" simplePos="0" relativeHeight="251668480" behindDoc="0" locked="0" layoutInCell="1" allowOverlap="1" wp14:anchorId="0FA9495C" wp14:editId="6C6FFB27">
            <wp:simplePos x="0" y="0"/>
            <wp:positionH relativeFrom="margin">
              <wp:posOffset>485775</wp:posOffset>
            </wp:positionH>
            <wp:positionV relativeFrom="paragraph">
              <wp:posOffset>314325</wp:posOffset>
            </wp:positionV>
            <wp:extent cx="5046345" cy="2070100"/>
            <wp:effectExtent l="0" t="0" r="1905" b="6350"/>
            <wp:wrapTopAndBottom/>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6345" cy="2070100"/>
                    </a:xfrm>
                    <a:prstGeom prst="rect">
                      <a:avLst/>
                    </a:prstGeom>
                    <a:noFill/>
                  </pic:spPr>
                </pic:pic>
              </a:graphicData>
            </a:graphic>
            <wp14:sizeRelH relativeFrom="page">
              <wp14:pctWidth>0</wp14:pctWidth>
            </wp14:sizeRelH>
            <wp14:sizeRelV relativeFrom="page">
              <wp14:pctHeight>0</wp14:pctHeight>
            </wp14:sizeRelV>
          </wp:anchor>
        </w:drawing>
      </w:r>
      <w:r w:rsidR="006231F3" w:rsidRPr="00EF2646">
        <w:rPr>
          <w:b/>
        </w:rPr>
        <w:t>Figure 2.8.4.3: Calculation method</w:t>
      </w:r>
    </w:p>
    <w:p w:rsidR="006231F3" w:rsidRPr="00EF2646" w:rsidRDefault="006231F3" w:rsidP="006231F3">
      <w:pPr>
        <w:pStyle w:val="SingleTxtG"/>
        <w:rPr>
          <w:b/>
        </w:rPr>
      </w:pPr>
      <w:r w:rsidRPr="00EF2646">
        <w:rPr>
          <w:b/>
        </w:rPr>
        <w:lastRenderedPageBreak/>
        <w:t xml:space="preserve">2.8.5 </w:t>
      </w:r>
      <w:r w:rsidRPr="00EF2646">
        <w:rPr>
          <w:b/>
        </w:rPr>
        <w:tab/>
      </w:r>
      <w:r w:rsidRPr="00EF2646">
        <w:rPr>
          <w:b/>
        </w:rPr>
        <w:tab/>
        <w:t>Substances not accepted for transport</w:t>
      </w:r>
    </w:p>
    <w:p w:rsidR="006231F3" w:rsidRPr="00EF2646" w:rsidRDefault="006231F3" w:rsidP="006231F3">
      <w:pPr>
        <w:pStyle w:val="SingleTxtG"/>
      </w:pPr>
      <w:r w:rsidRPr="00EF2646">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r w:rsidR="007B1EF0" w:rsidRPr="00EF2646">
        <w:t>]</w:t>
      </w:r>
    </w:p>
    <w:p w:rsidR="00661845" w:rsidRPr="00EF2646" w:rsidRDefault="004625AC" w:rsidP="006231F3">
      <w:pPr>
        <w:pStyle w:val="SingleTxtG"/>
      </w:pPr>
      <w:r w:rsidRPr="00EF2646">
        <w:rPr>
          <w:i/>
          <w:iCs/>
        </w:rPr>
        <w:t>(Reference document: informal document INF.65</w:t>
      </w:r>
      <w:r w:rsidR="006231F3" w:rsidRPr="00EF2646">
        <w:rPr>
          <w:i/>
          <w:iCs/>
        </w:rPr>
        <w:t>/</w:t>
      </w:r>
      <w:r w:rsidRPr="00EF2646">
        <w:rPr>
          <w:i/>
          <w:iCs/>
        </w:rPr>
        <w:t>Corr.1)</w:t>
      </w:r>
    </w:p>
    <w:p w:rsidR="0063376C" w:rsidRPr="00EF2646" w:rsidRDefault="0063376C" w:rsidP="0063376C">
      <w:pPr>
        <w:pStyle w:val="H23G"/>
        <w:ind w:left="2268"/>
      </w:pPr>
      <w:r w:rsidRPr="00EF2646">
        <w:t>Chapter 2.9</w:t>
      </w:r>
    </w:p>
    <w:p w:rsidR="0063376C" w:rsidRPr="00EF2646" w:rsidRDefault="0063376C" w:rsidP="0063376C">
      <w:pPr>
        <w:pStyle w:val="SingleTxtG"/>
      </w:pPr>
      <w:r w:rsidRPr="00EF2646">
        <w:t>2.9.4</w:t>
      </w:r>
      <w:r w:rsidRPr="00EF2646">
        <w:tab/>
        <w:t>Add the following new paragraph f):</w:t>
      </w:r>
    </w:p>
    <w:p w:rsidR="0063376C" w:rsidRPr="00EF2646" w:rsidRDefault="0063376C" w:rsidP="0063376C">
      <w:pPr>
        <w:pStyle w:val="SingleTxtG"/>
      </w:pPr>
      <w:r w:rsidRPr="00EF2646">
        <w:t>“f)</w:t>
      </w:r>
      <w:r w:rsidRPr="00EF2646">
        <w:tab/>
        <w:t>lithium batteries, containing both primary lithium metal cells and rechargeable lithium ion cells, that are not designed to be externally charged (see special provision 387 of Chapter 3.3) shall meet the following conditions:</w:t>
      </w:r>
    </w:p>
    <w:p w:rsidR="0063376C" w:rsidRPr="00EF2646" w:rsidRDefault="0063376C" w:rsidP="0063376C">
      <w:pPr>
        <w:pStyle w:val="SingleTxtG"/>
      </w:pPr>
      <w:r w:rsidRPr="00EF2646">
        <w:t>i)</w:t>
      </w:r>
      <w:r w:rsidRPr="00EF2646">
        <w:tab/>
        <w:t>The rechargeable lithium ion cells can only be charged from the primary lithium metal cells;</w:t>
      </w:r>
    </w:p>
    <w:p w:rsidR="0063376C" w:rsidRPr="00EF2646" w:rsidRDefault="0063376C" w:rsidP="0063376C">
      <w:pPr>
        <w:pStyle w:val="SingleTxtG"/>
      </w:pPr>
      <w:r w:rsidRPr="00EF2646">
        <w:t>ii)</w:t>
      </w:r>
      <w:r w:rsidRPr="00EF2646">
        <w:tab/>
        <w:t>Overcharge of the rechargeable lithium ion cells is precluded by design;</w:t>
      </w:r>
    </w:p>
    <w:p w:rsidR="0063376C" w:rsidRPr="00EF2646" w:rsidRDefault="0063376C" w:rsidP="0063376C">
      <w:pPr>
        <w:pStyle w:val="SingleTxtG"/>
      </w:pPr>
      <w:r w:rsidRPr="00EF2646">
        <w:t>iii)</w:t>
      </w:r>
      <w:r w:rsidRPr="00EF2646">
        <w:tab/>
        <w:t>The battery has been tested as a lithium primary battery;</w:t>
      </w:r>
    </w:p>
    <w:p w:rsidR="0063376C" w:rsidRPr="00EF2646" w:rsidRDefault="0063376C" w:rsidP="0063376C">
      <w:pPr>
        <w:pStyle w:val="SingleTxtG"/>
      </w:pPr>
      <w:r w:rsidRPr="00EF2646">
        <w:t>iv)</w:t>
      </w:r>
      <w:r w:rsidRPr="00EF2646">
        <w:tab/>
        <w:t xml:space="preserve">Component cells of the battery shall be of a type proved to meet the respective testing requirements of the Manual of Tests and Criteria, part III, </w:t>
      </w:r>
      <w:proofErr w:type="gramStart"/>
      <w:r w:rsidRPr="00EF2646">
        <w:t>sub</w:t>
      </w:r>
      <w:proofErr w:type="gramEnd"/>
      <w:r w:rsidRPr="00EF2646">
        <w:t>-section 38.3.”.</w:t>
      </w:r>
    </w:p>
    <w:p w:rsidR="0063376C" w:rsidRPr="00EF2646" w:rsidRDefault="0063376C" w:rsidP="0063376C">
      <w:pPr>
        <w:pStyle w:val="SingleTxtG"/>
        <w:rPr>
          <w:i/>
          <w:iCs/>
        </w:rPr>
      </w:pPr>
      <w:r w:rsidRPr="00EF2646">
        <w:rPr>
          <w:i/>
          <w:iCs/>
        </w:rPr>
        <w:t>(Reference document: informal document INF.63, replaces the amendment in document ST/SG/SC.10/C.3/96/Add.1, part II, chapter 2.9)</w:t>
      </w:r>
    </w:p>
    <w:p w:rsidR="0063376C" w:rsidRPr="00EF2646" w:rsidRDefault="0063376C" w:rsidP="0063376C">
      <w:pPr>
        <w:pStyle w:val="H23G"/>
        <w:ind w:left="2268"/>
      </w:pPr>
      <w:r w:rsidRPr="00EF2646">
        <w:t>Chapter 3.1</w:t>
      </w:r>
    </w:p>
    <w:p w:rsidR="00484D66" w:rsidRPr="00EF2646" w:rsidRDefault="00484D66" w:rsidP="00484D66">
      <w:pPr>
        <w:pStyle w:val="SingleTxtG"/>
      </w:pPr>
      <w:r w:rsidRPr="00EF2646">
        <w:t>3.1.1.2</w:t>
      </w:r>
      <w:r w:rsidRPr="00EF2646">
        <w:tab/>
      </w:r>
      <w:r w:rsidRPr="00EF2646">
        <w:tab/>
        <w:t>At the end of the last sentence, replace “risk</w:t>
      </w:r>
      <w:r w:rsidR="00113598" w:rsidRPr="00EF2646">
        <w:t>s</w:t>
      </w:r>
      <w:r w:rsidRPr="00EF2646">
        <w:t>” by “hazard</w:t>
      </w:r>
      <w:r w:rsidR="00113598" w:rsidRPr="00EF2646">
        <w:t>s</w:t>
      </w:r>
      <w:r w:rsidRPr="00EF2646">
        <w:t>”.</w:t>
      </w:r>
    </w:p>
    <w:p w:rsidR="00484D66" w:rsidRPr="00EF2646" w:rsidRDefault="00484D66" w:rsidP="00484D66">
      <w:pPr>
        <w:pStyle w:val="SingleTxtG"/>
      </w:pPr>
      <w:r w:rsidRPr="00EF2646">
        <w:rPr>
          <w:i/>
          <w:iCs/>
        </w:rPr>
        <w:t>(Reference document: ST/SG/AC.10/C.3/2016/16)</w:t>
      </w:r>
    </w:p>
    <w:p w:rsidR="006B5B3D" w:rsidRPr="00EF2646" w:rsidRDefault="006B5B3D" w:rsidP="00484D66">
      <w:pPr>
        <w:pStyle w:val="SingleTxtG"/>
      </w:pPr>
      <w:r w:rsidRPr="00EF2646">
        <w:t>3.1.2.8.1.2</w:t>
      </w:r>
      <w:r w:rsidRPr="00EF2646">
        <w:tab/>
        <w:t xml:space="preserve">In the last sentence, replace “risk” by “hazard” </w:t>
      </w:r>
      <w:r w:rsidR="00F21B9F">
        <w:t>(</w:t>
      </w:r>
      <w:r w:rsidRPr="00EF2646">
        <w:t>twice</w:t>
      </w:r>
      <w:r w:rsidR="00F21B9F">
        <w:t>)</w:t>
      </w:r>
      <w:r w:rsidRPr="00EF2646">
        <w:t>.</w:t>
      </w:r>
    </w:p>
    <w:p w:rsidR="006B5B3D" w:rsidRPr="00EF2646" w:rsidRDefault="006B5B3D" w:rsidP="006B5B3D">
      <w:pPr>
        <w:pStyle w:val="SingleTxtG"/>
      </w:pPr>
      <w:r w:rsidRPr="00EF2646">
        <w:rPr>
          <w:i/>
          <w:iCs/>
        </w:rPr>
        <w:t>(Reference document: ST/SG/AC.10/C.3/2016/16)</w:t>
      </w:r>
    </w:p>
    <w:p w:rsidR="0063376C" w:rsidRPr="00EF2646" w:rsidRDefault="0063376C" w:rsidP="0063376C">
      <w:pPr>
        <w:pStyle w:val="SingleTxtG"/>
      </w:pPr>
      <w:r w:rsidRPr="00EF2646">
        <w:t>3.1.3.2</w:t>
      </w:r>
      <w:r w:rsidRPr="00EF2646">
        <w:tab/>
      </w:r>
      <w:r w:rsidR="00C2627C" w:rsidRPr="00EF2646">
        <w:tab/>
      </w:r>
      <w:r w:rsidRPr="00EF2646">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or package marks.”.</w:t>
      </w:r>
    </w:p>
    <w:p w:rsidR="0063376C" w:rsidRPr="00EF2646" w:rsidRDefault="0063376C" w:rsidP="0063376C">
      <w:pPr>
        <w:pStyle w:val="SingleTxtG"/>
      </w:pPr>
      <w:r w:rsidRPr="00EF2646">
        <w:t>Delete the second sentence.</w:t>
      </w:r>
    </w:p>
    <w:p w:rsidR="0063376C" w:rsidRPr="00EF2646" w:rsidRDefault="0063376C" w:rsidP="00484D66">
      <w:pPr>
        <w:pStyle w:val="SingleTxtG"/>
        <w:rPr>
          <w:i/>
        </w:rPr>
      </w:pPr>
      <w:r w:rsidRPr="00EF2646">
        <w:rPr>
          <w:i/>
        </w:rPr>
        <w:t xml:space="preserve">(Reference document: </w:t>
      </w:r>
      <w:r w:rsidR="008D2409">
        <w:rPr>
          <w:i/>
        </w:rPr>
        <w:t>informal</w:t>
      </w:r>
      <w:r w:rsidRPr="00EF2646">
        <w:rPr>
          <w:i/>
        </w:rPr>
        <w:t xml:space="preserve"> document INF.18, option B, as amended)</w:t>
      </w:r>
    </w:p>
    <w:p w:rsidR="00957F49" w:rsidRPr="00EF2646" w:rsidRDefault="00957F49" w:rsidP="00484D66">
      <w:pPr>
        <w:pStyle w:val="SingleTxtG"/>
      </w:pPr>
      <w:r w:rsidRPr="00EF2646">
        <w:t>3.1.3.2 (c)</w:t>
      </w:r>
      <w:r w:rsidRPr="00EF2646">
        <w:tab/>
        <w:t>Replace “risk(s)” by “hazard(s)”.</w:t>
      </w:r>
    </w:p>
    <w:p w:rsidR="00957F49" w:rsidRPr="00EF2646" w:rsidRDefault="00957F49" w:rsidP="00957F49">
      <w:pPr>
        <w:pStyle w:val="SingleTxtG"/>
      </w:pPr>
      <w:r w:rsidRPr="00EF2646">
        <w:rPr>
          <w:i/>
          <w:iCs/>
        </w:rPr>
        <w:t>(Reference document: ST/SG/AC.10/C.3/2016/16)</w:t>
      </w:r>
    </w:p>
    <w:p w:rsidR="00957F49" w:rsidRPr="00EF2646" w:rsidRDefault="00957F49" w:rsidP="00957F49">
      <w:pPr>
        <w:pStyle w:val="SingleTxtG"/>
      </w:pPr>
      <w:r w:rsidRPr="00EF2646">
        <w:t>3.1.3.3</w:t>
      </w:r>
      <w:r w:rsidRPr="00EF2646">
        <w:tab/>
      </w:r>
      <w:r w:rsidRPr="00EF2646">
        <w:tab/>
        <w:t>Replace “</w:t>
      </w:r>
      <w:r w:rsidR="00F21B9F">
        <w:t xml:space="preserve">subsidiary </w:t>
      </w:r>
      <w:r w:rsidRPr="00EF2646">
        <w:t>risk(s)” by “</w:t>
      </w:r>
      <w:r w:rsidR="00F21B9F">
        <w:t xml:space="preserve">subsidiary </w:t>
      </w:r>
      <w:r w:rsidRPr="00EF2646">
        <w:t>hazard(s)”.</w:t>
      </w:r>
    </w:p>
    <w:p w:rsidR="00957F49" w:rsidRPr="00EF2646" w:rsidRDefault="00957F49" w:rsidP="00957F49">
      <w:pPr>
        <w:pStyle w:val="SingleTxtG"/>
      </w:pPr>
      <w:r w:rsidRPr="00EF2646">
        <w:rPr>
          <w:i/>
          <w:iCs/>
        </w:rPr>
        <w:t>(Reference document: ST/SG/AC.10/C.3/2016/16)</w:t>
      </w:r>
    </w:p>
    <w:p w:rsidR="0063376C" w:rsidRPr="00EF2646" w:rsidRDefault="0063376C" w:rsidP="003B2CAF">
      <w:pPr>
        <w:pStyle w:val="H23G"/>
        <w:ind w:left="2268"/>
      </w:pPr>
      <w:r w:rsidRPr="00EF2646">
        <w:t>Chapter 3.2</w:t>
      </w:r>
    </w:p>
    <w:p w:rsidR="00C257A7" w:rsidRPr="00EF2646" w:rsidRDefault="00C257A7" w:rsidP="00C257A7">
      <w:pPr>
        <w:pStyle w:val="SingleTxtG"/>
      </w:pPr>
      <w:r w:rsidRPr="00023052">
        <w:t>3.2.1</w:t>
      </w:r>
      <w:r w:rsidR="00113598" w:rsidRPr="00EF2646">
        <w:tab/>
        <w:t>In the description of Column 4, replace “risk” by “hazard” and “risks” by “hazards”.</w:t>
      </w:r>
    </w:p>
    <w:p w:rsidR="00CE6BEB" w:rsidRPr="00EF2646" w:rsidRDefault="00CE6BEB">
      <w:pPr>
        <w:spacing w:before="120" w:after="120" w:line="240" w:lineRule="auto"/>
        <w:ind w:left="1134" w:right="1134"/>
        <w:jc w:val="both"/>
        <w:rPr>
          <w:i/>
          <w:iCs/>
        </w:rPr>
      </w:pPr>
      <w:r w:rsidRPr="00EF2646">
        <w:rPr>
          <w:i/>
          <w:iCs/>
        </w:rPr>
        <w:t>(Reference document: ST/SG/AC.10/C.3/2016/16)</w:t>
      </w:r>
    </w:p>
    <w:p w:rsidR="003B2CAF" w:rsidRPr="00EF2646" w:rsidRDefault="003B2CAF" w:rsidP="003B2CAF">
      <w:pPr>
        <w:pStyle w:val="H23G"/>
        <w:ind w:left="2268"/>
      </w:pPr>
      <w:r w:rsidRPr="00EF2646">
        <w:lastRenderedPageBreak/>
        <w:t xml:space="preserve">Chapter 3.2, </w:t>
      </w:r>
      <w:r w:rsidRPr="00EF2646">
        <w:tab/>
        <w:t>Dangerous goods list</w:t>
      </w:r>
    </w:p>
    <w:p w:rsidR="003B2CAF" w:rsidRPr="00EF2646" w:rsidRDefault="003B2CAF" w:rsidP="003B2CAF">
      <w:pPr>
        <w:pStyle w:val="SingleTxtG"/>
      </w:pPr>
      <w:r w:rsidRPr="00EF2646">
        <w:t>For the heading of column 4, replace “risk” by “hazard”.</w:t>
      </w:r>
    </w:p>
    <w:p w:rsidR="003F6EB2" w:rsidRPr="00EF2646" w:rsidRDefault="003F6EB2" w:rsidP="003F6EB2">
      <w:pPr>
        <w:spacing w:before="120" w:after="120" w:line="240" w:lineRule="auto"/>
        <w:ind w:left="1134" w:right="1134"/>
        <w:jc w:val="both"/>
        <w:rPr>
          <w:i/>
          <w:iCs/>
        </w:rPr>
      </w:pPr>
      <w:r w:rsidRPr="00EF2646">
        <w:rPr>
          <w:i/>
          <w:iCs/>
        </w:rPr>
        <w:t>(Reference document: ST/SG/AC.10/C.3/2016/16)</w:t>
      </w:r>
    </w:p>
    <w:p w:rsidR="003B2CAF" w:rsidRPr="00EF2646" w:rsidRDefault="003B2CAF" w:rsidP="003B2CAF">
      <w:pPr>
        <w:pStyle w:val="SingleTxtG"/>
      </w:pPr>
      <w:r w:rsidRPr="00EF2646">
        <w:t>For UN Nos.: 0349, 0367, 0384 and 0481, insert “347” in Column 6.</w:t>
      </w:r>
    </w:p>
    <w:p w:rsidR="003B2CAF" w:rsidRPr="00EF2646" w:rsidRDefault="003B2CAF" w:rsidP="003B2CAF">
      <w:pPr>
        <w:pStyle w:val="SingleTxtG"/>
      </w:pPr>
      <w:r w:rsidRPr="00EF2646">
        <w:rPr>
          <w:i/>
          <w:iCs/>
        </w:rPr>
        <w:t xml:space="preserve">(Reference document: </w:t>
      </w:r>
      <w:r w:rsidR="008D2409">
        <w:rPr>
          <w:i/>
          <w:iCs/>
        </w:rPr>
        <w:t>informal</w:t>
      </w:r>
      <w:r w:rsidRPr="00EF2646">
        <w:rPr>
          <w:i/>
          <w:iCs/>
        </w:rPr>
        <w:t xml:space="preserve"> document INF.66, annex 2)</w:t>
      </w:r>
    </w:p>
    <w:p w:rsidR="0063376C" w:rsidRPr="00EF2646" w:rsidRDefault="0063376C" w:rsidP="00C257A7">
      <w:pPr>
        <w:pStyle w:val="SingleTxtG"/>
      </w:pPr>
      <w:r w:rsidRPr="00EF2646">
        <w:t xml:space="preserve">For UN 1945, in Column (6), add </w:t>
      </w:r>
      <w:r w:rsidRPr="00EF2646">
        <w:rPr>
          <w:rStyle w:val="SingleTxtGCar"/>
        </w:rPr>
        <w:t>“293”.</w:t>
      </w:r>
    </w:p>
    <w:p w:rsidR="0063376C" w:rsidRPr="00EF2646" w:rsidRDefault="0063376C" w:rsidP="0063376C">
      <w:pPr>
        <w:pStyle w:val="SingleTxtG"/>
        <w:rPr>
          <w:i/>
          <w:iCs/>
        </w:rPr>
      </w:pPr>
      <w:r w:rsidRPr="00EF2646">
        <w:rPr>
          <w:i/>
          <w:iCs/>
        </w:rPr>
        <w:t>(Reference document: ST/SG/AC.10/C.3/2016/24)</w:t>
      </w:r>
    </w:p>
    <w:p w:rsidR="003F6EB2" w:rsidRPr="00EF2646" w:rsidRDefault="003F6EB2" w:rsidP="003F6EB2">
      <w:pPr>
        <w:pStyle w:val="SingleTxtG"/>
      </w:pPr>
      <w:r w:rsidRPr="00EF2646">
        <w:t>For UN 3166, delete “312”, “380” and “385” in Column (6).</w:t>
      </w:r>
    </w:p>
    <w:p w:rsidR="003F6EB2" w:rsidRPr="00EF2646" w:rsidRDefault="003F6EB2" w:rsidP="003F6EB2">
      <w:pPr>
        <w:pStyle w:val="SingleTxtG"/>
        <w:rPr>
          <w:i/>
          <w:iCs/>
        </w:rPr>
      </w:pPr>
      <w:r w:rsidRPr="00EF2646">
        <w:rPr>
          <w:i/>
          <w:iCs/>
        </w:rPr>
        <w:t>(Reference document: ST/SG/AC.10/C.3/2016/14, proposal 1, option 2)</w:t>
      </w:r>
    </w:p>
    <w:p w:rsidR="003F6EB2" w:rsidRPr="00EF2646" w:rsidRDefault="003F6EB2" w:rsidP="003F6EB2">
      <w:pPr>
        <w:pStyle w:val="SingleTxtG"/>
      </w:pPr>
      <w:r w:rsidRPr="00EF2646">
        <w:t>For UN 3171, delete “240” in Column (6).</w:t>
      </w:r>
    </w:p>
    <w:p w:rsidR="003F6EB2" w:rsidRPr="00EF2646" w:rsidRDefault="003F6EB2" w:rsidP="003F6EB2">
      <w:pPr>
        <w:pStyle w:val="SingleTxtG"/>
        <w:rPr>
          <w:i/>
          <w:iCs/>
        </w:rPr>
      </w:pPr>
      <w:r w:rsidRPr="00EF2646">
        <w:rPr>
          <w:i/>
          <w:iCs/>
        </w:rPr>
        <w:t>(Reference document: ST/SG/AC.10/C.3/2016/14, proposal 1, option 2)</w:t>
      </w:r>
    </w:p>
    <w:p w:rsidR="003F6EB2" w:rsidRPr="00EF2646" w:rsidRDefault="003F6EB2" w:rsidP="003F6EB2">
      <w:pPr>
        <w:pStyle w:val="SingleTxtG"/>
      </w:pPr>
      <w:r w:rsidRPr="00EF2646">
        <w:t>For UN 3166 and UN 3171, insert “388” in Column (6).</w:t>
      </w:r>
    </w:p>
    <w:p w:rsidR="003F6EB2" w:rsidRPr="00EF2646" w:rsidRDefault="003F6EB2" w:rsidP="003F6EB2">
      <w:pPr>
        <w:pStyle w:val="SingleTxtG"/>
        <w:rPr>
          <w:i/>
          <w:iCs/>
        </w:rPr>
      </w:pPr>
      <w:r w:rsidRPr="00EF2646">
        <w:rPr>
          <w:i/>
          <w:iCs/>
        </w:rPr>
        <w:t>(Reference document: ST/SG/AC.10/C.3/2016/14, proposal 1, option 2)</w:t>
      </w:r>
    </w:p>
    <w:p w:rsidR="0063376C" w:rsidRPr="00EF2646" w:rsidRDefault="0063376C" w:rsidP="0063376C">
      <w:pPr>
        <w:pStyle w:val="SingleTxtG"/>
        <w:rPr>
          <w:rStyle w:val="SingleTxtGCar"/>
        </w:rPr>
      </w:pPr>
      <w:r w:rsidRPr="00EF2646">
        <w:rPr>
          <w:rStyle w:val="SingleTxtGCar"/>
        </w:rPr>
        <w:t>For UN 3302 in column (2) add at the end of the designation “, STAB</w:t>
      </w:r>
      <w:r w:rsidR="00F14A4A" w:rsidRPr="00EF2646">
        <w:rPr>
          <w:rStyle w:val="SingleTxtGCar"/>
        </w:rPr>
        <w:t>I</w:t>
      </w:r>
      <w:r w:rsidRPr="00EF2646">
        <w:rPr>
          <w:rStyle w:val="SingleTxtGCar"/>
        </w:rPr>
        <w:t>LIZED” and in Column (6), add “386”.</w:t>
      </w:r>
    </w:p>
    <w:p w:rsidR="0063376C" w:rsidRPr="0098605B" w:rsidRDefault="0063376C" w:rsidP="0098605B">
      <w:pPr>
        <w:pStyle w:val="SingleTxtG"/>
        <w:rPr>
          <w:i/>
          <w:iCs/>
        </w:rPr>
      </w:pPr>
      <w:r w:rsidRPr="00EF2646">
        <w:rPr>
          <w:i/>
          <w:iCs/>
        </w:rPr>
        <w:t>(Reference document: ST/SG/AC.10/C.3/2016/3)</w:t>
      </w:r>
      <w:r w:rsidRPr="0098605B">
        <w:rPr>
          <w:i/>
          <w:iCs/>
        </w:rPr>
        <w:tab/>
      </w:r>
    </w:p>
    <w:p w:rsidR="0063376C" w:rsidRPr="00EF2646" w:rsidRDefault="0063376C" w:rsidP="0063376C">
      <w:pPr>
        <w:pStyle w:val="SingleTxtG"/>
      </w:pPr>
      <w:r w:rsidRPr="00EF2646">
        <w:t>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18"/>
        <w:gridCol w:w="3805"/>
        <w:gridCol w:w="266"/>
        <w:gridCol w:w="266"/>
        <w:gridCol w:w="266"/>
        <w:gridCol w:w="436"/>
        <w:gridCol w:w="370"/>
        <w:gridCol w:w="356"/>
        <w:gridCol w:w="266"/>
        <w:gridCol w:w="266"/>
        <w:gridCol w:w="356"/>
        <w:gridCol w:w="356"/>
      </w:tblGrid>
      <w:tr w:rsidR="0063376C" w:rsidRPr="00EF2646" w:rsidTr="0063376C">
        <w:trPr>
          <w:cantSplit/>
          <w:tblHeader/>
        </w:trPr>
        <w:tc>
          <w:tcPr>
            <w:tcW w:w="618" w:type="dxa"/>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(7a)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(7b)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r w:rsidRPr="00EF2646">
              <w:rPr>
                <w:bCs/>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iCs/>
                <w:sz w:val="18"/>
                <w:szCs w:val="18"/>
              </w:rPr>
            </w:pPr>
            <w:r w:rsidRPr="00EF2646">
              <w:rPr>
                <w:bCs/>
                <w:iCs/>
                <w:sz w:val="18"/>
                <w:szCs w:val="18"/>
              </w:rPr>
              <w:t>(11)</w:t>
            </w:r>
          </w:p>
        </w:tc>
      </w:tr>
      <w:tr w:rsidR="0063376C" w:rsidRPr="00EF2646" w:rsidTr="0063376C">
        <w:trPr>
          <w:cantSplit/>
          <w:tblHeader/>
        </w:trPr>
        <w:tc>
          <w:tcPr>
            <w:tcW w:w="618" w:type="dxa"/>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rPr>
                <w:sz w:val="18"/>
                <w:szCs w:val="18"/>
              </w:rPr>
            </w:pPr>
            <w:r w:rsidRPr="00EF2646">
              <w:rPr>
                <w:sz w:val="18"/>
                <w:szCs w:val="18"/>
              </w:rPr>
              <w:t>3536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rPr>
                <w:sz w:val="18"/>
                <w:szCs w:val="18"/>
              </w:rPr>
            </w:pPr>
            <w:r w:rsidRPr="00EF2646">
              <w:rPr>
                <w:sz w:val="18"/>
                <w:szCs w:val="18"/>
              </w:rPr>
              <w:t>LITHIUM BATTERIES INSTALLED IN CARGO TRANSPORT UNIT lithium ion batteries or lithium metal batteries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rPr>
            </w:pPr>
            <w:r w:rsidRPr="00EF2646">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pPr>
              <w:suppressAutoHyphens w:val="0"/>
              <w:spacing w:before="60" w:after="60" w:line="240" w:lineRule="auto"/>
              <w:ind w:left="57" w:right="53"/>
              <w:jc w:val="center"/>
              <w:rPr>
                <w:sz w:val="18"/>
                <w:szCs w:val="18"/>
                <w:lang w:eastAsia="nb-NO"/>
              </w:rPr>
            </w:pPr>
            <w:r w:rsidRPr="00EF2646">
              <w:rPr>
                <w:sz w:val="18"/>
                <w:szCs w:val="18"/>
                <w:lang w:eastAsia="nb-NO"/>
              </w:rPr>
              <w:t>38</w:t>
            </w:r>
            <w:r w:rsidR="004B4249" w:rsidRPr="00EF2646">
              <w:rPr>
                <w:sz w:val="18"/>
                <w:szCs w:val="18"/>
                <w:lang w:eastAsia="nb-NO"/>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r w:rsidRPr="00EF2646">
              <w:rPr>
                <w:sz w:val="18"/>
                <w:szCs w:val="18"/>
                <w:lang w:eastAsia="nb-NO"/>
              </w:rPr>
              <w:t>E0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r w:rsidRPr="00EF2646">
              <w:rPr>
                <w:sz w:val="18"/>
                <w:szCs w:val="18"/>
                <w:lang w:eastAsia="nb-NO"/>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376C" w:rsidRPr="00EF2646" w:rsidRDefault="0063376C" w:rsidP="00AB28E5">
            <w:pPr>
              <w:suppressAutoHyphens w:val="0"/>
              <w:spacing w:before="40" w:after="120" w:line="276" w:lineRule="auto"/>
              <w:jc w:val="center"/>
              <w:rPr>
                <w:bCs/>
                <w:iCs/>
                <w:sz w:val="18"/>
                <w:szCs w:val="18"/>
              </w:rPr>
            </w:pPr>
          </w:p>
        </w:tc>
      </w:tr>
    </w:tbl>
    <w:p w:rsidR="0063376C" w:rsidRPr="00EF2646" w:rsidRDefault="0063376C" w:rsidP="0063376C">
      <w:pPr>
        <w:pStyle w:val="SingleTxtG"/>
        <w:ind w:left="567" w:firstLine="567"/>
        <w:rPr>
          <w:i/>
          <w:iCs/>
        </w:rPr>
      </w:pPr>
      <w:r w:rsidRPr="00EF2646">
        <w:rPr>
          <w:i/>
          <w:iCs/>
        </w:rPr>
        <w:t xml:space="preserve">(Reference document: </w:t>
      </w:r>
      <w:r w:rsidR="008D2409">
        <w:rPr>
          <w:i/>
          <w:iCs/>
        </w:rPr>
        <w:t>informal</w:t>
      </w:r>
      <w:r w:rsidRPr="00EF2646">
        <w:rPr>
          <w:i/>
          <w:iCs/>
        </w:rPr>
        <w:t xml:space="preserve"> document INF.69, as amended)</w:t>
      </w:r>
      <w:r w:rsidRPr="00EF2646">
        <w:rPr>
          <w:i/>
          <w:iCs/>
        </w:rPr>
        <w:tab/>
      </w:r>
    </w:p>
    <w:p w:rsidR="00870016" w:rsidRPr="00EF2646" w:rsidRDefault="00870016" w:rsidP="00870016">
      <w:pPr>
        <w:pStyle w:val="H23G"/>
        <w:ind w:left="2268"/>
      </w:pPr>
      <w:r w:rsidRPr="00EF2646">
        <w:t>Alphabetical Index</w:t>
      </w:r>
    </w:p>
    <w:p w:rsidR="00870016" w:rsidRPr="00EF2646" w:rsidRDefault="00870016" w:rsidP="00870016">
      <w:pPr>
        <w:pStyle w:val="SingleTxtG"/>
        <w:rPr>
          <w:rStyle w:val="SingleTxtGCar"/>
        </w:rPr>
      </w:pPr>
      <w:r w:rsidRPr="00EF2646">
        <w:rPr>
          <w:rStyle w:val="SingleTxtGCar"/>
        </w:rPr>
        <w:t>In column “Name and description” of the Alphabetical Index of Substances and Articles for the entry “2-DIMETHYLAMINOETHYL ACRYLATE” add at the end “, STABILIZED”.</w:t>
      </w:r>
    </w:p>
    <w:p w:rsidR="00870016" w:rsidRPr="00EF2646" w:rsidRDefault="00870016" w:rsidP="00870016">
      <w:pPr>
        <w:pStyle w:val="SingleTxtG"/>
        <w:ind w:left="567" w:firstLine="567"/>
        <w:rPr>
          <w:i/>
          <w:iCs/>
        </w:rPr>
      </w:pPr>
      <w:r w:rsidRPr="00EF2646">
        <w:rPr>
          <w:i/>
          <w:iCs/>
        </w:rPr>
        <w:t xml:space="preserve">(Reference </w:t>
      </w:r>
      <w:proofErr w:type="gramStart"/>
      <w:r w:rsidRPr="00EF2646">
        <w:rPr>
          <w:i/>
          <w:iCs/>
        </w:rPr>
        <w:t>document :</w:t>
      </w:r>
      <w:proofErr w:type="gramEnd"/>
      <w:r w:rsidRPr="00EF2646">
        <w:rPr>
          <w:i/>
          <w:iCs/>
        </w:rPr>
        <w:t xml:space="preserve"> ST/SG/AC.10/C.3/2016/3)</w:t>
      </w:r>
    </w:p>
    <w:p w:rsidR="0063376C" w:rsidRPr="00EF2646" w:rsidRDefault="0063376C" w:rsidP="0063376C">
      <w:pPr>
        <w:pStyle w:val="H23G"/>
        <w:ind w:left="2268"/>
      </w:pPr>
      <w:r w:rsidRPr="00EF2646">
        <w:t>Chapter 3.3</w:t>
      </w:r>
    </w:p>
    <w:p w:rsidR="00D56BAB" w:rsidRPr="00023052" w:rsidRDefault="00D56BAB" w:rsidP="00D56BAB">
      <w:pPr>
        <w:pStyle w:val="SingleTxtG"/>
      </w:pPr>
      <w:r w:rsidRPr="00023052">
        <w:t xml:space="preserve">Special Provision 63, </w:t>
      </w:r>
      <w:proofErr w:type="gramStart"/>
      <w:r w:rsidRPr="00023052">
        <w:t>In</w:t>
      </w:r>
      <w:proofErr w:type="gramEnd"/>
      <w:r w:rsidRPr="00023052">
        <w:t xml:space="preserve"> the introductory text, replace “risk(s)” by “hazard(s)”. In (e) and (g), replace “risk” by “hazard”.</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r w:rsidRPr="00023052">
        <w:t>Special Provision 122, replace “risk(s)” by “hazard(s)”.</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r w:rsidRPr="00023052">
        <w:t>Special Provision 133, replace “risk” by “hazard”.</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r w:rsidRPr="00023052">
        <w:t xml:space="preserve">Special Provision 172, </w:t>
      </w:r>
      <w:proofErr w:type="gramStart"/>
      <w:r w:rsidRPr="00023052">
        <w:t>In</w:t>
      </w:r>
      <w:proofErr w:type="gramEnd"/>
      <w:r w:rsidRPr="00023052">
        <w:t xml:space="preserve"> (a) and (b), replace “risk” by “hazard” 3 times. In (c), replace “risk(s)” by “hazard(s)”.</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r w:rsidRPr="00023052">
        <w:lastRenderedPageBreak/>
        <w:t>Special Provision 181, replace “risk” by “hazard”.</w:t>
      </w:r>
    </w:p>
    <w:p w:rsidR="00D56BAB" w:rsidRPr="00023052" w:rsidRDefault="00D56BAB" w:rsidP="00D56BAB">
      <w:pPr>
        <w:pStyle w:val="SingleTxtG"/>
        <w:rPr>
          <w:i/>
          <w:iCs/>
        </w:rPr>
      </w:pPr>
      <w:r w:rsidRPr="00023052">
        <w:rPr>
          <w:i/>
          <w:iCs/>
        </w:rPr>
        <w:t>(Reference document: ST/SG/AC.10/C.3/2016/16)</w:t>
      </w:r>
    </w:p>
    <w:p w:rsidR="00A97C90" w:rsidRPr="00EF2646" w:rsidRDefault="00A97C90" w:rsidP="00A97C90">
      <w:pPr>
        <w:pStyle w:val="SingleTxtG"/>
      </w:pPr>
      <w:r w:rsidRPr="00EF2646">
        <w:t>Special provision 188</w:t>
      </w:r>
      <w:r w:rsidRPr="00EF2646">
        <w:tab/>
      </w:r>
      <w:proofErr w:type="gramStart"/>
      <w:r w:rsidRPr="00EF2646">
        <w:t>In</w:t>
      </w:r>
      <w:proofErr w:type="gramEnd"/>
      <w:r w:rsidRPr="00EF2646">
        <w:t xml:space="preserve"> sub-paragraph (d), replace “protection against contact with conductive materials” by “protection against contact with electrically conductive material”.</w:t>
      </w:r>
    </w:p>
    <w:p w:rsidR="00A97C90" w:rsidRPr="00EF2646" w:rsidRDefault="00A97C90" w:rsidP="00A97C90">
      <w:pPr>
        <w:pStyle w:val="SingleTxtG"/>
        <w:rPr>
          <w:i/>
          <w:iCs/>
        </w:rPr>
      </w:pPr>
      <w:r w:rsidRPr="00EF2646">
        <w:rPr>
          <w:i/>
          <w:iCs/>
        </w:rPr>
        <w:t>(Reference document: ST/SG/AC.10/C.3/2016/2)</w:t>
      </w:r>
    </w:p>
    <w:p w:rsidR="00616083" w:rsidRPr="00EF2646" w:rsidRDefault="00616083" w:rsidP="00616083">
      <w:pPr>
        <w:pStyle w:val="SingleTxtG"/>
      </w:pPr>
      <w:r w:rsidRPr="00EF2646">
        <w:t xml:space="preserve">Special provision 188 (f) </w:t>
      </w:r>
      <w:r w:rsidRPr="00EF2646">
        <w:tab/>
        <w:t>Existing note becomes Note1. Add the following new Note 2:</w:t>
      </w:r>
    </w:p>
    <w:p w:rsidR="00616083" w:rsidRPr="00EF2646" w:rsidRDefault="00616083" w:rsidP="00616083">
      <w:pPr>
        <w:pStyle w:val="SingleTxtG"/>
        <w:rPr>
          <w:i/>
        </w:rPr>
      </w:pPr>
      <w:r w:rsidRPr="00EF2646">
        <w:rPr>
          <w:i/>
        </w:rPr>
        <w:t>“</w:t>
      </w:r>
      <w:r w:rsidRPr="00EF2646">
        <w:rPr>
          <w:b/>
          <w:i/>
        </w:rPr>
        <w:t>NOTE 2:</w:t>
      </w:r>
      <w:r w:rsidRPr="00EF2646">
        <w:rPr>
          <w:i/>
        </w:rPr>
        <w:t xml:space="preserve"> 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Model No.9A shall be deemed to meet the provisions of this special provision.”.  </w:t>
      </w:r>
    </w:p>
    <w:p w:rsidR="00616083" w:rsidRPr="00EF2646" w:rsidRDefault="00616083" w:rsidP="00616083">
      <w:pPr>
        <w:pStyle w:val="SingleTxtG"/>
        <w:rPr>
          <w:i/>
          <w:iCs/>
        </w:rPr>
      </w:pPr>
      <w:r w:rsidRPr="00EF2646">
        <w:rPr>
          <w:i/>
          <w:iCs/>
        </w:rPr>
        <w:t>(Reference document: ST/SG/AC.10/C.3/2016/43)</w:t>
      </w:r>
    </w:p>
    <w:p w:rsidR="00D56BAB" w:rsidRPr="00023052" w:rsidRDefault="00D56BAB">
      <w:pPr>
        <w:pStyle w:val="SingleTxtG"/>
      </w:pPr>
      <w:r w:rsidRPr="00023052">
        <w:t xml:space="preserve">Special </w:t>
      </w:r>
      <w:r w:rsidR="008B0B65" w:rsidRPr="00EF2646">
        <w:t>p</w:t>
      </w:r>
      <w:r w:rsidR="008B0B65" w:rsidRPr="00023052">
        <w:t xml:space="preserve">rovision </w:t>
      </w:r>
      <w:r w:rsidRPr="00023052">
        <w:t xml:space="preserve">204, replace “risk” by “hazard” </w:t>
      </w:r>
      <w:r w:rsidR="00320C7F" w:rsidRPr="00EF2646">
        <w:t>three times</w:t>
      </w:r>
      <w:r w:rsidRPr="00023052">
        <w:t>.</w:t>
      </w:r>
    </w:p>
    <w:p w:rsidR="00D56BAB" w:rsidRPr="00023052" w:rsidRDefault="00D56BAB" w:rsidP="00D56BAB">
      <w:pPr>
        <w:pStyle w:val="SingleTxtG"/>
        <w:rPr>
          <w:i/>
          <w:iCs/>
        </w:rPr>
      </w:pPr>
      <w:r w:rsidRPr="00023052">
        <w:rPr>
          <w:i/>
          <w:iCs/>
        </w:rPr>
        <w:t>(Reference document: ST/SG/AC.10/C.3/2016/16)</w:t>
      </w:r>
    </w:p>
    <w:p w:rsidR="00616083" w:rsidRPr="00023052" w:rsidRDefault="00616083" w:rsidP="00D56BAB">
      <w:pPr>
        <w:pStyle w:val="SingleTxtG"/>
      </w:pPr>
      <w:r w:rsidRPr="00023052">
        <w:t xml:space="preserve">Delete </w:t>
      </w:r>
      <w:r w:rsidR="008B0B65" w:rsidRPr="00EF2646">
        <w:t>s</w:t>
      </w:r>
      <w:r w:rsidRPr="00023052">
        <w:t xml:space="preserve">pecial </w:t>
      </w:r>
      <w:r w:rsidR="008B0B65" w:rsidRPr="00EF2646">
        <w:t>p</w:t>
      </w:r>
      <w:r w:rsidRPr="00023052">
        <w:t>rovisions 240, 312, 380 and 385 and add:</w:t>
      </w:r>
    </w:p>
    <w:p w:rsidR="00616083" w:rsidRPr="00023052" w:rsidRDefault="00616083">
      <w:pPr>
        <w:pStyle w:val="SingleTxtG"/>
      </w:pPr>
      <w:r w:rsidRPr="00023052">
        <w:t>“240</w:t>
      </w:r>
      <w:r w:rsidRPr="00023052">
        <w:tab/>
      </w:r>
      <w:r w:rsidRPr="00023052">
        <w:rPr>
          <w:i/>
          <w:iCs/>
        </w:rPr>
        <w:t>(Deleted)</w:t>
      </w:r>
      <w:r w:rsidRPr="00023052">
        <w:t>”</w:t>
      </w:r>
    </w:p>
    <w:p w:rsidR="00616083" w:rsidRPr="00023052" w:rsidRDefault="00616083" w:rsidP="00D56BAB">
      <w:pPr>
        <w:pStyle w:val="SingleTxtG"/>
      </w:pPr>
      <w:r w:rsidRPr="00023052">
        <w:t>“312</w:t>
      </w:r>
      <w:r w:rsidRPr="00023052">
        <w:tab/>
      </w:r>
      <w:r w:rsidRPr="00023052">
        <w:rPr>
          <w:i/>
          <w:iCs/>
        </w:rPr>
        <w:t>(Deleted)</w:t>
      </w:r>
      <w:r w:rsidRPr="00023052">
        <w:t>”</w:t>
      </w:r>
    </w:p>
    <w:p w:rsidR="00616083" w:rsidRPr="00023052" w:rsidRDefault="00616083" w:rsidP="00D56BAB">
      <w:pPr>
        <w:pStyle w:val="SingleTxtG"/>
      </w:pPr>
      <w:r w:rsidRPr="00023052">
        <w:t>“380</w:t>
      </w:r>
      <w:r w:rsidRPr="00023052">
        <w:tab/>
      </w:r>
      <w:r w:rsidRPr="00023052">
        <w:rPr>
          <w:i/>
          <w:iCs/>
        </w:rPr>
        <w:t>(Deleted)</w:t>
      </w:r>
      <w:r w:rsidRPr="00023052">
        <w:t>”</w:t>
      </w:r>
    </w:p>
    <w:p w:rsidR="00616083" w:rsidRPr="00023052" w:rsidRDefault="00616083" w:rsidP="00D56BAB">
      <w:pPr>
        <w:pStyle w:val="SingleTxtG"/>
      </w:pPr>
      <w:r w:rsidRPr="00023052">
        <w:t>“385</w:t>
      </w:r>
      <w:r w:rsidRPr="00023052">
        <w:tab/>
      </w:r>
      <w:r w:rsidRPr="00023052">
        <w:rPr>
          <w:i/>
          <w:iCs/>
        </w:rPr>
        <w:t>(Deleted)</w:t>
      </w:r>
      <w:r w:rsidRPr="00023052">
        <w:t>”</w:t>
      </w:r>
    </w:p>
    <w:p w:rsidR="00616083" w:rsidRPr="00023052" w:rsidRDefault="00616083" w:rsidP="00D56BAB">
      <w:pPr>
        <w:pStyle w:val="SingleTxtG"/>
        <w:rPr>
          <w:i/>
          <w:iCs/>
        </w:rPr>
      </w:pPr>
      <w:r w:rsidRPr="00023052">
        <w:rPr>
          <w:i/>
          <w:iCs/>
        </w:rPr>
        <w:t>(Reference document: ST/SG/AC.10/C.3/2016/14, proposal 1, option 2)</w:t>
      </w:r>
    </w:p>
    <w:p w:rsidR="00D56BAB" w:rsidRPr="00023052" w:rsidRDefault="00D56BAB" w:rsidP="00D56BAB">
      <w:pPr>
        <w:pStyle w:val="SingleTxtG"/>
      </w:pPr>
      <w:r w:rsidRPr="00023052">
        <w:t xml:space="preserve">Special </w:t>
      </w:r>
      <w:r w:rsidR="008B0B65" w:rsidRPr="00EF2646">
        <w:t>p</w:t>
      </w:r>
      <w:r w:rsidR="008B0B65" w:rsidRPr="00023052">
        <w:t xml:space="preserve">rovision </w:t>
      </w:r>
      <w:r w:rsidRPr="00023052">
        <w:t>271, replace “risk” by “hazard”.</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r w:rsidRPr="00023052">
        <w:t xml:space="preserve">Special </w:t>
      </w:r>
      <w:r w:rsidR="008B0B65" w:rsidRPr="00EF2646">
        <w:t>p</w:t>
      </w:r>
      <w:r w:rsidR="008B0B65" w:rsidRPr="00023052">
        <w:t xml:space="preserve">rovision </w:t>
      </w:r>
      <w:r w:rsidRPr="00023052">
        <w:t xml:space="preserve">290 (b), </w:t>
      </w:r>
      <w:proofErr w:type="gramStart"/>
      <w:r w:rsidRPr="00023052">
        <w:t>In</w:t>
      </w:r>
      <w:proofErr w:type="gramEnd"/>
      <w:r w:rsidRPr="00023052">
        <w:t xml:space="preserve"> (a) and (b), replace “risk” by “hazard”.</w:t>
      </w:r>
    </w:p>
    <w:p w:rsidR="00D56BAB" w:rsidRPr="00EF2646" w:rsidRDefault="00D56BAB" w:rsidP="00D56BAB">
      <w:pPr>
        <w:pStyle w:val="SingleTxtG"/>
        <w:rPr>
          <w:i/>
          <w:iCs/>
        </w:rPr>
      </w:pPr>
      <w:r w:rsidRPr="00023052">
        <w:rPr>
          <w:i/>
          <w:iCs/>
        </w:rPr>
        <w:t>(Reference document: ST/SG/AC.10/C.3/2016/16)</w:t>
      </w:r>
    </w:p>
    <w:p w:rsidR="00C36D1C" w:rsidRPr="00EF2646" w:rsidRDefault="00C36D1C" w:rsidP="00C36D1C">
      <w:pPr>
        <w:pStyle w:val="SingleTxtG"/>
      </w:pPr>
      <w:r w:rsidRPr="00EF2646">
        <w:t>Special provision 293 (b)</w:t>
      </w:r>
      <w:r w:rsidRPr="00EF2646">
        <w:tab/>
        <w:t>After “Safety matches are”, insert “matches that”.</w:t>
      </w:r>
    </w:p>
    <w:p w:rsidR="00C36D1C" w:rsidRPr="00023052" w:rsidRDefault="00C36D1C" w:rsidP="00C36D1C">
      <w:pPr>
        <w:pStyle w:val="SingleTxtG"/>
        <w:rPr>
          <w:i/>
          <w:iCs/>
        </w:rPr>
      </w:pPr>
      <w:r w:rsidRPr="00EF2646">
        <w:rPr>
          <w:i/>
          <w:iCs/>
        </w:rPr>
        <w:t>(Reference document: ST/SG/AC.10/C.3/2016/24)</w:t>
      </w:r>
    </w:p>
    <w:p w:rsidR="00D56BAB" w:rsidRPr="00023052" w:rsidRDefault="00D56BAB" w:rsidP="00D56BAB">
      <w:pPr>
        <w:pStyle w:val="SingleTxtG"/>
      </w:pPr>
      <w:r w:rsidRPr="00023052">
        <w:t xml:space="preserve">Special </w:t>
      </w:r>
      <w:r w:rsidR="008B0B65" w:rsidRPr="00EF2646">
        <w:t>p</w:t>
      </w:r>
      <w:r w:rsidR="008B0B65" w:rsidRPr="00023052">
        <w:t xml:space="preserve">rovision </w:t>
      </w:r>
      <w:r w:rsidRPr="00023052">
        <w:t>362 (b), replace “risk” by “hazard”.</w:t>
      </w:r>
    </w:p>
    <w:p w:rsidR="00D56BAB" w:rsidRPr="00023052" w:rsidRDefault="00D56BAB" w:rsidP="00D56BAB">
      <w:pPr>
        <w:pStyle w:val="SingleTxtG"/>
      </w:pPr>
      <w:r w:rsidRPr="00023052">
        <w:rPr>
          <w:i/>
          <w:iCs/>
        </w:rPr>
        <w:t>(Reference document: ST/SG/AC.10/C.3/2016/16)</w:t>
      </w:r>
    </w:p>
    <w:p w:rsidR="00D56BAB" w:rsidRPr="00023052" w:rsidRDefault="00D56BAB" w:rsidP="00D56BAB">
      <w:pPr>
        <w:pStyle w:val="SingleTxtG"/>
      </w:pPr>
      <w:proofErr w:type="gramStart"/>
      <w:r w:rsidRPr="00023052">
        <w:t xml:space="preserve">Special </w:t>
      </w:r>
      <w:r w:rsidR="008B0B65" w:rsidRPr="00EF2646">
        <w:t>p</w:t>
      </w:r>
      <w:r w:rsidR="008B0B65" w:rsidRPr="00023052">
        <w:t xml:space="preserve">rovision </w:t>
      </w:r>
      <w:r w:rsidRPr="00023052">
        <w:t>362 (c), replace “risk” by “hazard”.</w:t>
      </w:r>
      <w:proofErr w:type="gramEnd"/>
    </w:p>
    <w:p w:rsidR="00D56BAB" w:rsidRPr="00EF2646" w:rsidRDefault="00D56BAB" w:rsidP="00D56BAB">
      <w:pPr>
        <w:pStyle w:val="SingleTxtG"/>
        <w:rPr>
          <w:i/>
          <w:iCs/>
        </w:rPr>
      </w:pPr>
      <w:r w:rsidRPr="00023052">
        <w:rPr>
          <w:i/>
          <w:iCs/>
        </w:rPr>
        <w:t>(Reference document: ST/SG/AC.10/C.3/2016/16)</w:t>
      </w:r>
    </w:p>
    <w:p w:rsidR="00DF460E" w:rsidRPr="00EF2646" w:rsidRDefault="00DF460E" w:rsidP="00DB1B16">
      <w:pPr>
        <w:pStyle w:val="SingleTxtG"/>
      </w:pPr>
      <w:r w:rsidRPr="00023052">
        <w:t xml:space="preserve">Special </w:t>
      </w:r>
      <w:r w:rsidR="006F1CDE" w:rsidRPr="00EF2646">
        <w:t>p</w:t>
      </w:r>
      <w:r w:rsidRPr="00023052">
        <w:t>rovision 363, Add the following new introductory sentence:</w:t>
      </w:r>
      <w:r w:rsidR="006F1CDE" w:rsidRPr="00EF2646">
        <w:t xml:space="preserve"> </w:t>
      </w:r>
      <w:r w:rsidRPr="00EF2646">
        <w:t>“This entry may only be used when the conditions of this special provisions are met. No other requirements of these regulations apply.”</w:t>
      </w:r>
    </w:p>
    <w:p w:rsidR="00DF460E" w:rsidRPr="00023052" w:rsidRDefault="00DF460E" w:rsidP="00023052">
      <w:pPr>
        <w:pStyle w:val="SingleTxtG"/>
        <w:rPr>
          <w:i/>
          <w:iCs/>
        </w:rPr>
      </w:pPr>
      <w:r w:rsidRPr="00023052">
        <w:rPr>
          <w:i/>
          <w:iCs/>
        </w:rPr>
        <w:t xml:space="preserve">(Reference document: </w:t>
      </w:r>
      <w:r w:rsidR="008D2409">
        <w:rPr>
          <w:i/>
          <w:iCs/>
        </w:rPr>
        <w:t>informal</w:t>
      </w:r>
      <w:r w:rsidRPr="00023052">
        <w:rPr>
          <w:i/>
          <w:iCs/>
        </w:rPr>
        <w:t xml:space="preserve"> document INF.77)</w:t>
      </w:r>
    </w:p>
    <w:p w:rsidR="006F1CDE" w:rsidRPr="00EF2646" w:rsidRDefault="006F1CDE" w:rsidP="006F1CDE">
      <w:pPr>
        <w:pStyle w:val="SingleTxtG"/>
        <w:rPr>
          <w:iCs/>
        </w:rPr>
      </w:pPr>
      <w:r w:rsidRPr="00EF2646">
        <w:rPr>
          <w:iCs/>
        </w:rPr>
        <w:t>Special provision 363 (f)</w:t>
      </w:r>
      <w:r w:rsidRPr="00EF2646">
        <w:rPr>
          <w:iCs/>
        </w:rPr>
        <w:tab/>
        <w:t>Replace the last sentence by the following text:</w:t>
      </w:r>
    </w:p>
    <w:p w:rsidR="006F1CDE" w:rsidRPr="00EF2646" w:rsidRDefault="006F1CDE" w:rsidP="006F1CDE">
      <w:pPr>
        <w:pStyle w:val="SingleTxtG"/>
        <w:rPr>
          <w:iCs/>
        </w:rPr>
      </w:pPr>
      <w:r w:rsidRPr="00EF2646">
        <w:rPr>
          <w:iCs/>
        </w:rPr>
        <w:t>“However, lithium batteries shall meet the provisions of 2.9.4, except that 2.9.4 (a) does not apply when pre-production prototype batteries or batteries of a small production run, consisting of not more than 100 batteries, are installed in machinery or engines.</w:t>
      </w:r>
    </w:p>
    <w:p w:rsidR="006F1CDE" w:rsidRPr="00EF2646" w:rsidRDefault="006F1CDE" w:rsidP="006F1CDE">
      <w:pPr>
        <w:pStyle w:val="SingleTxtG"/>
        <w:rPr>
          <w:iCs/>
        </w:rPr>
      </w:pPr>
      <w:r w:rsidRPr="00EF2646">
        <w:rPr>
          <w:iCs/>
        </w:rPr>
        <w:lastRenderedPageBreak/>
        <w:t>Where a lithium battery installed in a machinery or an engine is damaged or defective, the machinery or engine shall be transported as defined by the competent authority.</w:t>
      </w:r>
      <w:proofErr w:type="gramStart"/>
      <w:r w:rsidRPr="00EF2646">
        <w:rPr>
          <w:iCs/>
        </w:rPr>
        <w:t>”.</w:t>
      </w:r>
      <w:proofErr w:type="gramEnd"/>
    </w:p>
    <w:p w:rsidR="006F1CDE" w:rsidRPr="00EF2646" w:rsidRDefault="006F1CDE" w:rsidP="006F1CDE">
      <w:pPr>
        <w:pStyle w:val="SingleTxtG"/>
        <w:rPr>
          <w:i/>
          <w:iCs/>
        </w:rPr>
      </w:pPr>
      <w:r w:rsidRPr="00EF2646">
        <w:rPr>
          <w:i/>
          <w:iCs/>
        </w:rPr>
        <w:t>(Reference document: ST/SG/AC.10/C.3/2016/14, proposal 2, option 2)</w:t>
      </w:r>
    </w:p>
    <w:p w:rsidR="006F1CDE" w:rsidRPr="00EF2646" w:rsidRDefault="00AD40C4" w:rsidP="00AD40C4">
      <w:pPr>
        <w:pStyle w:val="SingleTxtG"/>
      </w:pPr>
      <w:r w:rsidRPr="00EF2646">
        <w:t xml:space="preserve">Special </w:t>
      </w:r>
      <w:r w:rsidR="006F1CDE" w:rsidRPr="00EF2646">
        <w:t>p</w:t>
      </w:r>
      <w:r w:rsidRPr="00EF2646">
        <w:t>rovision 363</w:t>
      </w:r>
      <w:r w:rsidRPr="00EF2646">
        <w:tab/>
        <w:t>Delete the first sub-paragraph under (g). Renumber existing (i) to (</w:t>
      </w:r>
      <w:proofErr w:type="gramStart"/>
      <w:r w:rsidRPr="00EF2646">
        <w:t>vi</w:t>
      </w:r>
      <w:proofErr w:type="gramEnd"/>
      <w:r w:rsidRPr="00EF2646">
        <w:t xml:space="preserve">) under current (g) as (g) to (l). Add a new sub-paragraph (m) to read as follows: </w:t>
      </w:r>
    </w:p>
    <w:p w:rsidR="00AD40C4" w:rsidRPr="00EF2646" w:rsidRDefault="00AD40C4" w:rsidP="00AD40C4">
      <w:pPr>
        <w:pStyle w:val="SingleTxtG"/>
      </w:pPr>
      <w:r w:rsidRPr="00EF2646">
        <w:t>“(m)</w:t>
      </w:r>
      <w:r w:rsidR="006F1CDE" w:rsidRPr="00EF2646">
        <w:tab/>
      </w:r>
      <w:r w:rsidRPr="00EF2646">
        <w:t>The requirements specified in packing instruction P005 of 4.1.4.1 shall be met.</w:t>
      </w:r>
      <w:proofErr w:type="gramStart"/>
      <w:r w:rsidRPr="00EF2646">
        <w:t>”.</w:t>
      </w:r>
      <w:proofErr w:type="gramEnd"/>
    </w:p>
    <w:p w:rsidR="00AD40C4" w:rsidRPr="00EF2646" w:rsidRDefault="00AD40C4" w:rsidP="00AD40C4">
      <w:pPr>
        <w:pStyle w:val="SingleTxtG"/>
        <w:rPr>
          <w:i/>
        </w:rPr>
      </w:pPr>
      <w:r w:rsidRPr="00EF2646">
        <w:rPr>
          <w:i/>
        </w:rPr>
        <w:t xml:space="preserve">(Reference document: </w:t>
      </w:r>
      <w:r w:rsidR="008D2409">
        <w:rPr>
          <w:i/>
        </w:rPr>
        <w:t>informal</w:t>
      </w:r>
      <w:r w:rsidRPr="00EF2646">
        <w:rPr>
          <w:i/>
        </w:rPr>
        <w:t xml:space="preserve"> document INF.77)</w:t>
      </w:r>
    </w:p>
    <w:p w:rsidR="006F1CDE" w:rsidRPr="00023052" w:rsidRDefault="006F1CDE" w:rsidP="006F1CDE">
      <w:pPr>
        <w:pStyle w:val="SingleTxtG"/>
      </w:pPr>
      <w:r w:rsidRPr="00023052">
        <w:t>Special Provision 369</w:t>
      </w:r>
      <w:r w:rsidRPr="00EF2646">
        <w:tab/>
      </w:r>
      <w:r w:rsidRPr="00023052">
        <w:t>In the first paragraph, replace “risks” by “hazards”. In the third paragraph, replace “risk” by “hazard”.</w:t>
      </w:r>
    </w:p>
    <w:p w:rsidR="006F1CDE" w:rsidRPr="00023052" w:rsidRDefault="006F1CDE" w:rsidP="006F1CDE">
      <w:pPr>
        <w:pStyle w:val="SingleTxtG"/>
        <w:rPr>
          <w:i/>
          <w:iCs/>
        </w:rPr>
      </w:pPr>
      <w:r w:rsidRPr="00023052">
        <w:rPr>
          <w:i/>
          <w:iCs/>
        </w:rPr>
        <w:t>(Reference document: ST/SG/AC.10/C.3/2016/16)</w:t>
      </w:r>
    </w:p>
    <w:p w:rsidR="006C015D" w:rsidRPr="00EF2646" w:rsidRDefault="006C015D" w:rsidP="006C015D">
      <w:pPr>
        <w:pStyle w:val="SingleTxtG"/>
      </w:pPr>
      <w:r w:rsidRPr="00EF2646">
        <w:t>3.3.1</w:t>
      </w:r>
      <w:r w:rsidRPr="00EF2646">
        <w:tab/>
        <w:t>Add the following new special provisions:</w:t>
      </w:r>
    </w:p>
    <w:p w:rsidR="006C015D" w:rsidRPr="00EF2646" w:rsidRDefault="006C015D" w:rsidP="006C015D">
      <w:pPr>
        <w:pStyle w:val="SingleTxtG"/>
      </w:pPr>
      <w:r w:rsidRPr="00EF2646">
        <w:t>“387</w:t>
      </w:r>
      <w:r w:rsidRPr="00EF2646">
        <w:tab/>
        <w:t>Lithium batteries in conformity with 2.9.4(f) containing both primary lithium metal cells and rechargeable lithium ion cells shall be assigned to UN Nos. 3090 or 3091 as appropriate. When such batteries are transported in accordance with special provision 188, the total lithium content of all lithium metal cells contained in the battery shall not exceed 1.5 g and the total capacity of all lithium ion cells contained in the battery shall not exceed 10 Wh.”.</w:t>
      </w:r>
    </w:p>
    <w:p w:rsidR="006C015D" w:rsidRPr="00EF2646" w:rsidRDefault="006C015D" w:rsidP="006C015D">
      <w:pPr>
        <w:pStyle w:val="SingleTxtG"/>
        <w:rPr>
          <w:i/>
          <w:iCs/>
        </w:rPr>
      </w:pPr>
      <w:r w:rsidRPr="00EF2646">
        <w:rPr>
          <w:i/>
          <w:iCs/>
        </w:rPr>
        <w:t>(Reference document: ST/SG/AC.10/C.3/46, proposal 1, replaces amendment in document ST/SG/AC.10/C.3/96/Add.1, part II, chapter 3.3)</w:t>
      </w:r>
    </w:p>
    <w:p w:rsidR="0063376C" w:rsidRPr="00EF2646" w:rsidRDefault="0063376C" w:rsidP="00F34C52">
      <w:pPr>
        <w:pStyle w:val="SingleTxtG"/>
        <w:rPr>
          <w:iCs/>
        </w:rPr>
      </w:pPr>
      <w:r w:rsidRPr="00EF2646">
        <w:rPr>
          <w:iCs/>
        </w:rPr>
        <w:t>“388</w:t>
      </w:r>
      <w:r w:rsidRPr="00EF2646">
        <w:rPr>
          <w:iCs/>
        </w:rPr>
        <w:tab/>
        <w:t>Entry UN 3166 applies to vehicles powered by flammable liquid or gas internal combustion engines or fuel cells.</w:t>
      </w:r>
    </w:p>
    <w:p w:rsidR="0063376C" w:rsidRPr="00EF2646" w:rsidRDefault="0063376C" w:rsidP="0063376C">
      <w:pPr>
        <w:pStyle w:val="SingleTxtG"/>
        <w:rPr>
          <w:iCs/>
        </w:rPr>
      </w:pPr>
      <w:r w:rsidRPr="00EF2646">
        <w:rPr>
          <w:iCs/>
        </w:rP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rsidRPr="00EF2646">
        <w:rPr>
          <w:iCs/>
        </w:rPr>
        <w:t>battery(</w:t>
      </w:r>
      <w:proofErr w:type="spellStart"/>
      <w:proofErr w:type="gramEnd"/>
      <w:r w:rsidRPr="00EF2646">
        <w:rPr>
          <w:iCs/>
        </w:rPr>
        <w:t>ies</w:t>
      </w:r>
      <w:proofErr w:type="spellEnd"/>
      <w:r w:rsidRPr="00EF2646">
        <w:rPr>
          <w:iCs/>
        </w:rPr>
        <w:t xml:space="preserve">) installed. </w:t>
      </w:r>
    </w:p>
    <w:p w:rsidR="0063376C" w:rsidRPr="00EF2646" w:rsidRDefault="0063376C" w:rsidP="0063376C">
      <w:pPr>
        <w:pStyle w:val="SingleTxtG"/>
        <w:rPr>
          <w:iCs/>
        </w:rPr>
      </w:pPr>
      <w:r w:rsidRPr="00EF2646">
        <w:rPr>
          <w:iCs/>
        </w:rP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rsidRPr="00EF2646">
        <w:rPr>
          <w:iCs/>
        </w:rPr>
        <w:t>battery(</w:t>
      </w:r>
      <w:proofErr w:type="spellStart"/>
      <w:proofErr w:type="gramEnd"/>
      <w:r w:rsidRPr="00EF2646">
        <w:rPr>
          <w:iCs/>
        </w:rPr>
        <w:t>ies</w:t>
      </w:r>
      <w:proofErr w:type="spellEnd"/>
      <w:r w:rsidRPr="00EF2646">
        <w:rPr>
          <w:iCs/>
        </w:rPr>
        <w:t>) installed.</w:t>
      </w:r>
    </w:p>
    <w:p w:rsidR="0063376C" w:rsidRPr="00EF2646" w:rsidRDefault="0063376C" w:rsidP="0063376C">
      <w:pPr>
        <w:pStyle w:val="SingleTxtG"/>
        <w:rPr>
          <w:iCs/>
        </w:rPr>
      </w:pPr>
      <w:r w:rsidRPr="00EF2646">
        <w:rPr>
          <w:iCs/>
        </w:rPr>
        <w:t xml:space="preserve">If a vehicle is powered by a flammable liquid and a flammable gas internal combustion engine, it shall be assigned to UN 3166 VEHICLE, FLAMMABLE GAS POWERED. </w:t>
      </w:r>
    </w:p>
    <w:p w:rsidR="0063376C" w:rsidRPr="00EF2646" w:rsidRDefault="0063376C" w:rsidP="0063376C">
      <w:pPr>
        <w:pStyle w:val="SingleTxtG"/>
        <w:rPr>
          <w:iCs/>
        </w:rPr>
      </w:pPr>
      <w:r w:rsidRPr="00EF2646">
        <w:rPr>
          <w:iCs/>
        </w:rPr>
        <w:t>Entry UN 3171 only applies to vehicles powered by wet batteries, sodium batteries, lithium metal batteries or lithium ion batteries and equipment powered by wet batteries or sodium batteries transported with these batteries installed.</w:t>
      </w:r>
    </w:p>
    <w:p w:rsidR="0063376C" w:rsidRPr="00EF2646" w:rsidRDefault="0063376C" w:rsidP="0063376C">
      <w:pPr>
        <w:pStyle w:val="SingleTxtG"/>
        <w:rPr>
          <w:iCs/>
        </w:rPr>
      </w:pPr>
      <w:r w:rsidRPr="00EF2646">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transported in a packaging. In this case some parts of the vehicle may be detached from its frame to fit into the packaging. </w:t>
      </w:r>
    </w:p>
    <w:p w:rsidR="0063376C" w:rsidRPr="00750128" w:rsidRDefault="0063376C" w:rsidP="00750128">
      <w:pPr>
        <w:pStyle w:val="SingleTxtG"/>
      </w:pPr>
      <w:r w:rsidRPr="00750128">
        <w:lastRenderedPageBreak/>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w:t>
      </w:r>
    </w:p>
    <w:p w:rsidR="0063376C" w:rsidRPr="00EF2646" w:rsidRDefault="0063376C" w:rsidP="0063376C">
      <w:pPr>
        <w:pStyle w:val="SingleTxtG"/>
        <w:rPr>
          <w:iCs/>
        </w:rPr>
      </w:pPr>
      <w:r w:rsidRPr="00EF2646">
        <w:rPr>
          <w:iCs/>
        </w:rPr>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provisions of 2.9.4, except that 2.9.4 (a) does not apply when pre-production prototype batteries or batteries of a small production run, consisting of not more than 100 batteries, are installed in vehicles or equipment.</w:t>
      </w:r>
    </w:p>
    <w:p w:rsidR="0063376C" w:rsidRPr="00EF2646" w:rsidRDefault="0063376C" w:rsidP="0063376C">
      <w:pPr>
        <w:pStyle w:val="SingleTxtG"/>
        <w:rPr>
          <w:iCs/>
        </w:rPr>
      </w:pPr>
      <w:r w:rsidRPr="00EF2646">
        <w:rPr>
          <w:iCs/>
        </w:rPr>
        <w:t>Where a lithium battery installed in a vehicle or equipment is damaged or defective, the vehicle or equipment shall be transported as defined by the competent authority.</w:t>
      </w:r>
      <w:proofErr w:type="gramStart"/>
      <w:r w:rsidRPr="00EF2646">
        <w:rPr>
          <w:iCs/>
        </w:rPr>
        <w:t>”.</w:t>
      </w:r>
      <w:proofErr w:type="gramEnd"/>
    </w:p>
    <w:p w:rsidR="0063376C" w:rsidRPr="00EF2646" w:rsidRDefault="0063376C" w:rsidP="0063376C">
      <w:pPr>
        <w:pStyle w:val="SingleTxtG"/>
        <w:rPr>
          <w:i/>
          <w:iCs/>
        </w:rPr>
      </w:pPr>
      <w:r w:rsidRPr="00EF2646">
        <w:rPr>
          <w:i/>
          <w:iCs/>
        </w:rPr>
        <w:t>(Reference document: ST/SG/AC.10/C.3/2016/14, proposal 1, option 2 and proposal 2, option 2 as amended)</w:t>
      </w:r>
    </w:p>
    <w:p w:rsidR="0063376C" w:rsidRPr="00EF2646" w:rsidRDefault="0063376C" w:rsidP="00C2627C">
      <w:pPr>
        <w:pStyle w:val="SingleTxtG"/>
      </w:pPr>
      <w:r w:rsidRPr="00EF2646">
        <w:t>“38</w:t>
      </w:r>
      <w:r w:rsidR="00C2627C" w:rsidRPr="00EF2646">
        <w:t>9</w:t>
      </w:r>
      <w:r w:rsidRPr="00EF2646">
        <w:t xml:space="preserve"> This entry only applies to lithium ion batteries or lithium metal batteries installed in a cargo transport unit and designed only to provide power external to the cargo transport unit.  The lithium batteries shall meet the requirements of 2.9.4 (a) to (e) and contain the necessary systems to prevent overcharge and over discharge between the batteries.</w:t>
      </w:r>
    </w:p>
    <w:p w:rsidR="0063376C" w:rsidRPr="00EF2646" w:rsidRDefault="0063376C" w:rsidP="0063376C">
      <w:pPr>
        <w:pStyle w:val="SingleTxtG"/>
      </w:pPr>
      <w:r w:rsidRPr="00EF2646">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transport.  Dangerous goods necessary for the safe and proper operation of the cargo transport unit (e.g., fire extinguishing systems and air conditioning systems), shall be properly secured to or installed in the cargo transport unit and are not otherwise subject to these Regulations.  Dangerous goods not necessary for the safe and proper operation of the cargo transport unit shall not be transported within the cargo transport unit.</w:t>
      </w:r>
    </w:p>
    <w:p w:rsidR="0063376C" w:rsidRPr="00EF2646" w:rsidRDefault="0063376C" w:rsidP="0063376C">
      <w:pPr>
        <w:pStyle w:val="SingleTxtG"/>
      </w:pPr>
      <w:r w:rsidRPr="00EF2646">
        <w:t xml:space="preserve">The batteries inside the cargo transport unit are not subject to marking or labelling requirements.  The cargo transport unit shall display the UN number in accordance with 5.3.2.1.2 and be </w:t>
      </w:r>
      <w:proofErr w:type="spellStart"/>
      <w:r w:rsidRPr="00EF2646">
        <w:t>placarded</w:t>
      </w:r>
      <w:proofErr w:type="spellEnd"/>
      <w:r w:rsidRPr="00EF2646">
        <w:t xml:space="preserve"> on two opposing sides in accordance with 5.3.1.1.2.</w:t>
      </w:r>
      <w:proofErr w:type="gramStart"/>
      <w:r w:rsidRPr="00EF2646">
        <w:t>”.</w:t>
      </w:r>
      <w:proofErr w:type="gramEnd"/>
    </w:p>
    <w:p w:rsidR="0063376C" w:rsidRPr="00EF2646" w:rsidRDefault="0063376C" w:rsidP="0063376C">
      <w:pPr>
        <w:pStyle w:val="SingleTxtG"/>
        <w:rPr>
          <w:iCs/>
        </w:rPr>
      </w:pPr>
      <w:r w:rsidRPr="00EF2646">
        <w:rPr>
          <w:i/>
          <w:iCs/>
        </w:rPr>
        <w:t xml:space="preserve">(Reference document: </w:t>
      </w:r>
      <w:r w:rsidR="008D2409">
        <w:rPr>
          <w:i/>
          <w:iCs/>
        </w:rPr>
        <w:t>informal</w:t>
      </w:r>
      <w:r w:rsidRPr="00EF2646">
        <w:rPr>
          <w:i/>
          <w:iCs/>
        </w:rPr>
        <w:t xml:space="preserve"> document INF.69, as amended)</w:t>
      </w:r>
    </w:p>
    <w:p w:rsidR="006F1CDE" w:rsidRPr="00EF2646" w:rsidRDefault="006F1CDE" w:rsidP="006F1CDE">
      <w:pPr>
        <w:pStyle w:val="H23G"/>
      </w:pPr>
      <w:r w:rsidRPr="00EF2646">
        <w:tab/>
      </w:r>
      <w:r w:rsidRPr="00EF2646">
        <w:tab/>
        <w:t>Appendix A</w:t>
      </w:r>
    </w:p>
    <w:p w:rsidR="00BD0C34" w:rsidRPr="00023052" w:rsidRDefault="006F1CDE" w:rsidP="00BD0C34">
      <w:pPr>
        <w:pStyle w:val="SingleTxtG"/>
      </w:pPr>
      <w:r w:rsidRPr="00EF2646">
        <w:t>In the List of generic and N.O.S. proper shipping names</w:t>
      </w:r>
      <w:r w:rsidR="00BD0C34" w:rsidRPr="00023052">
        <w:t>, header, column 2, replace “risk” by “hazard”.</w:t>
      </w:r>
    </w:p>
    <w:p w:rsidR="00BD0C34" w:rsidRPr="00EF2646" w:rsidRDefault="00BD0C34" w:rsidP="00BD0C34">
      <w:pPr>
        <w:pStyle w:val="SingleTxtG"/>
      </w:pPr>
      <w:r w:rsidRPr="00023052">
        <w:rPr>
          <w:i/>
          <w:iCs/>
        </w:rPr>
        <w:t>(Reference document: ST/SG/AC.10/C.3/2016/16)</w:t>
      </w:r>
    </w:p>
    <w:p w:rsidR="0063376C" w:rsidRPr="00EF2646" w:rsidRDefault="00BD0C34" w:rsidP="00DC5B49">
      <w:pPr>
        <w:pStyle w:val="H23G"/>
      </w:pPr>
      <w:r w:rsidRPr="00EF2646">
        <w:tab/>
      </w:r>
      <w:r w:rsidRPr="00EF2646">
        <w:tab/>
      </w:r>
      <w:r w:rsidR="0063376C" w:rsidRPr="00EF2646">
        <w:t>Chapter 4.1</w:t>
      </w:r>
    </w:p>
    <w:p w:rsidR="00B840EF" w:rsidRPr="00EF2646" w:rsidRDefault="00B840EF" w:rsidP="00B840EF">
      <w:pPr>
        <w:pStyle w:val="SingleTxtG"/>
        <w:tabs>
          <w:tab w:val="left" w:pos="1854"/>
        </w:tabs>
      </w:pPr>
      <w:r w:rsidRPr="00EF2646">
        <w:t xml:space="preserve">4.1.4.1, </w:t>
      </w:r>
      <w:r w:rsidRPr="00EF2646">
        <w:rPr>
          <w:rFonts w:ascii="TimesNewRomanPSMT" w:hAnsi="TimesNewRomanPSMT" w:cs="TimesNewRomanPSMT"/>
          <w:lang w:eastAsia="fr-FR"/>
        </w:rPr>
        <w:t xml:space="preserve">Packing instruction </w:t>
      </w:r>
      <w:r w:rsidRPr="00EF2646">
        <w:t xml:space="preserve">P101 </w:t>
      </w:r>
      <w:r w:rsidRPr="00EF2646">
        <w:tab/>
      </w:r>
      <w:r w:rsidRPr="00EF2646">
        <w:tab/>
        <w:t>Replace “The State’s distinguishing sign for motor vehicles in international traffic” by “The distinguishing sign used on vehicles in international road traffic</w:t>
      </w:r>
      <w:r w:rsidRPr="00EF2646">
        <w:rPr>
          <w:b/>
          <w:vertAlign w:val="superscript"/>
        </w:rPr>
        <w:t xml:space="preserve"> a</w:t>
      </w:r>
      <w:r w:rsidRPr="00EF2646">
        <w:t>”.</w:t>
      </w:r>
    </w:p>
    <w:p w:rsidR="00B840EF" w:rsidRPr="00EF2646" w:rsidRDefault="00B840EF" w:rsidP="00B840EF">
      <w:pPr>
        <w:pStyle w:val="SingleTxtG"/>
        <w:tabs>
          <w:tab w:val="left" w:pos="1854"/>
        </w:tabs>
      </w:pPr>
      <w:r w:rsidRPr="00EF2646">
        <w:t>Table note a reads as follows:</w:t>
      </w:r>
    </w:p>
    <w:p w:rsidR="00B840EF" w:rsidRPr="00DB1B16" w:rsidRDefault="00B840EF" w:rsidP="00B840EF">
      <w:pPr>
        <w:pStyle w:val="SingleTxtG"/>
        <w:tabs>
          <w:tab w:val="left" w:pos="1854"/>
        </w:tabs>
        <w:rPr>
          <w:i/>
          <w:iCs/>
        </w:rPr>
      </w:pPr>
      <w:r w:rsidRPr="00DB1B16">
        <w:rPr>
          <w:i/>
          <w:iCs/>
        </w:rPr>
        <w:lastRenderedPageBreak/>
        <w:t>“</w:t>
      </w:r>
      <w:r w:rsidRPr="00DB1B16">
        <w:rPr>
          <w:b/>
          <w:i/>
          <w:iCs/>
          <w:vertAlign w:val="superscript"/>
        </w:rPr>
        <w:t>a</w:t>
      </w:r>
      <w:r w:rsidRPr="00DB1B16">
        <w:rPr>
          <w:i/>
          <w:iCs/>
        </w:rPr>
        <w:tab/>
        <w:t>Distinguishing sign of the State of registration used on motor vehicles and trailers in international road traffic, e.g. in accordance with the Geneva Convention on Road Traffic of 1949 or the Vienna Convention on Road Traffic of 1968.”.</w:t>
      </w:r>
    </w:p>
    <w:p w:rsidR="00890F4D" w:rsidRPr="00EF2646" w:rsidRDefault="00890F4D">
      <w:pPr>
        <w:pStyle w:val="SingleTxtG"/>
      </w:pPr>
      <w:r w:rsidRPr="00EF2646">
        <w:rPr>
          <w:i/>
          <w:iCs/>
        </w:rPr>
        <w:t>(Reference document: ST/SG/AC.10/C.3/2016/4)</w:t>
      </w:r>
    </w:p>
    <w:p w:rsidR="00744FF4" w:rsidRPr="00EF2646" w:rsidRDefault="00744FF4" w:rsidP="00744FF4">
      <w:pPr>
        <w:pStyle w:val="SingleTxtG"/>
      </w:pPr>
      <w:r w:rsidRPr="00EF2646">
        <w:t>4.1.4.1</w:t>
      </w:r>
      <w:r w:rsidRPr="00EF2646">
        <w:tab/>
      </w:r>
      <w:r w:rsidR="00B840EF" w:rsidRPr="00EF2646">
        <w:t xml:space="preserve">, </w:t>
      </w:r>
      <w:r w:rsidRPr="00EF2646">
        <w:t xml:space="preserve">Packing </w:t>
      </w:r>
      <w:r w:rsidR="00B840EF" w:rsidRPr="00EF2646">
        <w:t>i</w:t>
      </w:r>
      <w:r w:rsidRPr="00EF2646">
        <w:t>nstruction P200</w:t>
      </w:r>
      <w:r w:rsidR="00B840EF" w:rsidRPr="00EF2646">
        <w:tab/>
      </w:r>
      <w:r w:rsidR="00B840EF" w:rsidRPr="00EF2646">
        <w:tab/>
        <w:t>I</w:t>
      </w:r>
      <w:r w:rsidRPr="00EF2646">
        <w:t>n the header of column 4 of tables 1, 2 and 3, replace “risk” by “hazard”.</w:t>
      </w:r>
    </w:p>
    <w:p w:rsidR="00744FF4" w:rsidRPr="00EF2646" w:rsidRDefault="00744FF4" w:rsidP="00744FF4">
      <w:pPr>
        <w:pStyle w:val="SingleTxtG"/>
      </w:pPr>
      <w:r w:rsidRPr="00EF2646">
        <w:rPr>
          <w:i/>
          <w:iCs/>
        </w:rPr>
        <w:t>(Reference document: ST/SG/AC.10/C.3/2016/16)</w:t>
      </w:r>
    </w:p>
    <w:p w:rsidR="00744FF4" w:rsidRPr="00EF2646" w:rsidRDefault="00744FF4" w:rsidP="00744FF4">
      <w:pPr>
        <w:pStyle w:val="SingleTxtG"/>
      </w:pPr>
      <w:r w:rsidRPr="00EF2646">
        <w:t>4.1.4.1</w:t>
      </w:r>
      <w:r w:rsidRPr="00EF2646">
        <w:tab/>
      </w:r>
      <w:r w:rsidR="00B840EF" w:rsidRPr="00EF2646">
        <w:t xml:space="preserve">, </w:t>
      </w:r>
      <w:r w:rsidRPr="00EF2646">
        <w:t xml:space="preserve">Packing </w:t>
      </w:r>
      <w:r w:rsidR="00B840EF" w:rsidRPr="00EF2646">
        <w:t>i</w:t>
      </w:r>
      <w:r w:rsidRPr="00EF2646">
        <w:t>nstruction P203, (7)</w:t>
      </w:r>
      <w:r w:rsidR="00B840EF" w:rsidRPr="00EF2646">
        <w:tab/>
      </w:r>
      <w:proofErr w:type="gramStart"/>
      <w:r w:rsidR="00B840EF" w:rsidRPr="00EF2646">
        <w:t>R</w:t>
      </w:r>
      <w:r w:rsidRPr="00EF2646">
        <w:t>eplace</w:t>
      </w:r>
      <w:proofErr w:type="gramEnd"/>
      <w:r w:rsidRPr="00EF2646">
        <w:t xml:space="preserve"> “risk” by “hazard”.</w:t>
      </w:r>
    </w:p>
    <w:p w:rsidR="00744FF4" w:rsidRPr="00EF2646" w:rsidRDefault="00744FF4" w:rsidP="00744FF4">
      <w:pPr>
        <w:pStyle w:val="SingleTxtG"/>
        <w:rPr>
          <w:i/>
          <w:iCs/>
        </w:rPr>
      </w:pPr>
      <w:r w:rsidRPr="00EF2646">
        <w:rPr>
          <w:i/>
          <w:iCs/>
        </w:rPr>
        <w:t>(Reference document: ST/SG/AC.10/C.3/2016/16)</w:t>
      </w:r>
    </w:p>
    <w:p w:rsidR="008C0BB5" w:rsidRPr="00EF2646" w:rsidRDefault="008C0BB5" w:rsidP="00744FF4">
      <w:pPr>
        <w:pStyle w:val="SingleTxtG"/>
      </w:pPr>
      <w:r w:rsidRPr="00EF2646">
        <w:t>4.1.4.1</w:t>
      </w:r>
      <w:r w:rsidRPr="00EF2646">
        <w:tab/>
      </w:r>
      <w:r w:rsidR="00B840EF" w:rsidRPr="00EF2646">
        <w:t xml:space="preserve">, </w:t>
      </w:r>
      <w:r w:rsidRPr="00EF2646">
        <w:t>Packing instruction P206 (3):</w:t>
      </w:r>
    </w:p>
    <w:p w:rsidR="008C0BB5" w:rsidRPr="00EF2646" w:rsidRDefault="008C0BB5" w:rsidP="00B840EF">
      <w:pPr>
        <w:pStyle w:val="SingleTxtG"/>
        <w:ind w:left="2268"/>
      </w:pPr>
      <w:r w:rsidRPr="00EF2646">
        <w:t>In the first paragraph, replace “liquid phase” by “liquefied gas”.</w:t>
      </w:r>
    </w:p>
    <w:p w:rsidR="008C0BB5" w:rsidRPr="00EF2646" w:rsidRDefault="008C0BB5" w:rsidP="00B840EF">
      <w:pPr>
        <w:pStyle w:val="SingleTxtG"/>
        <w:ind w:left="2268"/>
      </w:pPr>
      <w:r w:rsidRPr="00EF2646">
        <w:t>In subparagraph (i), replace “liquid component” by “liquefied gas”.</w:t>
      </w:r>
    </w:p>
    <w:p w:rsidR="008C0BB5" w:rsidRPr="00EF2646" w:rsidRDefault="008C0BB5" w:rsidP="00B840EF">
      <w:pPr>
        <w:pStyle w:val="SingleTxtG"/>
        <w:ind w:left="2268"/>
      </w:pPr>
      <w:r w:rsidRPr="00EF2646">
        <w:t>In subparagraph (</w:t>
      </w:r>
      <w:proofErr w:type="gramStart"/>
      <w:r w:rsidRPr="00EF2646">
        <w:t>iv</w:t>
      </w:r>
      <w:proofErr w:type="gramEnd"/>
      <w:r w:rsidRPr="00EF2646">
        <w:t>), replace “liquid component” by “liquefied gas”.</w:t>
      </w:r>
    </w:p>
    <w:p w:rsidR="008C0BB5" w:rsidRPr="00EF2646" w:rsidRDefault="008C0BB5" w:rsidP="00B840EF">
      <w:pPr>
        <w:pStyle w:val="SingleTxtG"/>
        <w:ind w:left="2268"/>
      </w:pPr>
      <w:r w:rsidRPr="00EF2646">
        <w:t>In subparagraph (v), replace “liquid component” by “liquefied gas”.</w:t>
      </w:r>
      <w:r w:rsidRPr="00EF2646">
        <w:tab/>
      </w:r>
    </w:p>
    <w:p w:rsidR="008C0BB5" w:rsidRPr="00EF2646" w:rsidRDefault="008C0BB5" w:rsidP="00023052">
      <w:pPr>
        <w:pStyle w:val="SingleTxtG"/>
        <w:ind w:left="1701" w:firstLine="567"/>
      </w:pPr>
      <w:r w:rsidRPr="00EF2646">
        <w:t>In the last paragraph, replace “liquid component” by “liquid phase”.</w:t>
      </w:r>
    </w:p>
    <w:p w:rsidR="008C0BB5" w:rsidRPr="00EF2646" w:rsidRDefault="008C0BB5">
      <w:pPr>
        <w:pStyle w:val="SingleTxtG"/>
      </w:pPr>
      <w:r w:rsidRPr="00EF2646">
        <w:rPr>
          <w:i/>
          <w:iCs/>
        </w:rPr>
        <w:t xml:space="preserve">(Reference document: </w:t>
      </w:r>
      <w:r w:rsidR="008D2409">
        <w:rPr>
          <w:i/>
          <w:iCs/>
        </w:rPr>
        <w:t>informal</w:t>
      </w:r>
      <w:r w:rsidRPr="00EF2646">
        <w:rPr>
          <w:i/>
          <w:iCs/>
        </w:rPr>
        <w:t xml:space="preserve"> document INF.41)</w:t>
      </w:r>
    </w:p>
    <w:p w:rsidR="00744FF4" w:rsidRPr="00EF2646" w:rsidRDefault="00F31D1F" w:rsidP="00744FF4">
      <w:pPr>
        <w:pStyle w:val="SingleTxtG"/>
      </w:pPr>
      <w:r w:rsidRPr="00EF2646">
        <w:t>4.1.4.1</w:t>
      </w:r>
      <w:r w:rsidRPr="00EF2646">
        <w:tab/>
      </w:r>
      <w:r w:rsidR="00B840EF" w:rsidRPr="00EF2646">
        <w:t xml:space="preserve">, </w:t>
      </w:r>
      <w:r w:rsidR="00744FF4" w:rsidRPr="00EF2646">
        <w:t xml:space="preserve">Packing </w:t>
      </w:r>
      <w:r w:rsidR="00B840EF" w:rsidRPr="00EF2646">
        <w:t>i</w:t>
      </w:r>
      <w:r w:rsidR="00744FF4" w:rsidRPr="00EF2646">
        <w:t>nstruction P208</w:t>
      </w:r>
      <w:proofErr w:type="gramStart"/>
      <w:r w:rsidR="00B840EF" w:rsidRPr="00EF2646">
        <w:tab/>
      </w:r>
      <w:r w:rsidR="00B840EF" w:rsidRPr="00EF2646">
        <w:tab/>
        <w:t>In</w:t>
      </w:r>
      <w:proofErr w:type="gramEnd"/>
      <w:r w:rsidR="00B840EF" w:rsidRPr="00EF2646">
        <w:t xml:space="preserve"> </w:t>
      </w:r>
      <w:r w:rsidR="00744FF4" w:rsidRPr="00EF2646">
        <w:t>Table 1, header, column 4, replace “risk” by “hazard”.</w:t>
      </w:r>
    </w:p>
    <w:p w:rsidR="00744FF4" w:rsidRPr="00EF2646" w:rsidRDefault="00744FF4" w:rsidP="00744FF4">
      <w:pPr>
        <w:pStyle w:val="SingleTxtG"/>
      </w:pPr>
      <w:r w:rsidRPr="00EF2646">
        <w:rPr>
          <w:i/>
          <w:iCs/>
        </w:rPr>
        <w:t>(Reference document: ST/SG/AC.10/C.3/2016/16)</w:t>
      </w:r>
    </w:p>
    <w:p w:rsidR="00744FF4" w:rsidRPr="00EF2646" w:rsidRDefault="00F31D1F" w:rsidP="00744FF4">
      <w:pPr>
        <w:pStyle w:val="SingleTxtG"/>
      </w:pPr>
      <w:r w:rsidRPr="00EF2646">
        <w:t>4.1.4.1</w:t>
      </w:r>
      <w:r w:rsidRPr="00EF2646">
        <w:tab/>
      </w:r>
      <w:r w:rsidR="00B840EF" w:rsidRPr="00EF2646">
        <w:t xml:space="preserve">, </w:t>
      </w:r>
      <w:r w:rsidR="00744FF4" w:rsidRPr="00EF2646">
        <w:t xml:space="preserve">Packing </w:t>
      </w:r>
      <w:r w:rsidR="00B840EF" w:rsidRPr="00EF2646">
        <w:t>i</w:t>
      </w:r>
      <w:r w:rsidR="00744FF4" w:rsidRPr="00EF2646">
        <w:t>nstruction P520</w:t>
      </w:r>
      <w:r w:rsidR="00B840EF" w:rsidRPr="00EF2646">
        <w:t>, a</w:t>
      </w:r>
      <w:r w:rsidR="00744FF4" w:rsidRPr="00EF2646">
        <w:t>dditional requi</w:t>
      </w:r>
      <w:r w:rsidR="00B840EF" w:rsidRPr="00EF2646">
        <w:t>rement 4</w:t>
      </w:r>
      <w:r w:rsidR="00B840EF" w:rsidRPr="00EF2646">
        <w:tab/>
        <w:t>R</w:t>
      </w:r>
      <w:r w:rsidR="00744FF4" w:rsidRPr="00EF2646">
        <w:t>eplace “risk” by “hazard”.</w:t>
      </w:r>
    </w:p>
    <w:p w:rsidR="00744FF4" w:rsidRPr="00EF2646" w:rsidRDefault="00744FF4" w:rsidP="00744FF4">
      <w:pPr>
        <w:pStyle w:val="SingleTxtG"/>
        <w:rPr>
          <w:i/>
          <w:iCs/>
        </w:rPr>
      </w:pPr>
      <w:r w:rsidRPr="00EF2646">
        <w:rPr>
          <w:i/>
          <w:iCs/>
        </w:rPr>
        <w:t>(Reference document: ST/SG/AC.10/C.3/2016/16)</w:t>
      </w:r>
    </w:p>
    <w:p w:rsidR="00F31D1F" w:rsidRPr="00EF2646" w:rsidRDefault="00F31D1F" w:rsidP="00403ECD">
      <w:pPr>
        <w:pStyle w:val="SingleTxtG"/>
      </w:pPr>
      <w:r w:rsidRPr="00023052">
        <w:t>4.1.4.1</w:t>
      </w:r>
      <w:r w:rsidRPr="00023052">
        <w:tab/>
      </w:r>
      <w:r w:rsidR="00B840EF" w:rsidRPr="00EF2646">
        <w:t xml:space="preserve">, </w:t>
      </w:r>
      <w:r w:rsidRPr="00023052">
        <w:t xml:space="preserve">Packing instruction P801, </w:t>
      </w:r>
      <w:r w:rsidR="00403ECD" w:rsidRPr="00EF2646">
        <w:t>additional requirement 2</w:t>
      </w:r>
      <w:r w:rsidR="00B840EF" w:rsidRPr="00EF2646">
        <w:tab/>
      </w:r>
      <w:r w:rsidR="00403ECD" w:rsidRPr="00EF2646">
        <w:t>Replace “non-conductive” by “electrically non-conductive”.</w:t>
      </w:r>
    </w:p>
    <w:p w:rsidR="00B0166A" w:rsidRPr="00EF2646" w:rsidRDefault="00F31D1F">
      <w:pPr>
        <w:pStyle w:val="SingleTxtG"/>
        <w:rPr>
          <w:i/>
          <w:iCs/>
        </w:rPr>
      </w:pPr>
      <w:r w:rsidRPr="00EF2646">
        <w:rPr>
          <w:i/>
          <w:iCs/>
        </w:rPr>
        <w:t>(Reference document: ST/SG/AC.10/C.3/2016/2)</w:t>
      </w:r>
    </w:p>
    <w:p w:rsidR="00C22DAB" w:rsidRPr="00EF2646" w:rsidRDefault="00C22DAB" w:rsidP="00023052">
      <w:pPr>
        <w:pStyle w:val="SingleTxtG"/>
      </w:pPr>
      <w:r w:rsidRPr="00EF2646">
        <w:t>4.1.4.1, Packing Instruction P908, paragraphs 2 and 4</w:t>
      </w:r>
      <w:r w:rsidR="00B840EF" w:rsidRPr="00EF2646">
        <w:tab/>
      </w:r>
      <w:r w:rsidR="00B840EF" w:rsidRPr="00EF2646">
        <w:tab/>
        <w:t>R</w:t>
      </w:r>
      <w:r w:rsidRPr="00EF2646">
        <w:t>eplace “non-conductive” by “electrically non-conductive”.</w:t>
      </w:r>
    </w:p>
    <w:p w:rsidR="00C22DAB" w:rsidRPr="00EF2646" w:rsidRDefault="00C22DAB" w:rsidP="00C22DAB">
      <w:pPr>
        <w:pStyle w:val="SingleTxtG"/>
        <w:rPr>
          <w:i/>
          <w:iCs/>
        </w:rPr>
      </w:pPr>
      <w:r w:rsidRPr="00EF2646">
        <w:rPr>
          <w:i/>
          <w:iCs/>
        </w:rPr>
        <w:t>(Reference document: ST/SG/AC.10/C.3/2016/2)</w:t>
      </w:r>
    </w:p>
    <w:p w:rsidR="00B0166A" w:rsidRPr="00EF2646" w:rsidRDefault="00B0166A">
      <w:pPr>
        <w:pStyle w:val="SingleTxtG"/>
      </w:pPr>
      <w:r w:rsidRPr="00EF2646">
        <w:t>4.1.4.1</w:t>
      </w:r>
      <w:r w:rsidRPr="00EF2646">
        <w:tab/>
      </w:r>
      <w:r w:rsidR="00B840EF" w:rsidRPr="00EF2646">
        <w:t xml:space="preserve">, </w:t>
      </w:r>
      <w:r w:rsidRPr="00EF2646">
        <w:t>Packing instruction P909, paragraph 2 and 4</w:t>
      </w:r>
      <w:r w:rsidR="00B840EF" w:rsidRPr="00EF2646">
        <w:tab/>
      </w:r>
      <w:r w:rsidR="00B840EF" w:rsidRPr="00EF2646">
        <w:tab/>
      </w:r>
      <w:r w:rsidRPr="00EF2646">
        <w:t xml:space="preserve"> Replace “non-conductive” by “electrically non-conductive”.</w:t>
      </w:r>
    </w:p>
    <w:p w:rsidR="00B0166A" w:rsidRPr="00EF2646" w:rsidRDefault="00B0166A">
      <w:pPr>
        <w:pStyle w:val="SingleTxtG"/>
        <w:rPr>
          <w:i/>
          <w:iCs/>
        </w:rPr>
      </w:pPr>
      <w:r w:rsidRPr="00EF2646">
        <w:rPr>
          <w:i/>
          <w:iCs/>
        </w:rPr>
        <w:t>(Reference document: ST/SG/AC.10/C.3/2016/2)</w:t>
      </w:r>
    </w:p>
    <w:p w:rsidR="00B0166A" w:rsidRPr="00EF2646" w:rsidRDefault="00B0166A">
      <w:pPr>
        <w:pStyle w:val="SingleTxtG"/>
      </w:pPr>
      <w:r w:rsidRPr="00EF2646">
        <w:t>4.1.4.1</w:t>
      </w:r>
      <w:r w:rsidRPr="00EF2646">
        <w:tab/>
      </w:r>
      <w:r w:rsidR="00B840EF" w:rsidRPr="00EF2646">
        <w:t xml:space="preserve">, </w:t>
      </w:r>
      <w:r w:rsidRPr="00EF2646">
        <w:t>Packing instruction P910</w:t>
      </w:r>
      <w:r w:rsidR="00B840EF" w:rsidRPr="00EF2646">
        <w:tab/>
      </w:r>
      <w:r w:rsidR="00B840EF" w:rsidRPr="00EF2646">
        <w:tab/>
        <w:t xml:space="preserve">In </w:t>
      </w:r>
      <w:r w:rsidRPr="00EF2646">
        <w:t>paragraphs (1) (c), (1) (d), (2) (c), and fourth indent of the additional requirements</w:t>
      </w:r>
      <w:r w:rsidR="00B840EF" w:rsidRPr="00EF2646">
        <w:t>, r</w:t>
      </w:r>
      <w:r w:rsidRPr="00EF2646">
        <w:t>eplace “non-conductive” by “electrically non-conductive”.</w:t>
      </w:r>
    </w:p>
    <w:p w:rsidR="00B0166A" w:rsidRPr="00EF2646" w:rsidRDefault="00B0166A" w:rsidP="00B0166A">
      <w:pPr>
        <w:pStyle w:val="SingleTxtG"/>
        <w:rPr>
          <w:i/>
          <w:iCs/>
        </w:rPr>
      </w:pPr>
      <w:r w:rsidRPr="00EF2646">
        <w:rPr>
          <w:i/>
          <w:iCs/>
        </w:rPr>
        <w:t>(Reference document: ST/SG/AC.10/C.3/2016/2)</w:t>
      </w:r>
    </w:p>
    <w:p w:rsidR="00873178" w:rsidRPr="00EF2646" w:rsidRDefault="0063376C">
      <w:pPr>
        <w:pStyle w:val="SingleTxtG"/>
      </w:pPr>
      <w:r w:rsidRPr="00EF2646">
        <w:t>4.1.4.3, packing instruction LP902</w:t>
      </w:r>
      <w:r w:rsidRPr="00EF2646">
        <w:tab/>
      </w:r>
      <w:r w:rsidR="00873178" w:rsidRPr="00EF2646">
        <w:tab/>
      </w:r>
      <w:proofErr w:type="gramStart"/>
      <w:r w:rsidRPr="00EF2646">
        <w:t>Under</w:t>
      </w:r>
      <w:proofErr w:type="gramEnd"/>
      <w:r w:rsidRPr="00EF2646">
        <w:t xml:space="preserve"> “Packaged articles”, replace “Packagings conforming to the packing group III performance level.” </w:t>
      </w:r>
      <w:r w:rsidR="00873178" w:rsidRPr="00EF2646">
        <w:t>b</w:t>
      </w:r>
      <w:r w:rsidRPr="00EF2646">
        <w:t>y</w:t>
      </w:r>
      <w:r w:rsidR="00873178" w:rsidRPr="00EF2646">
        <w:t>:</w:t>
      </w:r>
    </w:p>
    <w:p w:rsidR="0063376C" w:rsidRPr="00EF2646" w:rsidRDefault="0063376C">
      <w:pPr>
        <w:pStyle w:val="SingleTxtG"/>
      </w:pPr>
      <w:r w:rsidRPr="00EF2646">
        <w:t>“Rigid large packagings conforming to the packing group III performance level, made of:</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steel</w:t>
      </w:r>
      <w:proofErr w:type="gramEnd"/>
      <w:r w:rsidRPr="00EF2646">
        <w:rPr>
          <w:rStyle w:val="SingleTxtGCar"/>
        </w:rPr>
        <w:t xml:space="preserve"> (50A)</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aluminium</w:t>
      </w:r>
      <w:proofErr w:type="gramEnd"/>
      <w:r w:rsidRPr="00EF2646">
        <w:rPr>
          <w:rStyle w:val="SingleTxtGCar"/>
        </w:rPr>
        <w:t xml:space="preserve"> (50B)</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metal</w:t>
      </w:r>
      <w:proofErr w:type="gramEnd"/>
      <w:r w:rsidRPr="00EF2646">
        <w:rPr>
          <w:rStyle w:val="SingleTxtGCar"/>
        </w:rPr>
        <w:t xml:space="preserve"> other than steel or aluminium (50N)</w:t>
      </w:r>
    </w:p>
    <w:p w:rsidR="0063376C" w:rsidRPr="00EF2646" w:rsidRDefault="0063376C" w:rsidP="0063376C">
      <w:pPr>
        <w:pStyle w:val="SingleTxtG"/>
        <w:spacing w:after="0"/>
        <w:ind w:right="1138" w:firstLine="720"/>
        <w:rPr>
          <w:rStyle w:val="SingleTxtGCar"/>
        </w:rPr>
      </w:pPr>
      <w:proofErr w:type="gramStart"/>
      <w:r w:rsidRPr="00EF2646">
        <w:rPr>
          <w:rStyle w:val="SingleTxtGCar"/>
        </w:rPr>
        <w:lastRenderedPageBreak/>
        <w:t>rigid</w:t>
      </w:r>
      <w:proofErr w:type="gramEnd"/>
      <w:r w:rsidRPr="00EF2646">
        <w:rPr>
          <w:rStyle w:val="SingleTxtGCar"/>
        </w:rPr>
        <w:t xml:space="preserve"> plastics (50H)</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natural</w:t>
      </w:r>
      <w:proofErr w:type="gramEnd"/>
      <w:r w:rsidRPr="00EF2646">
        <w:rPr>
          <w:rStyle w:val="SingleTxtGCar"/>
        </w:rPr>
        <w:t xml:space="preserve"> wood (50C)</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plywood</w:t>
      </w:r>
      <w:proofErr w:type="gramEnd"/>
      <w:r w:rsidRPr="00EF2646">
        <w:rPr>
          <w:rStyle w:val="SingleTxtGCar"/>
        </w:rPr>
        <w:t xml:space="preserve"> (50D)</w:t>
      </w:r>
    </w:p>
    <w:p w:rsidR="0063376C" w:rsidRPr="00EF2646" w:rsidRDefault="0063376C" w:rsidP="0063376C">
      <w:pPr>
        <w:pStyle w:val="SingleTxtG"/>
        <w:spacing w:after="0"/>
        <w:ind w:right="1138" w:firstLine="720"/>
        <w:rPr>
          <w:rStyle w:val="SingleTxtGCar"/>
        </w:rPr>
      </w:pPr>
      <w:proofErr w:type="gramStart"/>
      <w:r w:rsidRPr="00EF2646">
        <w:rPr>
          <w:rStyle w:val="SingleTxtGCar"/>
        </w:rPr>
        <w:t>reconstituted</w:t>
      </w:r>
      <w:proofErr w:type="gramEnd"/>
      <w:r w:rsidRPr="00EF2646">
        <w:rPr>
          <w:rStyle w:val="SingleTxtGCar"/>
        </w:rPr>
        <w:t xml:space="preserve"> wood (50F)</w:t>
      </w:r>
    </w:p>
    <w:p w:rsidR="0063376C" w:rsidRPr="00EF2646" w:rsidRDefault="0063376C" w:rsidP="0063376C">
      <w:pPr>
        <w:pStyle w:val="SingleTxtG"/>
        <w:ind w:firstLine="720"/>
        <w:rPr>
          <w:rStyle w:val="SingleTxtGCar"/>
        </w:rPr>
      </w:pPr>
      <w:proofErr w:type="gramStart"/>
      <w:r w:rsidRPr="00EF2646">
        <w:rPr>
          <w:rStyle w:val="SingleTxtGCar"/>
        </w:rPr>
        <w:t>rigid</w:t>
      </w:r>
      <w:proofErr w:type="gramEnd"/>
      <w:r w:rsidRPr="00EF2646">
        <w:rPr>
          <w:rStyle w:val="SingleTxtGCar"/>
        </w:rPr>
        <w:t xml:space="preserve"> fibreboard (50G)”.</w:t>
      </w:r>
    </w:p>
    <w:p w:rsidR="0063376C" w:rsidRPr="00EF2646" w:rsidRDefault="0063376C" w:rsidP="00DC5B49">
      <w:pPr>
        <w:pStyle w:val="SingleTxtG"/>
        <w:ind w:left="567" w:firstLine="333"/>
        <w:rPr>
          <w:i/>
          <w:iCs/>
        </w:rPr>
      </w:pPr>
      <w:r w:rsidRPr="00EF2646">
        <w:rPr>
          <w:i/>
          <w:iCs/>
        </w:rPr>
        <w:t>(Reference document: ST/SG/AC.10/C.3/2016/23)</w:t>
      </w:r>
    </w:p>
    <w:p w:rsidR="0063376C" w:rsidRPr="00EF2646" w:rsidRDefault="0063376C">
      <w:pPr>
        <w:pStyle w:val="SingleTxtG"/>
        <w:ind w:left="851"/>
      </w:pPr>
      <w:r w:rsidRPr="00EF2646">
        <w:t xml:space="preserve">4.1.4.3, Packing </w:t>
      </w:r>
      <w:r w:rsidR="00873178" w:rsidRPr="00EF2646">
        <w:t>i</w:t>
      </w:r>
      <w:r w:rsidRPr="00EF2646">
        <w:t>nstruction LP904</w:t>
      </w:r>
      <w:r w:rsidR="00873178" w:rsidRPr="00EF2646">
        <w:tab/>
        <w:t xml:space="preserve">In </w:t>
      </w:r>
      <w:r w:rsidRPr="00EF2646">
        <w:t>paragraphs 2 and</w:t>
      </w:r>
      <w:r w:rsidR="00DC5B49" w:rsidRPr="00EF2646">
        <w:t xml:space="preserve"> 4, replace “non-conductive” by </w:t>
      </w:r>
      <w:r w:rsidRPr="00EF2646">
        <w:t>“electrically non-conductive”.</w:t>
      </w:r>
    </w:p>
    <w:p w:rsidR="0063376C" w:rsidRPr="00EF2646" w:rsidRDefault="0063376C" w:rsidP="00DC5B49">
      <w:pPr>
        <w:pStyle w:val="SingleTxtG"/>
        <w:ind w:left="284" w:firstLine="567"/>
        <w:rPr>
          <w:i/>
          <w:iCs/>
        </w:rPr>
      </w:pPr>
      <w:r w:rsidRPr="00EF2646">
        <w:rPr>
          <w:i/>
          <w:iCs/>
        </w:rPr>
        <w:t>(Reference document: ST/SG/AC.10/C.3/2016/2)</w:t>
      </w:r>
    </w:p>
    <w:p w:rsidR="00A95BBF" w:rsidRPr="00EF2646" w:rsidRDefault="00A95BBF" w:rsidP="00A95BBF">
      <w:pPr>
        <w:pStyle w:val="SingleTxtG"/>
        <w:ind w:left="284" w:firstLine="567"/>
      </w:pPr>
      <w:r w:rsidRPr="00EF2646">
        <w:t>4.1.6.1.4</w:t>
      </w:r>
      <w:r w:rsidRPr="00EF2646">
        <w:tab/>
        <w:t xml:space="preserve">In the third sentence, replace </w:t>
      </w:r>
      <w:r w:rsidR="008A2C6B" w:rsidRPr="00EF2646">
        <w:t>“</w:t>
      </w:r>
      <w:r w:rsidRPr="00EF2646">
        <w:t>risk” by “hazard”.</w:t>
      </w:r>
    </w:p>
    <w:p w:rsidR="00A95BBF" w:rsidRPr="00EF2646" w:rsidRDefault="00A95BBF" w:rsidP="00A95BBF">
      <w:pPr>
        <w:pStyle w:val="SingleTxtG"/>
        <w:ind w:left="284" w:firstLine="567"/>
        <w:rPr>
          <w:i/>
          <w:iCs/>
        </w:rPr>
      </w:pPr>
      <w:r w:rsidRPr="00EF2646">
        <w:rPr>
          <w:i/>
          <w:iCs/>
        </w:rPr>
        <w:t>(Reference document: ST/SG/AC.10/C.3/2016/16)</w:t>
      </w:r>
    </w:p>
    <w:p w:rsidR="008A2C6B" w:rsidRPr="00EF2646" w:rsidRDefault="008A2C6B" w:rsidP="008A2C6B">
      <w:pPr>
        <w:pStyle w:val="SingleTxtG"/>
        <w:ind w:left="284" w:firstLine="567"/>
      </w:pPr>
      <w:r w:rsidRPr="00EF2646">
        <w:rPr>
          <w:iCs/>
        </w:rPr>
        <w:t>4.1.9.1.5</w:t>
      </w:r>
      <w:r w:rsidRPr="00EF2646">
        <w:rPr>
          <w:iCs/>
        </w:rPr>
        <w:tab/>
        <w:t>Replace “</w:t>
      </w:r>
      <w:r w:rsidRPr="00EF2646">
        <w:t>risk” by “hazard” twice.</w:t>
      </w:r>
    </w:p>
    <w:p w:rsidR="008A2C6B" w:rsidRPr="00EF2646" w:rsidRDefault="008A2C6B" w:rsidP="008A2C6B">
      <w:pPr>
        <w:pStyle w:val="SingleTxtG"/>
        <w:ind w:left="284" w:firstLine="567"/>
        <w:rPr>
          <w:i/>
          <w:iCs/>
        </w:rPr>
      </w:pPr>
      <w:r w:rsidRPr="00EF2646">
        <w:rPr>
          <w:i/>
          <w:iCs/>
        </w:rPr>
        <w:t>(Reference document: ST/SG/AC.10/C.3/2016/16)</w:t>
      </w:r>
    </w:p>
    <w:p w:rsidR="003258EF" w:rsidRPr="00EF2646" w:rsidRDefault="003258EF" w:rsidP="00987409">
      <w:pPr>
        <w:pStyle w:val="SingleTxtG"/>
        <w:ind w:left="284" w:firstLine="567"/>
        <w:rPr>
          <w:b/>
          <w:bCs/>
          <w:iCs/>
        </w:rPr>
      </w:pPr>
      <w:r w:rsidRPr="00EF2646">
        <w:rPr>
          <w:b/>
          <w:bCs/>
          <w:iCs/>
        </w:rPr>
        <w:t>Chapter 4.2</w:t>
      </w:r>
    </w:p>
    <w:p w:rsidR="00987409" w:rsidRPr="00EF2646" w:rsidRDefault="00987409" w:rsidP="00987409">
      <w:pPr>
        <w:pStyle w:val="SingleTxtG"/>
        <w:ind w:left="284" w:firstLine="567"/>
      </w:pPr>
      <w:r w:rsidRPr="00EF2646">
        <w:rPr>
          <w:iCs/>
        </w:rPr>
        <w:t>4.2.1.19.1</w:t>
      </w:r>
      <w:r w:rsidRPr="00EF2646">
        <w:rPr>
          <w:iCs/>
        </w:rPr>
        <w:tab/>
      </w:r>
      <w:r w:rsidR="00873178" w:rsidRPr="00EF2646">
        <w:rPr>
          <w:iCs/>
        </w:rPr>
        <w:tab/>
      </w:r>
      <w:r w:rsidRPr="00EF2646">
        <w:rPr>
          <w:iCs/>
        </w:rPr>
        <w:t>Replace “</w:t>
      </w:r>
      <w:r w:rsidRPr="00EF2646">
        <w:t>risk” by “hazard”.</w:t>
      </w:r>
    </w:p>
    <w:p w:rsidR="00987409" w:rsidRPr="00EF2646" w:rsidRDefault="00987409" w:rsidP="00987409">
      <w:pPr>
        <w:pStyle w:val="SingleTxtG"/>
        <w:ind w:left="284" w:firstLine="567"/>
      </w:pPr>
      <w:r w:rsidRPr="00EF2646">
        <w:rPr>
          <w:i/>
          <w:iCs/>
        </w:rPr>
        <w:t>(Reference document: ST/SG/AC.10/C.3/2016/16)</w:t>
      </w:r>
    </w:p>
    <w:p w:rsidR="00987409" w:rsidRPr="00EF2646" w:rsidRDefault="003258EF" w:rsidP="00987409">
      <w:pPr>
        <w:pStyle w:val="SingleTxtG"/>
        <w:ind w:left="284" w:firstLine="567"/>
      </w:pPr>
      <w:r w:rsidRPr="00EF2646">
        <w:t>4.2.5.2.6</w:t>
      </w:r>
      <w:r w:rsidR="00873178" w:rsidRPr="00EF2646">
        <w:t xml:space="preserve">, </w:t>
      </w:r>
      <w:r w:rsidR="00987409" w:rsidRPr="00EF2646">
        <w:t>Portable Tank Instruction T23, footnote d</w:t>
      </w:r>
      <w:r w:rsidR="00987409" w:rsidRPr="00EF2646">
        <w:tab/>
      </w:r>
      <w:r w:rsidR="00873178" w:rsidRPr="00EF2646">
        <w:tab/>
      </w:r>
      <w:r w:rsidR="00987409" w:rsidRPr="00EF2646">
        <w:t>Replace risk” by “hazard”.</w:t>
      </w:r>
    </w:p>
    <w:p w:rsidR="00987409" w:rsidRPr="00EF2646" w:rsidRDefault="00987409" w:rsidP="00987409">
      <w:pPr>
        <w:pStyle w:val="SingleTxtG"/>
        <w:ind w:left="284" w:firstLine="567"/>
      </w:pPr>
      <w:r w:rsidRPr="00EF2646">
        <w:rPr>
          <w:i/>
          <w:iCs/>
        </w:rPr>
        <w:t>(Reference document: ST/SG/AC.10/C.3/2016/16)</w:t>
      </w:r>
    </w:p>
    <w:p w:rsidR="00F91766" w:rsidRPr="00EF2646" w:rsidRDefault="00F91766" w:rsidP="00F91766">
      <w:pPr>
        <w:pStyle w:val="H23G"/>
        <w:ind w:left="1985"/>
      </w:pPr>
      <w:r w:rsidRPr="00EF2646">
        <w:t>Chapter 5.1</w:t>
      </w:r>
    </w:p>
    <w:p w:rsidR="00F91766" w:rsidRPr="00EF2646" w:rsidRDefault="00F91766" w:rsidP="00084885">
      <w:pPr>
        <w:pStyle w:val="SingleTxtG"/>
        <w:ind w:left="851"/>
      </w:pPr>
      <w:r w:rsidRPr="00EF2646">
        <w:t>5.1.4</w:t>
      </w:r>
      <w:r w:rsidRPr="00EF2646">
        <w:tab/>
      </w:r>
      <w:r w:rsidRPr="00EF2646">
        <w:rPr>
          <w:iCs/>
        </w:rPr>
        <w:t>Replace “</w:t>
      </w:r>
      <w:r w:rsidRPr="00EF2646">
        <w:t>risk” by “hazard” twice.</w:t>
      </w:r>
    </w:p>
    <w:p w:rsidR="00F91766" w:rsidRPr="00EF2646" w:rsidRDefault="00F91766" w:rsidP="00084885">
      <w:pPr>
        <w:pStyle w:val="SingleTxtG"/>
        <w:ind w:left="851"/>
        <w:rPr>
          <w:i/>
          <w:iCs/>
        </w:rPr>
      </w:pPr>
      <w:r w:rsidRPr="00EF2646">
        <w:rPr>
          <w:i/>
          <w:iCs/>
        </w:rPr>
        <w:t>(Reference document: ST/SG/AC.10/C.3/2016/16)</w:t>
      </w:r>
    </w:p>
    <w:p w:rsidR="00084885" w:rsidRPr="00EF2646" w:rsidRDefault="00084885" w:rsidP="00084885">
      <w:pPr>
        <w:pStyle w:val="SingleTxtG"/>
        <w:ind w:left="851"/>
        <w:rPr>
          <w:b/>
        </w:rPr>
      </w:pPr>
      <w:r w:rsidRPr="00EF2646">
        <w:rPr>
          <w:b/>
        </w:rPr>
        <w:t>Chapter 5.2</w:t>
      </w:r>
    </w:p>
    <w:p w:rsidR="000B31CF" w:rsidRPr="00EF2646" w:rsidRDefault="00084885" w:rsidP="00710F4A">
      <w:pPr>
        <w:pStyle w:val="SingleTxtG"/>
        <w:ind w:left="284" w:firstLine="567"/>
      </w:pPr>
      <w:r w:rsidRPr="00EF2646">
        <w:t>5.2.2.1.1</w:t>
      </w:r>
      <w:r w:rsidR="000B31CF" w:rsidRPr="00EF2646">
        <w:tab/>
        <w:t>Replace “risks” by “hazards”</w:t>
      </w:r>
      <w:r w:rsidR="00920787" w:rsidRPr="00EF2646">
        <w:t xml:space="preserve"> </w:t>
      </w:r>
      <w:r w:rsidR="00710F4A">
        <w:t>and “risk” by “hazard”</w:t>
      </w:r>
      <w:r w:rsidR="000B31CF" w:rsidRPr="00EF2646">
        <w:t>.</w:t>
      </w:r>
    </w:p>
    <w:p w:rsidR="000B31CF" w:rsidRPr="00EF2646" w:rsidRDefault="000B31CF" w:rsidP="000B31CF">
      <w:pPr>
        <w:pStyle w:val="SingleTxtG"/>
        <w:ind w:left="284" w:firstLine="567"/>
      </w:pPr>
      <w:r w:rsidRPr="00EF2646">
        <w:rPr>
          <w:i/>
          <w:iCs/>
        </w:rPr>
        <w:t>(Reference document: ST/SG/AC.10/C.3/2016/16)</w:t>
      </w:r>
    </w:p>
    <w:p w:rsidR="00A25848" w:rsidRPr="00EF2646" w:rsidRDefault="00A25848" w:rsidP="00A25848">
      <w:pPr>
        <w:pStyle w:val="SingleTxtG"/>
        <w:ind w:left="851"/>
      </w:pPr>
      <w:r w:rsidRPr="00EF2646">
        <w:t>5.2.2.1.2</w:t>
      </w:r>
      <w:r w:rsidRPr="00EF2646">
        <w:tab/>
      </w:r>
      <w:r w:rsidRPr="00EF2646">
        <w:rPr>
          <w:iCs/>
        </w:rPr>
        <w:t>Replace “</w:t>
      </w:r>
      <w:r w:rsidRPr="00EF2646">
        <w:t>risk” by “hazard” 6 times.</w:t>
      </w:r>
    </w:p>
    <w:p w:rsidR="00A25848" w:rsidRPr="00EF2646" w:rsidRDefault="00A25848" w:rsidP="00A25848">
      <w:pPr>
        <w:pStyle w:val="SingleTxtG"/>
        <w:ind w:left="851"/>
        <w:rPr>
          <w:i/>
          <w:iCs/>
        </w:rPr>
      </w:pPr>
      <w:r w:rsidRPr="00EF2646">
        <w:rPr>
          <w:i/>
          <w:iCs/>
        </w:rPr>
        <w:t>(Reference document: ST/SG/AC.10/C.3/2016/16)</w:t>
      </w:r>
    </w:p>
    <w:p w:rsidR="004E00C2" w:rsidRPr="00EF2646" w:rsidRDefault="004E00C2" w:rsidP="004E00C2">
      <w:pPr>
        <w:pStyle w:val="SingleTxtG"/>
        <w:ind w:left="851"/>
      </w:pPr>
      <w:r w:rsidRPr="00EF2646">
        <w:rPr>
          <w:iCs/>
        </w:rPr>
        <w:t>5.2.2.1.3</w:t>
      </w:r>
      <w:r w:rsidRPr="00EF2646">
        <w:rPr>
          <w:iCs/>
        </w:rPr>
        <w:tab/>
        <w:t>Replace “</w:t>
      </w:r>
      <w:r w:rsidRPr="00EF2646">
        <w:t>risk” by “hazard” 3 times.</w:t>
      </w:r>
    </w:p>
    <w:p w:rsidR="004E00C2" w:rsidRPr="00EF2646" w:rsidRDefault="004E00C2" w:rsidP="004E00C2">
      <w:pPr>
        <w:pStyle w:val="SingleTxtG"/>
        <w:ind w:left="851"/>
        <w:rPr>
          <w:i/>
          <w:iCs/>
        </w:rPr>
      </w:pPr>
      <w:r w:rsidRPr="00EF2646">
        <w:rPr>
          <w:i/>
          <w:iCs/>
        </w:rPr>
        <w:t>(Reference document: ST/SG/AC.10/C.3/2016/16)</w:t>
      </w:r>
    </w:p>
    <w:p w:rsidR="00076F2D" w:rsidRPr="00EF2646" w:rsidRDefault="00076F2D" w:rsidP="00076F2D">
      <w:pPr>
        <w:pStyle w:val="SingleTxtG"/>
        <w:ind w:left="851"/>
      </w:pPr>
      <w:r w:rsidRPr="00EF2646">
        <w:rPr>
          <w:iCs/>
        </w:rPr>
        <w:t>5.2.2.1.3.1 Replace “</w:t>
      </w:r>
      <w:r w:rsidRPr="00EF2646">
        <w:t>risk” by “hazard” twice.</w:t>
      </w:r>
    </w:p>
    <w:p w:rsidR="00076F2D" w:rsidRPr="00EF2646" w:rsidRDefault="00076F2D" w:rsidP="00076F2D">
      <w:pPr>
        <w:pStyle w:val="SingleTxtG"/>
        <w:ind w:left="851"/>
        <w:rPr>
          <w:i/>
          <w:iCs/>
        </w:rPr>
      </w:pPr>
      <w:r w:rsidRPr="00EF2646">
        <w:rPr>
          <w:i/>
          <w:iCs/>
        </w:rPr>
        <w:t>(Reference document: ST/SG/AC.10/C.3/2016/16)</w:t>
      </w:r>
    </w:p>
    <w:p w:rsidR="00197E99" w:rsidRPr="00EF2646" w:rsidRDefault="00197E99" w:rsidP="00EE0360">
      <w:pPr>
        <w:pStyle w:val="SingleTxtG"/>
        <w:ind w:left="851"/>
      </w:pPr>
      <w:r w:rsidRPr="00EF2646">
        <w:rPr>
          <w:iCs/>
        </w:rPr>
        <w:t>5.2.2.1.4</w:t>
      </w:r>
      <w:r w:rsidRPr="00EF2646">
        <w:rPr>
          <w:iCs/>
        </w:rPr>
        <w:tab/>
        <w:t>Replace “</w:t>
      </w:r>
      <w:r w:rsidRPr="00EF2646">
        <w:t>risk</w:t>
      </w:r>
      <w:r w:rsidR="00EE0360">
        <w:t>(s)</w:t>
      </w:r>
      <w:r w:rsidRPr="00EF2646">
        <w:t>” by “hazard</w:t>
      </w:r>
      <w:r w:rsidR="00EE0360">
        <w:t>(s)</w:t>
      </w:r>
      <w:r w:rsidRPr="00EF2646">
        <w:t xml:space="preserve">” </w:t>
      </w:r>
      <w:r w:rsidR="00EE0360">
        <w:t>2</w:t>
      </w:r>
      <w:r w:rsidRPr="00EF2646">
        <w:t xml:space="preserve"> times</w:t>
      </w:r>
      <w:r w:rsidR="00EE0360">
        <w:t xml:space="preserve"> and “risk” by “hazard” (twice)</w:t>
      </w:r>
      <w:r w:rsidRPr="00EF2646">
        <w:t>.</w:t>
      </w:r>
    </w:p>
    <w:p w:rsidR="00197E99" w:rsidRPr="00EF2646" w:rsidRDefault="00197E99" w:rsidP="00197E99">
      <w:pPr>
        <w:pStyle w:val="SingleTxtG"/>
        <w:ind w:left="851"/>
        <w:rPr>
          <w:i/>
          <w:iCs/>
        </w:rPr>
      </w:pPr>
      <w:r w:rsidRPr="00EF2646">
        <w:rPr>
          <w:i/>
          <w:iCs/>
        </w:rPr>
        <w:t>(Reference document: ST/SG/AC.10/C.3/2016/16)</w:t>
      </w:r>
    </w:p>
    <w:p w:rsidR="00F56C94" w:rsidRPr="00EF2646" w:rsidRDefault="00F56C94" w:rsidP="00F56C94">
      <w:pPr>
        <w:pStyle w:val="SingleTxtG"/>
        <w:ind w:left="284" w:firstLine="567"/>
      </w:pPr>
      <w:r w:rsidRPr="00EF2646">
        <w:rPr>
          <w:iCs/>
        </w:rPr>
        <w:t>5.2.2.1.5</w:t>
      </w:r>
      <w:r w:rsidRPr="00EF2646">
        <w:rPr>
          <w:iCs/>
        </w:rPr>
        <w:tab/>
      </w:r>
      <w:r w:rsidRPr="00EF2646">
        <w:t>Replace “risk” by “hazard”.</w:t>
      </w:r>
    </w:p>
    <w:p w:rsidR="00F56C94" w:rsidRPr="00EF2646" w:rsidRDefault="00F56C94" w:rsidP="00F56C94">
      <w:pPr>
        <w:pStyle w:val="SingleTxtG"/>
        <w:ind w:left="284" w:firstLine="567"/>
      </w:pPr>
      <w:r w:rsidRPr="00EF2646">
        <w:rPr>
          <w:i/>
          <w:iCs/>
        </w:rPr>
        <w:t>(Reference document: ST/SG/AC.10/C.3/2016/16)</w:t>
      </w:r>
    </w:p>
    <w:p w:rsidR="00F56C94" w:rsidRPr="00EF2646" w:rsidRDefault="00F56C94" w:rsidP="00F56C94">
      <w:pPr>
        <w:pStyle w:val="SingleTxtG"/>
        <w:ind w:left="284" w:firstLine="567"/>
      </w:pPr>
      <w:proofErr w:type="gramStart"/>
      <w:r w:rsidRPr="00EF2646">
        <w:rPr>
          <w:iCs/>
        </w:rPr>
        <w:t>5.2.2.1.6 (c)</w:t>
      </w:r>
      <w:r w:rsidRPr="00EF2646">
        <w:rPr>
          <w:iCs/>
        </w:rPr>
        <w:tab/>
      </w:r>
      <w:r w:rsidRPr="00EF2646">
        <w:t xml:space="preserve">Replace </w:t>
      </w:r>
      <w:r w:rsidR="001909D1" w:rsidRPr="00EF2646">
        <w:t>“</w:t>
      </w:r>
      <w:r w:rsidRPr="00EF2646">
        <w:t>risk” by “hazard”.</w:t>
      </w:r>
      <w:proofErr w:type="gramEnd"/>
    </w:p>
    <w:p w:rsidR="00F56C94" w:rsidRPr="00EF2646" w:rsidRDefault="00F56C94" w:rsidP="00F56C94">
      <w:pPr>
        <w:pStyle w:val="SingleTxtG"/>
        <w:ind w:left="284" w:firstLine="567"/>
      </w:pPr>
      <w:r w:rsidRPr="00EF2646">
        <w:rPr>
          <w:i/>
          <w:iCs/>
        </w:rPr>
        <w:t>(Reference document: ST/SG/AC.10/C.3/2016/16)</w:t>
      </w:r>
    </w:p>
    <w:p w:rsidR="001909D1" w:rsidRPr="00EF2646" w:rsidRDefault="001909D1" w:rsidP="001909D1">
      <w:pPr>
        <w:pStyle w:val="SingleTxtG"/>
        <w:ind w:left="284" w:firstLine="567"/>
      </w:pPr>
      <w:r w:rsidRPr="00EF2646">
        <w:rPr>
          <w:iCs/>
        </w:rPr>
        <w:t>5.2.2.1.9</w:t>
      </w:r>
      <w:r w:rsidRPr="00EF2646">
        <w:rPr>
          <w:iCs/>
        </w:rPr>
        <w:tab/>
      </w:r>
      <w:r w:rsidRPr="00EF2646">
        <w:t>Replace “risk” by “hazard”.</w:t>
      </w:r>
    </w:p>
    <w:p w:rsidR="001909D1" w:rsidRPr="00EF2646" w:rsidRDefault="001909D1" w:rsidP="001909D1">
      <w:pPr>
        <w:pStyle w:val="SingleTxtG"/>
        <w:ind w:left="284" w:firstLine="567"/>
      </w:pPr>
      <w:r w:rsidRPr="00EF2646">
        <w:rPr>
          <w:i/>
          <w:iCs/>
        </w:rPr>
        <w:lastRenderedPageBreak/>
        <w:t>(Reference document: ST/SG/AC.10/C.3/2016/16)</w:t>
      </w:r>
    </w:p>
    <w:p w:rsidR="001909D1" w:rsidRPr="00EF2646" w:rsidRDefault="001909D1" w:rsidP="001909D1">
      <w:pPr>
        <w:pStyle w:val="SingleTxtG"/>
        <w:ind w:left="284" w:firstLine="567"/>
      </w:pPr>
      <w:r w:rsidRPr="00EF2646">
        <w:rPr>
          <w:iCs/>
        </w:rPr>
        <w:t>5.2.2.1.10</w:t>
      </w:r>
      <w:r w:rsidRPr="00EF2646">
        <w:rPr>
          <w:iCs/>
        </w:rPr>
        <w:tab/>
      </w:r>
      <w:r w:rsidRPr="00EF2646">
        <w:t>Replace “risk” by “hazard” 4 times.</w:t>
      </w:r>
    </w:p>
    <w:p w:rsidR="001909D1" w:rsidRPr="00EF2646" w:rsidRDefault="001909D1" w:rsidP="001909D1">
      <w:pPr>
        <w:pStyle w:val="SingleTxtG"/>
        <w:ind w:left="284" w:firstLine="567"/>
      </w:pPr>
      <w:r w:rsidRPr="00EF2646">
        <w:rPr>
          <w:i/>
          <w:iCs/>
        </w:rPr>
        <w:t>(Reference document: ST/SG/AC.10/C.3/2016/16)</w:t>
      </w:r>
    </w:p>
    <w:p w:rsidR="000A1572" w:rsidRPr="00EF2646" w:rsidRDefault="000A1572" w:rsidP="000A1572">
      <w:pPr>
        <w:pStyle w:val="SingleTxtG"/>
        <w:ind w:left="284" w:firstLine="567"/>
      </w:pPr>
      <w:r w:rsidRPr="00EF2646">
        <w:rPr>
          <w:iCs/>
        </w:rPr>
        <w:t>5.2.2.1.11</w:t>
      </w:r>
      <w:r w:rsidRPr="00EF2646">
        <w:t xml:space="preserve"> Replace “risk” by “hazard”.</w:t>
      </w:r>
    </w:p>
    <w:p w:rsidR="000A1572" w:rsidRPr="00EF2646" w:rsidRDefault="000A1572" w:rsidP="000A1572">
      <w:pPr>
        <w:pStyle w:val="SingleTxtG"/>
        <w:ind w:left="284" w:firstLine="567"/>
      </w:pPr>
      <w:r w:rsidRPr="00EF2646">
        <w:rPr>
          <w:i/>
          <w:iCs/>
        </w:rPr>
        <w:t>(Reference document: ST/SG/AC.10/C.3/2016/16)</w:t>
      </w:r>
    </w:p>
    <w:p w:rsidR="0080068C" w:rsidRPr="00EF2646" w:rsidRDefault="0080068C" w:rsidP="00873178">
      <w:pPr>
        <w:pStyle w:val="SingleTxtG"/>
        <w:ind w:left="851"/>
      </w:pPr>
      <w:r w:rsidRPr="00EF2646">
        <w:t>5.2.2.2.1.5 Replace “risk” by “hazard”.</w:t>
      </w:r>
    </w:p>
    <w:p w:rsidR="0080068C" w:rsidRPr="00EF2646" w:rsidRDefault="0080068C" w:rsidP="0080068C">
      <w:pPr>
        <w:pStyle w:val="SingleTxtG"/>
        <w:ind w:left="284" w:firstLine="567"/>
      </w:pPr>
      <w:r w:rsidRPr="00EF2646">
        <w:rPr>
          <w:i/>
          <w:iCs/>
        </w:rPr>
        <w:t>(Reference document: ST/SG/AC.10/C.3/2016/16)</w:t>
      </w:r>
    </w:p>
    <w:p w:rsidR="0080068C" w:rsidRPr="00EF2646" w:rsidRDefault="0080068C" w:rsidP="0080068C">
      <w:pPr>
        <w:pStyle w:val="SingleTxtG"/>
        <w:ind w:left="284" w:firstLine="567"/>
      </w:pPr>
      <w:r w:rsidRPr="00EF2646">
        <w:rPr>
          <w:iCs/>
        </w:rPr>
        <w:t>5.2.2.2.2</w:t>
      </w:r>
      <w:r w:rsidRPr="00EF2646">
        <w:rPr>
          <w:iCs/>
        </w:rPr>
        <w:tab/>
      </w:r>
      <w:r w:rsidRPr="00EF2646">
        <w:t>Replace “risk” by “hazard”.</w:t>
      </w:r>
    </w:p>
    <w:p w:rsidR="0080068C" w:rsidRPr="00EF2646" w:rsidRDefault="0080068C" w:rsidP="0080068C">
      <w:pPr>
        <w:pStyle w:val="SingleTxtG"/>
        <w:ind w:left="284" w:firstLine="567"/>
      </w:pPr>
      <w:r w:rsidRPr="00EF2646">
        <w:rPr>
          <w:i/>
          <w:iCs/>
        </w:rPr>
        <w:t>(Reference document: ST/SG/AC.10/C.3/2016/16)</w:t>
      </w:r>
    </w:p>
    <w:p w:rsidR="0063376C" w:rsidRPr="00EF2646" w:rsidRDefault="0063376C" w:rsidP="00084885">
      <w:pPr>
        <w:pStyle w:val="SingleTxtG"/>
        <w:ind w:left="851"/>
        <w:rPr>
          <w:b/>
        </w:rPr>
      </w:pPr>
      <w:r w:rsidRPr="00EF2646">
        <w:rPr>
          <w:b/>
        </w:rPr>
        <w:t>Chapter 5.3</w:t>
      </w:r>
    </w:p>
    <w:p w:rsidR="0063376C" w:rsidRDefault="0063376C" w:rsidP="00873178">
      <w:pPr>
        <w:pStyle w:val="SingleTxtG"/>
        <w:ind w:left="851"/>
      </w:pPr>
      <w:r w:rsidRPr="00EF2646">
        <w:rPr>
          <w:iCs/>
        </w:rPr>
        <w:t>5.3.1.1.2</w:t>
      </w:r>
      <w:r w:rsidRPr="00EF2646">
        <w:rPr>
          <w:iCs/>
        </w:rPr>
        <w:tab/>
      </w:r>
      <w:r w:rsidRPr="00EF2646">
        <w:t>Amend the title of Chapter 5.3 to read as follows:</w:t>
      </w:r>
      <w:r w:rsidR="00873178" w:rsidRPr="00EF2646">
        <w:t xml:space="preserve"> </w:t>
      </w:r>
      <w:r w:rsidRPr="00EF2646">
        <w:t xml:space="preserve">“PLACARDING AND MARKING OF CARGO TRANSPORT UNITS AND BULK CONTAINERS”. </w:t>
      </w:r>
    </w:p>
    <w:p w:rsidR="00B17258" w:rsidRPr="00B17258" w:rsidRDefault="00B17258" w:rsidP="00873178">
      <w:pPr>
        <w:pStyle w:val="SingleTxtG"/>
        <w:ind w:left="851"/>
      </w:pPr>
      <w:r w:rsidRPr="00B17258">
        <w:rPr>
          <w:i/>
          <w:iCs/>
        </w:rPr>
        <w:t xml:space="preserve">(Reference document: </w:t>
      </w:r>
      <w:r w:rsidRPr="00E72F99">
        <w:rPr>
          <w:i/>
        </w:rPr>
        <w:t>ST/SG/AC.10/C.3/2016/38</w:t>
      </w:r>
      <w:r w:rsidRPr="00E72F99">
        <w:rPr>
          <w:i/>
          <w:iCs/>
        </w:rPr>
        <w:t>)</w:t>
      </w:r>
    </w:p>
    <w:p w:rsidR="00490018" w:rsidRPr="00920575" w:rsidRDefault="00490018" w:rsidP="00490018">
      <w:pPr>
        <w:pStyle w:val="SingleTxtG"/>
        <w:ind w:left="851"/>
      </w:pPr>
      <w:r w:rsidRPr="00920575">
        <w:t>5.3.1.1.2</w:t>
      </w:r>
      <w:r w:rsidRPr="00920575">
        <w:tab/>
        <w:t>In the first sentence, replace “risks” by “hazards”</w:t>
      </w:r>
      <w:r>
        <w:t xml:space="preserve"> and after “transport unit” add “and bulk container”</w:t>
      </w:r>
      <w:r w:rsidRPr="00920575">
        <w:t xml:space="preserve">. In the second sentence, </w:t>
      </w:r>
      <w:r>
        <w:t>i</w:t>
      </w:r>
      <w:r w:rsidRPr="00920575">
        <w:t>n (b), replace “risks” by “hazards”</w:t>
      </w:r>
      <w:r w:rsidRPr="00490018">
        <w:t xml:space="preserve"> </w:t>
      </w:r>
      <w:r>
        <w:t>and after “transport unit” add “and bulk container”</w:t>
      </w:r>
      <w:r w:rsidRPr="00920575">
        <w:t>.</w:t>
      </w:r>
    </w:p>
    <w:p w:rsidR="0063376C" w:rsidRPr="00920575" w:rsidRDefault="0063376C" w:rsidP="0063376C">
      <w:pPr>
        <w:pStyle w:val="SingleTxtG"/>
        <w:ind w:left="851"/>
      </w:pPr>
      <w:r w:rsidRPr="00920575">
        <w:t>5.3.1.1.2</w:t>
      </w:r>
      <w:r w:rsidRPr="00920575">
        <w:rPr>
          <w:iCs/>
        </w:rPr>
        <w:tab/>
      </w:r>
      <w:r w:rsidRPr="00920575">
        <w:t>In the text before sub-paragraph (a), after “cargo transport units” add “and bulk containers” and after “cargo transport unit” add “or bulk container”.</w:t>
      </w:r>
    </w:p>
    <w:p w:rsidR="0080068C" w:rsidRPr="00EF2646" w:rsidRDefault="00490018" w:rsidP="0080068C">
      <w:pPr>
        <w:pStyle w:val="SingleTxtG"/>
        <w:ind w:left="284" w:firstLine="567"/>
        <w:rPr>
          <w:i/>
          <w:iCs/>
        </w:rPr>
      </w:pPr>
      <w:r w:rsidRPr="00BA2218">
        <w:rPr>
          <w:i/>
          <w:iCs/>
        </w:rPr>
        <w:t xml:space="preserve"> </w:t>
      </w:r>
      <w:r w:rsidR="0080068C" w:rsidRPr="00BA2218">
        <w:rPr>
          <w:i/>
          <w:iCs/>
        </w:rPr>
        <w:t>(Reference document: ST/SG/AC.10/C.3/2016/16</w:t>
      </w:r>
      <w:r w:rsidR="00BA2218" w:rsidRPr="00BA2218">
        <w:rPr>
          <w:i/>
          <w:iCs/>
        </w:rPr>
        <w:t xml:space="preserve"> and </w:t>
      </w:r>
      <w:r w:rsidR="00BA2218" w:rsidRPr="00BA2218">
        <w:rPr>
          <w:i/>
        </w:rPr>
        <w:t>ST/SG/AC.10/C.3/2016/38</w:t>
      </w:r>
      <w:r w:rsidR="0080068C" w:rsidRPr="00BA2218">
        <w:rPr>
          <w:i/>
          <w:iCs/>
        </w:rPr>
        <w:t>)</w:t>
      </w:r>
    </w:p>
    <w:p w:rsidR="00873178" w:rsidRPr="00EF2646" w:rsidRDefault="00873178" w:rsidP="0080068C">
      <w:pPr>
        <w:pStyle w:val="SingleTxtG"/>
        <w:ind w:left="284" w:firstLine="567"/>
      </w:pPr>
      <w:r w:rsidRPr="00EF2646">
        <w:t>[</w:t>
      </w:r>
      <w:proofErr w:type="spellStart"/>
      <w:r w:rsidRPr="00EF2646">
        <w:t>Voir</w:t>
      </w:r>
      <w:proofErr w:type="spellEnd"/>
      <w:r w:rsidRPr="00EF2646">
        <w:t xml:space="preserve"> avec le </w:t>
      </w:r>
      <w:proofErr w:type="spellStart"/>
      <w:r w:rsidRPr="00EF2646">
        <w:t>texte</w:t>
      </w:r>
      <w:proofErr w:type="spellEnd"/>
      <w:r w:rsidRPr="00EF2646">
        <w:t xml:space="preserve"> </w:t>
      </w:r>
      <w:proofErr w:type="spellStart"/>
      <w:r w:rsidRPr="00EF2646">
        <w:t>existant</w:t>
      </w:r>
      <w:proofErr w:type="spellEnd"/>
      <w:r w:rsidRPr="00EF2646">
        <w:t xml:space="preserve"> pour organiser </w:t>
      </w:r>
      <w:proofErr w:type="spellStart"/>
      <w:r w:rsidRPr="00EF2646">
        <w:t>ces</w:t>
      </w:r>
      <w:proofErr w:type="spellEnd"/>
      <w:r w:rsidRPr="00EF2646">
        <w:t xml:space="preserve"> </w:t>
      </w:r>
      <w:r w:rsidR="008D2409">
        <w:t>amendment</w:t>
      </w:r>
      <w:r w:rsidRPr="00EF2646">
        <w:t>s]</w:t>
      </w:r>
    </w:p>
    <w:p w:rsidR="0080068C" w:rsidRPr="00EF2646" w:rsidRDefault="0080068C" w:rsidP="0063376C">
      <w:pPr>
        <w:pStyle w:val="SingleTxtG"/>
        <w:ind w:left="851"/>
      </w:pPr>
      <w:r w:rsidRPr="00EF2646">
        <w:rPr>
          <w:iCs/>
        </w:rPr>
        <w:t>5.3.1.1.3</w:t>
      </w:r>
      <w:r w:rsidRPr="00EF2646">
        <w:rPr>
          <w:iCs/>
        </w:rPr>
        <w:tab/>
      </w:r>
      <w:r w:rsidR="000A16E6" w:rsidRPr="00EF2646">
        <w:rPr>
          <w:iCs/>
        </w:rPr>
        <w:t xml:space="preserve">In the first sentence, replace </w:t>
      </w:r>
      <w:r w:rsidR="000A16E6" w:rsidRPr="00EF2646">
        <w:t>“risks” by “hazards” and “risk” by “hazard”. In the second sentence, replace “risk” by “hazard” twice.</w:t>
      </w:r>
    </w:p>
    <w:p w:rsidR="000A16E6" w:rsidRPr="00EF2646" w:rsidRDefault="000A16E6" w:rsidP="0063376C">
      <w:pPr>
        <w:pStyle w:val="SingleTxtG"/>
        <w:ind w:left="851"/>
        <w:rPr>
          <w:iCs/>
        </w:rPr>
      </w:pPr>
      <w:r w:rsidRPr="00EF2646">
        <w:rPr>
          <w:i/>
          <w:iCs/>
        </w:rPr>
        <w:t>(Reference document: ST/SG/AC.10/C.3/2016/16)</w:t>
      </w:r>
    </w:p>
    <w:p w:rsidR="0063376C" w:rsidRPr="00EF2646" w:rsidRDefault="0063376C" w:rsidP="0063376C">
      <w:pPr>
        <w:pStyle w:val="SingleTxtG"/>
        <w:ind w:left="851"/>
        <w:rPr>
          <w:iCs/>
        </w:rPr>
      </w:pPr>
      <w:r w:rsidRPr="00EF2646">
        <w:t>5.3.2.3.1</w:t>
      </w:r>
      <w:r w:rsidRPr="00EF2646">
        <w:rPr>
          <w:iCs/>
        </w:rPr>
        <w:tab/>
        <w:t>After “</w:t>
      </w:r>
      <w:r w:rsidR="00BA0647">
        <w:rPr>
          <w:iCs/>
        </w:rPr>
        <w:t xml:space="preserve">transport </w:t>
      </w:r>
      <w:r w:rsidRPr="00EF2646">
        <w:rPr>
          <w:iCs/>
        </w:rPr>
        <w:t xml:space="preserve">unit” add “or bulk container” (twice). </w:t>
      </w:r>
    </w:p>
    <w:p w:rsidR="00873178" w:rsidRPr="00EF2646" w:rsidRDefault="00873178" w:rsidP="00873178">
      <w:pPr>
        <w:pStyle w:val="SingleTxtG"/>
        <w:ind w:left="851"/>
        <w:rPr>
          <w:i/>
        </w:rPr>
      </w:pPr>
      <w:r w:rsidRPr="00EF2646">
        <w:rPr>
          <w:i/>
        </w:rPr>
        <w:t>(Reference document: ST/SG/AC.10/C.3/2016/38)</w:t>
      </w:r>
    </w:p>
    <w:p w:rsidR="0063376C" w:rsidRPr="00EF2646" w:rsidRDefault="0063376C" w:rsidP="0063376C">
      <w:pPr>
        <w:pStyle w:val="SingleTxtG"/>
        <w:ind w:left="851"/>
      </w:pPr>
      <w:r w:rsidRPr="00EF2646">
        <w:t>5.3.2.3.2</w:t>
      </w:r>
      <w:r w:rsidRPr="00EF2646">
        <w:tab/>
        <w:t>After “cargo transport units” add “and bulk containers”.</w:t>
      </w:r>
    </w:p>
    <w:p w:rsidR="0063376C" w:rsidRPr="00EF2646" w:rsidRDefault="0063376C" w:rsidP="0063376C">
      <w:pPr>
        <w:pStyle w:val="SingleTxtG"/>
        <w:ind w:left="851"/>
        <w:rPr>
          <w:i/>
        </w:rPr>
      </w:pPr>
      <w:r w:rsidRPr="00EF2646">
        <w:rPr>
          <w:i/>
        </w:rPr>
        <w:t>(Reference document: ST/SG/AC.10/C.3/2016/38)</w:t>
      </w:r>
    </w:p>
    <w:p w:rsidR="0006787F" w:rsidRPr="00EF2646" w:rsidRDefault="0006787F" w:rsidP="0006787F">
      <w:pPr>
        <w:pStyle w:val="H23G"/>
        <w:ind w:left="1985"/>
      </w:pPr>
      <w:r w:rsidRPr="00EF2646">
        <w:t>Chapter 5.4</w:t>
      </w:r>
    </w:p>
    <w:p w:rsidR="0006787F" w:rsidRPr="00EF2646" w:rsidRDefault="0006787F" w:rsidP="0006787F">
      <w:pPr>
        <w:pStyle w:val="SingleTxtG"/>
        <w:ind w:left="284" w:firstLine="567"/>
      </w:pPr>
      <w:r w:rsidRPr="00EF2646">
        <w:t>5.4.1.4.1 (</w:t>
      </w:r>
      <w:proofErr w:type="gramStart"/>
      <w:r w:rsidRPr="00EF2646">
        <w:t>d</w:t>
      </w:r>
      <w:proofErr w:type="gramEnd"/>
      <w:r w:rsidRPr="00EF2646">
        <w:t>)</w:t>
      </w:r>
      <w:r w:rsidRPr="00EF2646">
        <w:tab/>
        <w:t>Replace “risk” by “hazard”.</w:t>
      </w:r>
    </w:p>
    <w:p w:rsidR="0006787F" w:rsidRPr="00EF2646" w:rsidRDefault="0006787F" w:rsidP="0006787F">
      <w:pPr>
        <w:pStyle w:val="SingleTxtG"/>
        <w:ind w:left="284" w:firstLine="567"/>
      </w:pPr>
      <w:r w:rsidRPr="00EF2646">
        <w:rPr>
          <w:i/>
          <w:iCs/>
        </w:rPr>
        <w:t>(Reference document: ST/SG/AC.10/C.3/2016/16)</w:t>
      </w:r>
    </w:p>
    <w:p w:rsidR="005A44EB" w:rsidRPr="00EF2646" w:rsidRDefault="005A44EB" w:rsidP="005A44EB">
      <w:pPr>
        <w:pStyle w:val="SingleTxtG"/>
        <w:ind w:left="284" w:firstLine="567"/>
      </w:pPr>
      <w:r w:rsidRPr="00EF2646">
        <w:t>5.4.1.5.5.1</w:t>
      </w:r>
      <w:r w:rsidRPr="00EF2646">
        <w:tab/>
        <w:t>Replace “risk” by “hazard”.</w:t>
      </w:r>
    </w:p>
    <w:p w:rsidR="005A44EB" w:rsidRPr="00EF2646" w:rsidRDefault="005A44EB" w:rsidP="005A44EB">
      <w:pPr>
        <w:pStyle w:val="SingleTxtG"/>
        <w:ind w:left="284" w:firstLine="567"/>
        <w:rPr>
          <w:i/>
          <w:iCs/>
        </w:rPr>
      </w:pPr>
      <w:r w:rsidRPr="00EF2646">
        <w:rPr>
          <w:i/>
          <w:iCs/>
        </w:rPr>
        <w:t>(Reference document: ST/SG/AC.10/C.3/2016/16)</w:t>
      </w:r>
    </w:p>
    <w:p w:rsidR="00CE4E75" w:rsidRPr="00EF2646" w:rsidRDefault="001B06C7" w:rsidP="00023052">
      <w:pPr>
        <w:pStyle w:val="SingleTxtG"/>
        <w:ind w:left="851"/>
      </w:pPr>
      <w:r w:rsidRPr="00EF2646">
        <w:t>5.4.1.5.10</w:t>
      </w:r>
      <w:r w:rsidRPr="00EF2646">
        <w:tab/>
      </w:r>
      <w:r w:rsidRPr="00EF2646">
        <w:tab/>
      </w:r>
      <w:r w:rsidR="00CE4E75" w:rsidRPr="00EF2646">
        <w:t xml:space="preserve">In the second paragraph, replace </w:t>
      </w:r>
      <w:r w:rsidR="00EF2646" w:rsidRPr="00EF2646">
        <w:t>“the distinguishing sign</w:t>
      </w:r>
      <w:r w:rsidR="00EF2646" w:rsidRPr="00EF2646" w:rsidDel="00EF2646">
        <w:t xml:space="preserve"> </w:t>
      </w:r>
      <w:r w:rsidR="00EF2646" w:rsidRPr="00EF2646">
        <w:t>for motor vehicles in international traffic”</w:t>
      </w:r>
      <w:r w:rsidR="00D47A1E" w:rsidRPr="00EF2646">
        <w:t xml:space="preserve"> by </w:t>
      </w:r>
      <w:r w:rsidR="00CE4E75" w:rsidRPr="00EF2646">
        <w:t>“the distinguishing sign used on vehicles in international road traffic</w:t>
      </w:r>
      <w:r w:rsidR="00D47A1E" w:rsidRPr="00023052">
        <w:rPr>
          <w:vertAlign w:val="superscript"/>
        </w:rPr>
        <w:t>3</w:t>
      </w:r>
      <w:r w:rsidR="00CE4E75" w:rsidRPr="00EF2646">
        <w:t>”, with footnote</w:t>
      </w:r>
      <w:r w:rsidR="00EF2646" w:rsidRPr="00EF2646">
        <w:t xml:space="preserve"> 3</w:t>
      </w:r>
      <w:r w:rsidR="00CE4E75" w:rsidRPr="00EF2646">
        <w:t xml:space="preserve"> reading as follows:</w:t>
      </w:r>
    </w:p>
    <w:p w:rsidR="00453001" w:rsidRPr="00EF2646" w:rsidRDefault="00CE4E75" w:rsidP="00EF2646">
      <w:pPr>
        <w:pStyle w:val="SingleTxtG"/>
        <w:ind w:left="851"/>
      </w:pPr>
      <w:r w:rsidRPr="00EF2646">
        <w:t>“</w:t>
      </w:r>
      <w:r w:rsidR="00D47A1E" w:rsidRPr="00023052">
        <w:rPr>
          <w:vertAlign w:val="superscript"/>
        </w:rPr>
        <w:t>3</w:t>
      </w:r>
      <w:r w:rsidRPr="00EF2646">
        <w:tab/>
        <w:t>Distinguishing sign of the State of registration used on motor vehicles and trailers in international road traffic, e.g. in accordance with the Geneva Convention on Road Traffic of 1949 or the Vienna Convention on Road Traffic of 1968”.</w:t>
      </w:r>
    </w:p>
    <w:p w:rsidR="00453001" w:rsidRPr="00023052" w:rsidRDefault="00453001" w:rsidP="005A44EB">
      <w:pPr>
        <w:pStyle w:val="SingleTxtG"/>
        <w:ind w:left="284" w:firstLine="567"/>
      </w:pPr>
      <w:r w:rsidRPr="00023052">
        <w:lastRenderedPageBreak/>
        <w:t xml:space="preserve">For </w:t>
      </w:r>
      <w:r w:rsidRPr="00EF2646">
        <w:t xml:space="preserve">Chapter 5.4, renumber </w:t>
      </w:r>
      <w:r w:rsidR="00EF2646" w:rsidRPr="00EF2646">
        <w:t xml:space="preserve">subsequent </w:t>
      </w:r>
      <w:r w:rsidRPr="00EF2646">
        <w:t>footnotes accordingly.</w:t>
      </w:r>
    </w:p>
    <w:p w:rsidR="00EF2646" w:rsidRPr="00EF2646" w:rsidRDefault="00956F78" w:rsidP="005A44EB">
      <w:pPr>
        <w:pStyle w:val="SingleTxtG"/>
        <w:ind w:left="284" w:firstLine="567"/>
        <w:rPr>
          <w:i/>
          <w:iCs/>
        </w:rPr>
      </w:pPr>
      <w:r w:rsidRPr="00EF2646">
        <w:rPr>
          <w:i/>
          <w:iCs/>
        </w:rPr>
        <w:t>(Reference document: ST/SG/AC.10/C.3/2016/4)</w:t>
      </w:r>
    </w:p>
    <w:p w:rsidR="0063376C" w:rsidRPr="00EF2646" w:rsidRDefault="0063376C" w:rsidP="0063376C">
      <w:pPr>
        <w:pStyle w:val="H23G"/>
        <w:ind w:left="1985"/>
      </w:pPr>
      <w:r w:rsidRPr="00EF2646">
        <w:t>Chapter 6.1</w:t>
      </w:r>
    </w:p>
    <w:p w:rsidR="00AD6CDA" w:rsidRPr="00EF2646" w:rsidRDefault="00AD6CDA" w:rsidP="00DC5B49">
      <w:pPr>
        <w:pStyle w:val="SingleTxtG"/>
        <w:ind w:left="851"/>
        <w:rPr>
          <w:iCs/>
        </w:rPr>
      </w:pPr>
      <w:r w:rsidRPr="00EF2646">
        <w:rPr>
          <w:iCs/>
        </w:rPr>
        <w:t>6.1.1.1 (</w:t>
      </w:r>
      <w:proofErr w:type="gramStart"/>
      <w:r w:rsidRPr="00EF2646">
        <w:rPr>
          <w:iCs/>
        </w:rPr>
        <w:t>a</w:t>
      </w:r>
      <w:proofErr w:type="gramEnd"/>
      <w:r w:rsidRPr="00EF2646">
        <w:rPr>
          <w:iCs/>
        </w:rPr>
        <w:t>)</w:t>
      </w:r>
      <w:r w:rsidR="004C073D" w:rsidRPr="00EF2646">
        <w:rPr>
          <w:iCs/>
        </w:rPr>
        <w:t xml:space="preserve"> </w:t>
      </w:r>
      <w:r w:rsidRPr="00EF2646">
        <w:rPr>
          <w:iCs/>
        </w:rPr>
        <w:t>(i)</w:t>
      </w:r>
      <w:r w:rsidRPr="00EF2646">
        <w:rPr>
          <w:iCs/>
        </w:rPr>
        <w:tab/>
        <w:t>Replace “(subsidiary risks)” by “(subsidiary hazards)”.</w:t>
      </w:r>
    </w:p>
    <w:p w:rsidR="00AD6CDA" w:rsidRPr="00EF2646" w:rsidRDefault="00AD6CDA" w:rsidP="00AD6CDA">
      <w:pPr>
        <w:pStyle w:val="SingleTxtG"/>
        <w:ind w:left="284" w:firstLine="567"/>
        <w:rPr>
          <w:i/>
          <w:iCs/>
        </w:rPr>
      </w:pPr>
      <w:r w:rsidRPr="00EF2646">
        <w:rPr>
          <w:i/>
          <w:iCs/>
        </w:rPr>
        <w:t>(Reference document: ST/SG/AC.10/C.3/2016/16)</w:t>
      </w:r>
    </w:p>
    <w:p w:rsidR="00BA2218" w:rsidRDefault="00BA2218" w:rsidP="0098605B">
      <w:pPr>
        <w:pStyle w:val="SingleTxtG"/>
        <w:ind w:left="851"/>
      </w:pPr>
      <w:r w:rsidRPr="00531307">
        <w:t>6.1.3.1 (f)</w:t>
      </w:r>
      <w:r w:rsidRPr="00531307">
        <w:tab/>
        <w:t>Replace “indicated by the distinguishing sign for motor vehicles in international traffic” by “indicated by the distinguishing sign used on vehicles in international road traffic</w:t>
      </w:r>
      <w:r w:rsidRPr="00531307">
        <w:rPr>
          <w:b/>
          <w:vertAlign w:val="superscript"/>
        </w:rPr>
        <w:t>2</w:t>
      </w:r>
      <w:r w:rsidRPr="00531307">
        <w:t xml:space="preserve">”. </w:t>
      </w:r>
    </w:p>
    <w:p w:rsidR="00BA2218" w:rsidRDefault="00BA2218" w:rsidP="0098605B">
      <w:pPr>
        <w:pStyle w:val="SingleTxtG"/>
        <w:ind w:left="851"/>
      </w:pPr>
      <w:r w:rsidRPr="00531307">
        <w:t>6.1.3.8 (h)</w:t>
      </w:r>
      <w:r w:rsidRPr="00531307">
        <w:tab/>
        <w:t>Replace “indicated by the distinguishing sign for motor vehicles in international traffic” by “indicated by the distinguishing sign used on vehicles in international road traffic</w:t>
      </w:r>
      <w:r w:rsidRPr="00531307">
        <w:rPr>
          <w:b/>
          <w:vertAlign w:val="superscript"/>
        </w:rPr>
        <w:t>2</w:t>
      </w:r>
      <w:r w:rsidRPr="00531307">
        <w:t xml:space="preserve">”. </w:t>
      </w:r>
    </w:p>
    <w:p w:rsidR="00BA2218" w:rsidRPr="00531307" w:rsidRDefault="00BA2218" w:rsidP="0098605B">
      <w:pPr>
        <w:pStyle w:val="SingleTxtG"/>
        <w:ind w:left="851"/>
      </w:pPr>
      <w:r>
        <w:t>F</w:t>
      </w:r>
      <w:r w:rsidRPr="00531307">
        <w:t>ootnote 2 read</w:t>
      </w:r>
      <w:r>
        <w:t>s</w:t>
      </w:r>
      <w:r w:rsidRPr="00531307">
        <w:t xml:space="preserve"> as follows: “</w:t>
      </w:r>
      <w:r w:rsidRPr="00531307">
        <w:rPr>
          <w:b/>
          <w:vertAlign w:val="superscript"/>
        </w:rPr>
        <w:t>2</w:t>
      </w:r>
      <w:r w:rsidRPr="00531307">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531307">
        <w:t>”</w:t>
      </w:r>
      <w:r w:rsidR="0098605B">
        <w:t>.</w:t>
      </w:r>
      <w:proofErr w:type="gramEnd"/>
    </w:p>
    <w:p w:rsidR="00BA2218" w:rsidRDefault="00BA2218" w:rsidP="00BA2218">
      <w:pPr>
        <w:pStyle w:val="SingleTxtG"/>
        <w:ind w:left="284" w:firstLine="567"/>
        <w:rPr>
          <w:i/>
          <w:iCs/>
        </w:rPr>
      </w:pPr>
      <w:r w:rsidRPr="00BA2218">
        <w:rPr>
          <w:i/>
          <w:iCs/>
        </w:rPr>
        <w:t>(Reference document: ST/SG/AC.10/C.3/2016/4)</w:t>
      </w:r>
    </w:p>
    <w:p w:rsidR="0063376C" w:rsidRPr="00EF2646" w:rsidRDefault="0063376C" w:rsidP="00DC5B49">
      <w:pPr>
        <w:pStyle w:val="SingleTxtG"/>
        <w:ind w:left="851"/>
      </w:pPr>
      <w:r w:rsidRPr="00EF2646">
        <w:rPr>
          <w:iCs/>
        </w:rPr>
        <w:t>6.1.5.7</w:t>
      </w:r>
      <w:r w:rsidRPr="00EF2646">
        <w:rPr>
          <w:iCs/>
        </w:rPr>
        <w:tab/>
        <w:t xml:space="preserve"> Under item 8, add the following sentence at the end: </w:t>
      </w:r>
      <w:r w:rsidRPr="00EF2646">
        <w:t>“For plastics packagings subject to the internal pressure test in 6.1.5.5, the temperature of the water used.</w:t>
      </w:r>
      <w:proofErr w:type="gramStart"/>
      <w:r w:rsidRPr="00EF2646">
        <w:t>”.</w:t>
      </w:r>
      <w:proofErr w:type="gramEnd"/>
    </w:p>
    <w:p w:rsidR="0063376C" w:rsidRPr="00EF2646" w:rsidRDefault="0063376C" w:rsidP="0063376C">
      <w:pPr>
        <w:pStyle w:val="SingleTxtG"/>
        <w:ind w:left="851"/>
        <w:rPr>
          <w:i/>
          <w:iCs/>
        </w:rPr>
      </w:pPr>
      <w:proofErr w:type="gramStart"/>
      <w:r w:rsidRPr="00EF2646">
        <w:rPr>
          <w:i/>
          <w:iCs/>
        </w:rPr>
        <w:t>(Reference document: informal document INF.13, § 7.)</w:t>
      </w:r>
      <w:proofErr w:type="gramEnd"/>
    </w:p>
    <w:p w:rsidR="0063376C" w:rsidRPr="00EF2646" w:rsidRDefault="0063376C" w:rsidP="0063376C">
      <w:pPr>
        <w:pStyle w:val="H23G"/>
        <w:ind w:left="1985"/>
      </w:pPr>
      <w:r w:rsidRPr="00EF2646">
        <w:t>Chapter 6.2</w:t>
      </w:r>
    </w:p>
    <w:p w:rsidR="0063376C" w:rsidRPr="00EF2646" w:rsidRDefault="0063376C" w:rsidP="0063376C">
      <w:pPr>
        <w:pStyle w:val="SingleTxtG"/>
        <w:ind w:left="851"/>
      </w:pPr>
      <w:r w:rsidRPr="00EF2646">
        <w:t xml:space="preserve">6.2.1.6.1 </w:t>
      </w:r>
      <w:r w:rsidR="00F32D12" w:rsidRPr="00EF2646">
        <w:t>(</w:t>
      </w:r>
      <w:proofErr w:type="gramStart"/>
      <w:r w:rsidRPr="00EF2646">
        <w:t>d</w:t>
      </w:r>
      <w:proofErr w:type="gramEnd"/>
      <w:r w:rsidRPr="00EF2646">
        <w:t>)</w:t>
      </w:r>
      <w:r w:rsidRPr="00EF2646">
        <w:tab/>
        <w:t>Replace the existing Note 2 with the following:</w:t>
      </w:r>
    </w:p>
    <w:p w:rsidR="0063376C" w:rsidRPr="00EF2646" w:rsidRDefault="0063376C" w:rsidP="0063376C">
      <w:pPr>
        <w:pStyle w:val="SingleTxtG"/>
        <w:ind w:left="851"/>
        <w:rPr>
          <w:i/>
        </w:rPr>
      </w:pPr>
      <w:r w:rsidRPr="00EF2646">
        <w:t>“</w:t>
      </w:r>
      <w:r w:rsidRPr="00EF2646">
        <w:rPr>
          <w:b/>
          <w:i/>
        </w:rPr>
        <w:t>NOTE 2:</w:t>
      </w:r>
      <w:r w:rsidRPr="00EF2646">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p>
    <w:p w:rsidR="0063376C" w:rsidRPr="00EF2646" w:rsidRDefault="0063376C" w:rsidP="0063376C">
      <w:pPr>
        <w:pStyle w:val="SingleTxtG"/>
        <w:ind w:left="851"/>
        <w:rPr>
          <w:i/>
          <w:iCs/>
        </w:rPr>
      </w:pPr>
      <w:r w:rsidRPr="00EF2646">
        <w:rPr>
          <w:i/>
          <w:iCs/>
        </w:rPr>
        <w:t>(Reference document: informal document INF.11, proposal 1)</w:t>
      </w:r>
    </w:p>
    <w:p w:rsidR="0063376C" w:rsidRPr="00EF2646" w:rsidRDefault="0063376C" w:rsidP="0063376C">
      <w:pPr>
        <w:pStyle w:val="SingleTxtG"/>
        <w:ind w:left="851"/>
        <w:rPr>
          <w:iCs/>
        </w:rPr>
      </w:pPr>
      <w:r w:rsidRPr="00EF2646">
        <w:t xml:space="preserve">6.2.1.6.1 </w:t>
      </w:r>
      <w:r w:rsidR="00F32D12" w:rsidRPr="00EF2646">
        <w:t>(</w:t>
      </w:r>
      <w:proofErr w:type="gramStart"/>
      <w:r w:rsidRPr="00EF2646">
        <w:t>d</w:t>
      </w:r>
      <w:proofErr w:type="gramEnd"/>
      <w:r w:rsidRPr="00EF2646">
        <w:t>)</w:t>
      </w:r>
      <w:r w:rsidRPr="00EF2646">
        <w:tab/>
        <w:t>In Note 3, replace “The hydraulic pressure test may be replaced</w:t>
      </w:r>
      <w:r w:rsidRPr="00EF2646">
        <w:rPr>
          <w:i/>
        </w:rPr>
        <w:t>”</w:t>
      </w:r>
      <w:r w:rsidRPr="00EF2646">
        <w:rPr>
          <w:iCs/>
        </w:rPr>
        <w:t xml:space="preserve"> by “The check of 6.2.1.6.1 (b) and the hydraulic pressure test of 6.2.1.6.1 (d) may be replaced”.</w:t>
      </w:r>
    </w:p>
    <w:p w:rsidR="0063376C" w:rsidRPr="00EF2646" w:rsidRDefault="0063376C" w:rsidP="0063376C">
      <w:pPr>
        <w:pStyle w:val="SingleTxtG"/>
        <w:ind w:left="851"/>
        <w:rPr>
          <w:i/>
        </w:rPr>
      </w:pPr>
      <w:r w:rsidRPr="00EF2646">
        <w:rPr>
          <w:i/>
          <w:iCs/>
        </w:rPr>
        <w:t>(Reference document: informal document INF.11, proposal 2)</w:t>
      </w:r>
    </w:p>
    <w:p w:rsidR="0063376C" w:rsidRPr="00EF2646" w:rsidRDefault="0063376C" w:rsidP="0063376C">
      <w:pPr>
        <w:pStyle w:val="SingleTxtG"/>
        <w:ind w:left="851"/>
      </w:pPr>
      <w:r w:rsidRPr="00EF2646">
        <w:t>6.2.2.1.8</w:t>
      </w:r>
      <w:r w:rsidRPr="00EF2646">
        <w:tab/>
        <w:t>Amend the beginning of the first sentence to read as follows: “The following standards apply for the design …</w:t>
      </w:r>
      <w:proofErr w:type="gramStart"/>
      <w:r w:rsidRPr="00EF2646">
        <w:t>”.</w:t>
      </w:r>
      <w:proofErr w:type="gramEnd"/>
    </w:p>
    <w:p w:rsidR="0063376C" w:rsidRPr="00EF2646" w:rsidRDefault="0063376C" w:rsidP="0063376C">
      <w:pPr>
        <w:pStyle w:val="SingleTxtG"/>
        <w:ind w:left="851"/>
      </w:pPr>
      <w:r w:rsidRPr="00EF2646">
        <w:t>In the table, for the standard “ISO 21172-1:2015”, in the second column add the following new Note after the standard title:</w:t>
      </w:r>
    </w:p>
    <w:p w:rsidR="0063376C" w:rsidRPr="00EF2646" w:rsidRDefault="0063376C" w:rsidP="0063376C">
      <w:pPr>
        <w:pStyle w:val="SingleTxtG"/>
        <w:ind w:left="851"/>
        <w:rPr>
          <w:i/>
        </w:rPr>
      </w:pPr>
      <w:r w:rsidRPr="00EF2646">
        <w:rPr>
          <w:i/>
        </w:rPr>
        <w:t>“</w:t>
      </w:r>
      <w:r w:rsidRPr="00EF2646">
        <w:rPr>
          <w:b/>
          <w:i/>
        </w:rPr>
        <w:t>NOTE:</w:t>
      </w:r>
      <w:r w:rsidRPr="00EF2646">
        <w:rPr>
          <w:i/>
        </w:rPr>
        <w:t xml:space="preserve"> Irrespective section 6.3.3.4 of this standard, welded steel gas pressure drums with dished ends convex to pressure may be used for the transport of corrosive substances provided all applicable requirements of these Regulations are met.</w:t>
      </w:r>
      <w:proofErr w:type="gramStart"/>
      <w:r w:rsidRPr="00EF2646">
        <w:rPr>
          <w:i/>
        </w:rPr>
        <w:t>”.</w:t>
      </w:r>
      <w:proofErr w:type="gramEnd"/>
    </w:p>
    <w:p w:rsidR="0063376C" w:rsidRPr="00EF2646" w:rsidRDefault="00AF4575" w:rsidP="0063376C">
      <w:pPr>
        <w:pStyle w:val="SingleTxtG"/>
        <w:ind w:left="851"/>
      </w:pPr>
      <w:r w:rsidRPr="00EF2646">
        <w:rPr>
          <w:bCs/>
        </w:rPr>
        <w:t>Insert</w:t>
      </w:r>
      <w:r w:rsidR="0063376C" w:rsidRPr="00EF2646">
        <w:t xml:space="preserve"> two new rows in the table after the entry for ISO 21172-1:2015 as follows: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63376C" w:rsidRPr="00EF2646" w:rsidTr="0063376C">
        <w:trPr>
          <w:cantSplit/>
        </w:trPr>
        <w:tc>
          <w:tcPr>
            <w:tcW w:w="1560" w:type="dxa"/>
            <w:shd w:val="clear" w:color="auto" w:fill="auto"/>
          </w:tcPr>
          <w:p w:rsidR="0063376C" w:rsidRPr="00EF2646" w:rsidRDefault="0063376C" w:rsidP="00AB28E5">
            <w:r w:rsidRPr="00EF2646">
              <w:t>ISO 4706: 2008</w:t>
            </w:r>
          </w:p>
        </w:tc>
        <w:tc>
          <w:tcPr>
            <w:tcW w:w="3969" w:type="dxa"/>
            <w:shd w:val="clear" w:color="auto" w:fill="auto"/>
          </w:tcPr>
          <w:p w:rsidR="0063376C" w:rsidRPr="00EF2646" w:rsidRDefault="0063376C" w:rsidP="00AB28E5">
            <w:pPr>
              <w:keepNext/>
            </w:pPr>
            <w:r w:rsidRPr="00EF2646">
              <w:t xml:space="preserve">Gas cylinders – Refillable welded steel cylinders – Test pressure 60 bar and below; </w:t>
            </w:r>
          </w:p>
        </w:tc>
        <w:tc>
          <w:tcPr>
            <w:tcW w:w="1842" w:type="dxa"/>
            <w:shd w:val="clear" w:color="auto" w:fill="auto"/>
          </w:tcPr>
          <w:p w:rsidR="0063376C" w:rsidRPr="00EF2646" w:rsidRDefault="0063376C" w:rsidP="00AB28E5">
            <w:pPr>
              <w:keepNext/>
            </w:pPr>
            <w:r w:rsidRPr="00EF2646">
              <w:t>Until further notice</w:t>
            </w:r>
          </w:p>
        </w:tc>
      </w:tr>
      <w:tr w:rsidR="0063376C" w:rsidRPr="00EF2646" w:rsidTr="0063376C">
        <w:trPr>
          <w:cantSplit/>
        </w:trPr>
        <w:tc>
          <w:tcPr>
            <w:tcW w:w="1560" w:type="dxa"/>
            <w:shd w:val="clear" w:color="auto" w:fill="auto"/>
          </w:tcPr>
          <w:p w:rsidR="0063376C" w:rsidRPr="00EF2646" w:rsidRDefault="0063376C" w:rsidP="00AB28E5">
            <w:r w:rsidRPr="00EF2646">
              <w:t>ISO 18172-1:2007</w:t>
            </w:r>
          </w:p>
        </w:tc>
        <w:tc>
          <w:tcPr>
            <w:tcW w:w="3969" w:type="dxa"/>
            <w:shd w:val="clear" w:color="auto" w:fill="auto"/>
          </w:tcPr>
          <w:p w:rsidR="0063376C" w:rsidRPr="00EF2646" w:rsidRDefault="0063376C" w:rsidP="00AB28E5">
            <w:r w:rsidRPr="00EF2646">
              <w:t xml:space="preserve">Gas cylinders – Refillable welded stainless steel cylinders – Part 1: Test pressure 6 </w:t>
            </w:r>
            <w:proofErr w:type="spellStart"/>
            <w:r w:rsidRPr="00EF2646">
              <w:t>MPa</w:t>
            </w:r>
            <w:proofErr w:type="spellEnd"/>
            <w:r w:rsidRPr="00EF2646">
              <w:t xml:space="preserve"> and below</w:t>
            </w:r>
          </w:p>
        </w:tc>
        <w:tc>
          <w:tcPr>
            <w:tcW w:w="1842" w:type="dxa"/>
            <w:shd w:val="clear" w:color="auto" w:fill="auto"/>
          </w:tcPr>
          <w:p w:rsidR="0063376C" w:rsidRPr="00EF2646" w:rsidRDefault="0063376C" w:rsidP="00AB28E5">
            <w:r w:rsidRPr="00EF2646">
              <w:t>Until further notice</w:t>
            </w:r>
          </w:p>
        </w:tc>
      </w:tr>
    </w:tbl>
    <w:p w:rsidR="0063376C" w:rsidRPr="00EF2646" w:rsidRDefault="0063376C" w:rsidP="0063376C">
      <w:pPr>
        <w:pStyle w:val="SingleTxtG"/>
        <w:ind w:left="851"/>
        <w:rPr>
          <w:i/>
        </w:rPr>
      </w:pPr>
      <w:r w:rsidRPr="00EF2646">
        <w:rPr>
          <w:i/>
        </w:rPr>
        <w:t>(Reference document: ST/SG/AC.10/C.3/2016/20) and ST/SG/AC.10/C.3/2016/28, option 1)</w:t>
      </w:r>
    </w:p>
    <w:p w:rsidR="0063376C" w:rsidRPr="00EF2646" w:rsidRDefault="0063376C" w:rsidP="00DC5B49">
      <w:pPr>
        <w:pStyle w:val="SingleTxtG"/>
        <w:ind w:left="851"/>
      </w:pPr>
      <w:r w:rsidRPr="00EF2646">
        <w:lastRenderedPageBreak/>
        <w:t>6.2.2.3</w:t>
      </w:r>
      <w:r w:rsidRPr="00EF2646">
        <w:tab/>
        <w:t>In the table, under Service equipment, insert a new final row reading as follows: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63376C" w:rsidRPr="00EF2646" w:rsidTr="0063376C">
        <w:trPr>
          <w:cantSplit/>
        </w:trPr>
        <w:tc>
          <w:tcPr>
            <w:tcW w:w="1560" w:type="dxa"/>
            <w:shd w:val="clear" w:color="auto" w:fill="auto"/>
          </w:tcPr>
          <w:p w:rsidR="0063376C" w:rsidRPr="00EF2646" w:rsidRDefault="0063376C" w:rsidP="00AB28E5">
            <w:r w:rsidRPr="00EF2646">
              <w:t xml:space="preserve"> ISO 17871:2015</w:t>
            </w:r>
          </w:p>
        </w:tc>
        <w:tc>
          <w:tcPr>
            <w:tcW w:w="3969" w:type="dxa"/>
            <w:shd w:val="clear" w:color="auto" w:fill="auto"/>
          </w:tcPr>
          <w:p w:rsidR="0063376C" w:rsidRPr="00EF2646" w:rsidRDefault="0063376C" w:rsidP="00AB28E5">
            <w:pPr>
              <w:keepNext/>
            </w:pPr>
            <w:r w:rsidRPr="00EF2646">
              <w:t>Gas cylinders – Quick-release cylinders valves- Specification and type testing</w:t>
            </w:r>
          </w:p>
        </w:tc>
        <w:tc>
          <w:tcPr>
            <w:tcW w:w="1842" w:type="dxa"/>
            <w:shd w:val="clear" w:color="auto" w:fill="auto"/>
          </w:tcPr>
          <w:p w:rsidR="0063376C" w:rsidRPr="00EF2646" w:rsidRDefault="0063376C" w:rsidP="00AB28E5">
            <w:pPr>
              <w:keepNext/>
            </w:pPr>
            <w:r w:rsidRPr="00EF2646">
              <w:t>Until further notice</w:t>
            </w:r>
          </w:p>
        </w:tc>
      </w:tr>
    </w:tbl>
    <w:p w:rsidR="0063376C" w:rsidRPr="00EF2646" w:rsidRDefault="0063376C" w:rsidP="0063376C">
      <w:pPr>
        <w:pStyle w:val="SingleTxtG"/>
        <w:ind w:left="851"/>
      </w:pPr>
      <w:r w:rsidRPr="00EF2646">
        <w:rPr>
          <w:i/>
        </w:rPr>
        <w:t>(Reference document: ST/SG/AC.10/C.3/2016/20)</w:t>
      </w:r>
    </w:p>
    <w:p w:rsidR="0063376C" w:rsidRPr="00EF2646" w:rsidRDefault="0063376C" w:rsidP="00DC5B49">
      <w:pPr>
        <w:pStyle w:val="SingleTxtG"/>
        <w:ind w:left="851"/>
      </w:pPr>
      <w:r w:rsidRPr="00EF2646">
        <w:t>6.2.2.4</w:t>
      </w:r>
      <w:r w:rsidRPr="00EF2646">
        <w:tab/>
        <w:t>In the table, for “ISO 11623:2002”, in column “Applicable”, replace “Until further notice” by “Until 31 December 2020”.  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63376C" w:rsidRPr="00EF2646" w:rsidTr="0063376C">
        <w:tc>
          <w:tcPr>
            <w:tcW w:w="1668" w:type="dxa"/>
            <w:shd w:val="clear" w:color="auto" w:fill="auto"/>
          </w:tcPr>
          <w:p w:rsidR="0063376C" w:rsidRPr="00EF2646" w:rsidRDefault="0063376C" w:rsidP="00AB28E5">
            <w:r w:rsidRPr="00EF2646">
              <w:t>ISO 11623:2015</w:t>
            </w:r>
          </w:p>
        </w:tc>
        <w:tc>
          <w:tcPr>
            <w:tcW w:w="4149" w:type="dxa"/>
            <w:shd w:val="clear" w:color="auto" w:fill="auto"/>
          </w:tcPr>
          <w:p w:rsidR="0063376C" w:rsidRPr="00EF2646" w:rsidRDefault="0063376C" w:rsidP="00AB28E5">
            <w:r w:rsidRPr="00EF2646">
              <w:t>Gas cylinders – Composite construction – Periodic inspection and testing</w:t>
            </w:r>
          </w:p>
        </w:tc>
        <w:tc>
          <w:tcPr>
            <w:tcW w:w="1662" w:type="dxa"/>
            <w:shd w:val="clear" w:color="auto" w:fill="auto"/>
          </w:tcPr>
          <w:p w:rsidR="0063376C" w:rsidRPr="00EF2646" w:rsidRDefault="0063376C" w:rsidP="00AB28E5">
            <w:r w:rsidRPr="00EF2646">
              <w:t>Until further notice</w:t>
            </w:r>
          </w:p>
        </w:tc>
      </w:tr>
    </w:tbl>
    <w:p w:rsidR="0063376C" w:rsidRPr="00EF2646" w:rsidRDefault="0063376C" w:rsidP="0063376C">
      <w:pPr>
        <w:pStyle w:val="SingleTxtG"/>
        <w:ind w:left="851"/>
        <w:rPr>
          <w:i/>
        </w:rPr>
      </w:pPr>
      <w:r w:rsidRPr="00EF2646">
        <w:rPr>
          <w:i/>
        </w:rPr>
        <w:t>(Reference document: ST/SG/AC.10/C.3/2016/20)</w:t>
      </w:r>
    </w:p>
    <w:p w:rsidR="00485B1C" w:rsidRPr="00920575" w:rsidRDefault="00F32D12" w:rsidP="00D74854">
      <w:pPr>
        <w:pStyle w:val="SingleTxtG"/>
        <w:ind w:left="851"/>
      </w:pPr>
      <w:r w:rsidRPr="00920575">
        <w:t xml:space="preserve">6.2.2.7.2 (c) </w:t>
      </w:r>
      <w:r w:rsidRPr="00920575">
        <w:tab/>
        <w:t>Replace</w:t>
      </w:r>
      <w:r w:rsidR="00485B1C" w:rsidRPr="00920575">
        <w:t xml:space="preserve"> </w:t>
      </w:r>
      <w:r w:rsidR="00026C54" w:rsidRPr="00920575">
        <w:t>“</w:t>
      </w:r>
      <w:r w:rsidR="00D74854" w:rsidRPr="00920575">
        <w:t>indicated by the distinguishing signs for motor vehicles in international traffic</w:t>
      </w:r>
      <w:r w:rsidR="00026C54" w:rsidRPr="00920575">
        <w:t>”</w:t>
      </w:r>
      <w:r w:rsidR="00485B1C" w:rsidRPr="00920575">
        <w:t xml:space="preserve"> by: “the distinguishing sign used on vehicles in international road traffic</w:t>
      </w:r>
      <w:r w:rsidR="00485B1C" w:rsidRPr="00920575">
        <w:rPr>
          <w:vertAlign w:val="superscript"/>
        </w:rPr>
        <w:t>2</w:t>
      </w:r>
      <w:r w:rsidR="00485B1C" w:rsidRPr="00920575">
        <w:t>”</w:t>
      </w:r>
    </w:p>
    <w:p w:rsidR="00485B1C" w:rsidRPr="00920575" w:rsidRDefault="00F32D12" w:rsidP="00026C54">
      <w:pPr>
        <w:pStyle w:val="SingleTxtG"/>
        <w:ind w:left="851"/>
      </w:pPr>
      <w:r w:rsidRPr="00920575">
        <w:t>6.2.2.7.4 (</w:t>
      </w:r>
      <w:proofErr w:type="gramStart"/>
      <w:r w:rsidRPr="00920575">
        <w:t>n</w:t>
      </w:r>
      <w:proofErr w:type="gramEnd"/>
      <w:r w:rsidRPr="00920575">
        <w:t>)</w:t>
      </w:r>
      <w:r w:rsidRPr="00920575">
        <w:tab/>
        <w:t>Replace</w:t>
      </w:r>
      <w:r w:rsidR="00485B1C" w:rsidRPr="00920575">
        <w:t xml:space="preserve"> </w:t>
      </w:r>
      <w:r w:rsidR="00026C54" w:rsidRPr="00920575">
        <w:t>“</w:t>
      </w:r>
      <w:r w:rsidR="00D74854" w:rsidRPr="00920575">
        <w:t>indicated by the distinguishing signs for motor vehicles in international traffic</w:t>
      </w:r>
      <w:r w:rsidR="00D74854" w:rsidRPr="00920575">
        <w:rPr>
          <w:b/>
          <w:vertAlign w:val="superscript"/>
        </w:rPr>
        <w:t>3</w:t>
      </w:r>
      <w:r w:rsidR="00026C54" w:rsidRPr="00920575">
        <w:t>”</w:t>
      </w:r>
      <w:r w:rsidR="00485B1C" w:rsidRPr="00920575">
        <w:t xml:space="preserve"> by: “the distinguishing sign used on vehicles in international road traffic</w:t>
      </w:r>
      <w:r w:rsidR="00485B1C" w:rsidRPr="00920575">
        <w:rPr>
          <w:vertAlign w:val="superscript"/>
        </w:rPr>
        <w:t>2</w:t>
      </w:r>
      <w:r w:rsidR="00485B1C" w:rsidRPr="00920575">
        <w:t>”</w:t>
      </w:r>
    </w:p>
    <w:p w:rsidR="00485B1C" w:rsidRPr="00920575" w:rsidRDefault="00F32D12" w:rsidP="00026C54">
      <w:pPr>
        <w:pStyle w:val="SingleTxtG"/>
        <w:ind w:left="851"/>
      </w:pPr>
      <w:r w:rsidRPr="00920575">
        <w:t>6.2.2.7.7 (</w:t>
      </w:r>
      <w:proofErr w:type="gramStart"/>
      <w:r w:rsidRPr="00920575">
        <w:t>a</w:t>
      </w:r>
      <w:proofErr w:type="gramEnd"/>
      <w:r w:rsidRPr="00920575">
        <w:t>)</w:t>
      </w:r>
      <w:r w:rsidRPr="00920575">
        <w:tab/>
        <w:t>Replace</w:t>
      </w:r>
      <w:r w:rsidR="00485B1C" w:rsidRPr="00920575">
        <w:t xml:space="preserve"> </w:t>
      </w:r>
      <w:r w:rsidR="00026C54" w:rsidRPr="00920575">
        <w:t>“</w:t>
      </w:r>
      <w:r w:rsidR="006E64E4" w:rsidRPr="00920575">
        <w:t>indicated by the distinguishing signs of motor vehicles in international traffic</w:t>
      </w:r>
      <w:r w:rsidR="006E64E4" w:rsidRPr="00920575">
        <w:rPr>
          <w:b/>
          <w:vertAlign w:val="superscript"/>
        </w:rPr>
        <w:t>3</w:t>
      </w:r>
      <w:r w:rsidR="00026C54" w:rsidRPr="00920575">
        <w:t>”</w:t>
      </w:r>
      <w:r w:rsidR="00485B1C" w:rsidRPr="00920575">
        <w:t xml:space="preserve"> by: “the distinguishing sign used on vehicles in international road traffic</w:t>
      </w:r>
      <w:r w:rsidR="00485B1C" w:rsidRPr="00920575">
        <w:rPr>
          <w:vertAlign w:val="superscript"/>
        </w:rPr>
        <w:t>2</w:t>
      </w:r>
      <w:r w:rsidR="00485B1C" w:rsidRPr="00920575">
        <w:t>”</w:t>
      </w:r>
    </w:p>
    <w:p w:rsidR="00485B1C" w:rsidRPr="00920575" w:rsidRDefault="00F32D12" w:rsidP="00026C54">
      <w:pPr>
        <w:pStyle w:val="SingleTxtG"/>
        <w:ind w:left="851"/>
      </w:pPr>
      <w:r w:rsidRPr="00920575">
        <w:t xml:space="preserve">6.2.2.9.2 </w:t>
      </w:r>
      <w:proofErr w:type="gramStart"/>
      <w:r w:rsidRPr="00920575">
        <w:t>(c)</w:t>
      </w:r>
      <w:proofErr w:type="gramEnd"/>
      <w:r w:rsidRPr="00920575">
        <w:t xml:space="preserve"> and (h)</w:t>
      </w:r>
      <w:r w:rsidRPr="00920575">
        <w:tab/>
        <w:t>Replace</w:t>
      </w:r>
      <w:r w:rsidR="00485B1C" w:rsidRPr="00920575">
        <w:t xml:space="preserve"> </w:t>
      </w:r>
      <w:r w:rsidR="00026C54" w:rsidRPr="00920575">
        <w:t>“</w:t>
      </w:r>
      <w:r w:rsidR="006E64E4" w:rsidRPr="00920575">
        <w:t>indicated by the distinguishing signs of motor vehicles in international traffic</w:t>
      </w:r>
      <w:r w:rsidR="006E64E4" w:rsidRPr="00920575">
        <w:rPr>
          <w:b/>
          <w:vertAlign w:val="superscript"/>
        </w:rPr>
        <w:t>3</w:t>
      </w:r>
      <w:r w:rsidR="00026C54" w:rsidRPr="00920575">
        <w:t>”</w:t>
      </w:r>
      <w:r w:rsidR="00485B1C" w:rsidRPr="00920575">
        <w:t xml:space="preserve"> by: “the distinguishing sign used on vehicles in international road traffic</w:t>
      </w:r>
      <w:r w:rsidR="00485B1C" w:rsidRPr="00920575">
        <w:rPr>
          <w:vertAlign w:val="superscript"/>
        </w:rPr>
        <w:t>2</w:t>
      </w:r>
      <w:r w:rsidR="00485B1C" w:rsidRPr="00920575">
        <w:t>”</w:t>
      </w:r>
    </w:p>
    <w:p w:rsidR="00485B1C" w:rsidRPr="00920575" w:rsidRDefault="00F32D12" w:rsidP="00026C54">
      <w:pPr>
        <w:pStyle w:val="SingleTxtG"/>
        <w:ind w:left="851"/>
      </w:pPr>
      <w:r w:rsidRPr="00920575">
        <w:t>6.2.2.9.4 (</w:t>
      </w:r>
      <w:proofErr w:type="gramStart"/>
      <w:r w:rsidRPr="00920575">
        <w:t>a</w:t>
      </w:r>
      <w:proofErr w:type="gramEnd"/>
      <w:r w:rsidRPr="00920575">
        <w:t>)</w:t>
      </w:r>
      <w:r w:rsidRPr="00920575">
        <w:tab/>
        <w:t>Replace</w:t>
      </w:r>
      <w:r w:rsidR="00485B1C" w:rsidRPr="00920575">
        <w:t xml:space="preserve"> </w:t>
      </w:r>
      <w:r w:rsidR="00026C54" w:rsidRPr="00920575">
        <w:t>“</w:t>
      </w:r>
      <w:r w:rsidR="00B94349" w:rsidRPr="00920575">
        <w:t>indicated by the distinguishing signs of motor vehicles in international traffic</w:t>
      </w:r>
      <w:r w:rsidR="00B94349" w:rsidRPr="00920575">
        <w:rPr>
          <w:b/>
          <w:vertAlign w:val="superscript"/>
        </w:rPr>
        <w:t>3</w:t>
      </w:r>
      <w:r w:rsidR="00026C54" w:rsidRPr="00920575">
        <w:t>”</w:t>
      </w:r>
      <w:r w:rsidR="00485B1C" w:rsidRPr="00920575">
        <w:t xml:space="preserve"> by: “the distinguishing sign used on vehicles in international road traffic</w:t>
      </w:r>
      <w:r w:rsidR="00485B1C" w:rsidRPr="00920575">
        <w:rPr>
          <w:vertAlign w:val="superscript"/>
        </w:rPr>
        <w:t>2</w:t>
      </w:r>
      <w:r w:rsidR="00485B1C" w:rsidRPr="00920575">
        <w:t>”</w:t>
      </w:r>
    </w:p>
    <w:p w:rsidR="00F32D12" w:rsidRPr="00920575" w:rsidRDefault="0098605B">
      <w:pPr>
        <w:pStyle w:val="SingleTxtG"/>
        <w:ind w:left="851"/>
      </w:pPr>
      <w:r>
        <w:t>F</w:t>
      </w:r>
      <w:r w:rsidR="00327B44" w:rsidRPr="00920575">
        <w:t>ootnote</w:t>
      </w:r>
      <w:r w:rsidR="00F32D12" w:rsidRPr="00920575">
        <w:rPr>
          <w:vertAlign w:val="superscript"/>
        </w:rPr>
        <w:t>2</w:t>
      </w:r>
      <w:r w:rsidR="00F32D12" w:rsidRPr="00920575">
        <w:t xml:space="preserve"> reads as follow:</w:t>
      </w:r>
    </w:p>
    <w:p w:rsidR="00485B1C" w:rsidRPr="0098605B" w:rsidRDefault="00485B1C" w:rsidP="0098605B">
      <w:pPr>
        <w:pStyle w:val="SingleTxtG"/>
        <w:ind w:left="851"/>
      </w:pPr>
      <w:r w:rsidRPr="00920575">
        <w:t>“</w:t>
      </w:r>
      <w:r w:rsidRPr="00920575">
        <w:rPr>
          <w:vertAlign w:val="superscript"/>
        </w:rPr>
        <w:t>2</w:t>
      </w:r>
      <w:r w:rsidRPr="00920575">
        <w:tab/>
        <w:t>Distinguishing sign of the State of registration used on motor vehicles and trailers in international road traffic, e.g. in accordance with the Geneva Convention on Road Traffic of 1949 or the Vienna Convention on Road Traffic of 1968”.</w:t>
      </w:r>
    </w:p>
    <w:p w:rsidR="00327B44" w:rsidRPr="00920575" w:rsidRDefault="00327B44" w:rsidP="0063376C">
      <w:pPr>
        <w:pStyle w:val="SingleTxtG"/>
        <w:ind w:left="851"/>
      </w:pPr>
      <w:r w:rsidRPr="00920575">
        <w:t>6.2.4.3</w:t>
      </w:r>
      <w:r w:rsidRPr="00920575">
        <w:tab/>
        <w:t>Renumber footnote 2 as footnote 3</w:t>
      </w:r>
    </w:p>
    <w:p w:rsidR="00F32D12" w:rsidRPr="00920575" w:rsidRDefault="00327B44" w:rsidP="0063376C">
      <w:pPr>
        <w:pStyle w:val="SingleTxtG"/>
        <w:ind w:left="851"/>
        <w:rPr>
          <w:b/>
          <w:iCs/>
        </w:rPr>
      </w:pPr>
      <w:r w:rsidRPr="00920575">
        <w:rPr>
          <w:i/>
        </w:rPr>
        <w:t>(Reference document: ST/SG/AC.10/C.3/2016/4)</w:t>
      </w:r>
    </w:p>
    <w:p w:rsidR="002A2088" w:rsidRPr="00920575" w:rsidRDefault="002A2088" w:rsidP="00023052">
      <w:pPr>
        <w:pStyle w:val="SingleTxtG"/>
        <w:ind w:left="851"/>
        <w:rPr>
          <w:bCs/>
        </w:rPr>
      </w:pPr>
      <w:r w:rsidRPr="00920575">
        <w:rPr>
          <w:b/>
          <w:bCs/>
        </w:rPr>
        <w:t>Chapter 6.3</w:t>
      </w:r>
    </w:p>
    <w:p w:rsidR="009C06A2" w:rsidRPr="00920575" w:rsidRDefault="002A2088" w:rsidP="00026C54">
      <w:pPr>
        <w:pStyle w:val="SingleTxtG"/>
        <w:ind w:left="851"/>
      </w:pPr>
      <w:r w:rsidRPr="00920575">
        <w:t>6.3.4.2 (</w:t>
      </w:r>
      <w:proofErr w:type="gramStart"/>
      <w:r w:rsidRPr="00920575">
        <w:t>e</w:t>
      </w:r>
      <w:proofErr w:type="gramEnd"/>
      <w:r w:rsidRPr="00920575">
        <w:t>)</w:t>
      </w:r>
      <w:r w:rsidRPr="00920575">
        <w:tab/>
      </w:r>
      <w:r w:rsidRPr="00920575">
        <w:tab/>
        <w:t>Replace</w:t>
      </w:r>
      <w:r w:rsidR="009C06A2" w:rsidRPr="00920575">
        <w:t xml:space="preserve"> </w:t>
      </w:r>
      <w:r w:rsidR="00026C54" w:rsidRPr="00920575">
        <w:t>“</w:t>
      </w:r>
      <w:r w:rsidR="003E69CB" w:rsidRPr="00920575">
        <w:t>indicated by the distinguishing sign for motor vehicles in international traffic</w:t>
      </w:r>
      <w:r w:rsidR="003E69CB" w:rsidRPr="00920575">
        <w:rPr>
          <w:b/>
          <w:vertAlign w:val="superscript"/>
        </w:rPr>
        <w:t>2</w:t>
      </w:r>
      <w:r w:rsidR="00026C54" w:rsidRPr="00920575">
        <w:t>”</w:t>
      </w:r>
      <w:r w:rsidR="009C06A2" w:rsidRPr="00920575">
        <w:t xml:space="preserve"> by: “the distinguishing sign used on vehicles in international road traffic</w:t>
      </w:r>
      <w:r w:rsidR="009C06A2" w:rsidRPr="00920575">
        <w:rPr>
          <w:vertAlign w:val="superscript"/>
        </w:rPr>
        <w:t>1</w:t>
      </w:r>
      <w:r w:rsidR="009C06A2" w:rsidRPr="00920575">
        <w:t>”</w:t>
      </w:r>
    </w:p>
    <w:p w:rsidR="002A2088" w:rsidRPr="00920575" w:rsidRDefault="002A2088" w:rsidP="00023052">
      <w:pPr>
        <w:pStyle w:val="SingleTxtG"/>
        <w:ind w:left="851"/>
      </w:pPr>
      <w:r w:rsidRPr="00920575">
        <w:t>Footnote 1 reads as follows:</w:t>
      </w:r>
    </w:p>
    <w:p w:rsidR="009C06A2" w:rsidRPr="00920575" w:rsidRDefault="009C06A2" w:rsidP="0098605B">
      <w:pPr>
        <w:pStyle w:val="SingleTxtG"/>
        <w:ind w:left="851"/>
      </w:pPr>
      <w:r w:rsidRPr="00920575">
        <w:t>“</w:t>
      </w:r>
      <w:r w:rsidRPr="00920575">
        <w:rPr>
          <w:vertAlign w:val="superscript"/>
        </w:rPr>
        <w:t>1</w:t>
      </w:r>
      <w:r w:rsidRPr="00920575">
        <w:tab/>
        <w:t>Distinguishing sign of the State of registration used on motor vehicles and trailers in international road traffic, e.g. in accordance with the Geneva Convention on Road Traffic of 1949 or the Vienna Convention on Road Traffic of 1968”.</w:t>
      </w:r>
    </w:p>
    <w:p w:rsidR="002A2088" w:rsidRPr="00920575" w:rsidRDefault="002A2088">
      <w:pPr>
        <w:pStyle w:val="SingleTxtG"/>
        <w:ind w:left="851"/>
        <w:rPr>
          <w:b/>
          <w:iCs/>
        </w:rPr>
      </w:pPr>
      <w:r w:rsidRPr="00920575">
        <w:rPr>
          <w:i/>
        </w:rPr>
        <w:t>(Reference document: ST/SG/AC.10/C.3/2016/4)</w:t>
      </w:r>
    </w:p>
    <w:p w:rsidR="002A2088" w:rsidRPr="00920575" w:rsidRDefault="002A2088" w:rsidP="002A2088">
      <w:pPr>
        <w:pStyle w:val="SingleTxtG"/>
        <w:ind w:left="851"/>
        <w:rPr>
          <w:b/>
          <w:bCs/>
        </w:rPr>
      </w:pPr>
      <w:r w:rsidRPr="00920575">
        <w:rPr>
          <w:b/>
          <w:bCs/>
        </w:rPr>
        <w:t>Chapter 6.4</w:t>
      </w:r>
    </w:p>
    <w:p w:rsidR="005876AA" w:rsidRPr="00920575" w:rsidRDefault="002A2088" w:rsidP="005876AA">
      <w:pPr>
        <w:pStyle w:val="SingleTxtG"/>
        <w:ind w:left="851"/>
      </w:pPr>
      <w:r w:rsidRPr="00920575">
        <w:t>6.4.23.11 (a)</w:t>
      </w:r>
      <w:r w:rsidRPr="00920575">
        <w:tab/>
      </w:r>
      <w:proofErr w:type="gramStart"/>
      <w:r w:rsidR="005876AA" w:rsidRPr="00920575">
        <w:t>In</w:t>
      </w:r>
      <w:proofErr w:type="gramEnd"/>
      <w:r w:rsidR="005876AA" w:rsidRPr="00920575">
        <w:t xml:space="preserve"> paragraph (a), replace “the international vehicle registration identification code1” by “the distinguishing sign used on vehicles in international road traffic1”. </w:t>
      </w:r>
    </w:p>
    <w:p w:rsidR="005876AA" w:rsidRPr="005876AA" w:rsidRDefault="005876AA" w:rsidP="0098605B">
      <w:pPr>
        <w:pStyle w:val="SingleTxtG"/>
        <w:ind w:left="851"/>
      </w:pPr>
      <w:r w:rsidRPr="00920575">
        <w:lastRenderedPageBreak/>
        <w:t>Amend footnote 1 to read as follows: “</w:t>
      </w:r>
      <w:r w:rsidRPr="0098605B">
        <w:rPr>
          <w:vertAlign w:val="superscript"/>
        </w:rPr>
        <w:t>1</w:t>
      </w:r>
      <w:r w:rsidRPr="00920575">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920575">
        <w:t>”.</w:t>
      </w:r>
      <w:proofErr w:type="gramEnd"/>
    </w:p>
    <w:p w:rsidR="002A2088" w:rsidRPr="00EF2646" w:rsidRDefault="002A2088" w:rsidP="0098605B">
      <w:pPr>
        <w:pStyle w:val="SingleTxtG"/>
        <w:ind w:left="851"/>
        <w:rPr>
          <w:b/>
          <w:iCs/>
        </w:rPr>
      </w:pPr>
      <w:r w:rsidRPr="005876AA">
        <w:rPr>
          <w:i/>
        </w:rPr>
        <w:t>(Reference document: ST/SG/AC.10/C.3/2016/4)</w:t>
      </w:r>
    </w:p>
    <w:p w:rsidR="0063376C" w:rsidRPr="00EF2646" w:rsidRDefault="0063376C" w:rsidP="0063376C">
      <w:pPr>
        <w:pStyle w:val="H23G"/>
        <w:ind w:left="1985"/>
      </w:pPr>
      <w:r w:rsidRPr="00EF2646">
        <w:t>Chapter 6.5</w:t>
      </w:r>
    </w:p>
    <w:p w:rsidR="005708FD" w:rsidRPr="00920575" w:rsidRDefault="00947FCB" w:rsidP="00026C54">
      <w:pPr>
        <w:pStyle w:val="SingleTxtG"/>
        <w:ind w:left="851"/>
      </w:pPr>
      <w:r w:rsidRPr="00920575">
        <w:t>6.5.2.1.1 (</w:t>
      </w:r>
      <w:proofErr w:type="gramStart"/>
      <w:r w:rsidRPr="00920575">
        <w:t>e</w:t>
      </w:r>
      <w:proofErr w:type="gramEnd"/>
      <w:r w:rsidRPr="00920575">
        <w:t>) Replace</w:t>
      </w:r>
      <w:r w:rsidR="005708FD" w:rsidRPr="00920575">
        <w:t xml:space="preserve"> </w:t>
      </w:r>
      <w:r w:rsidR="00026C54" w:rsidRPr="00920575">
        <w:t>“</w:t>
      </w:r>
      <w:r w:rsidR="005876AA" w:rsidRPr="00920575">
        <w:t>indicated by the distinguishing sign for motor vehicles in international traffic</w:t>
      </w:r>
      <w:r w:rsidR="005876AA" w:rsidRPr="00920575">
        <w:rPr>
          <w:b/>
          <w:vertAlign w:val="superscript"/>
        </w:rPr>
        <w:t>2</w:t>
      </w:r>
      <w:r w:rsidR="00026C54" w:rsidRPr="00920575">
        <w:t>”</w:t>
      </w:r>
      <w:r w:rsidR="005708FD" w:rsidRPr="00920575">
        <w:t xml:space="preserve"> by: “the distinguishing sign used on vehicles in international road traffic</w:t>
      </w:r>
      <w:r w:rsidR="005708FD" w:rsidRPr="00920575">
        <w:rPr>
          <w:vertAlign w:val="superscript"/>
        </w:rPr>
        <w:t>1</w:t>
      </w:r>
      <w:r w:rsidR="005708FD" w:rsidRPr="00920575">
        <w:t>”</w:t>
      </w:r>
    </w:p>
    <w:p w:rsidR="00947FCB" w:rsidRPr="00920575" w:rsidRDefault="00947FCB" w:rsidP="005876AA">
      <w:pPr>
        <w:pStyle w:val="SingleTxtG"/>
        <w:ind w:left="851"/>
      </w:pPr>
      <w:r w:rsidRPr="00920575">
        <w:t>Footnote</w:t>
      </w:r>
      <w:r w:rsidR="00F43A05" w:rsidRPr="00920575">
        <w:t xml:space="preserve"> 1</w:t>
      </w:r>
      <w:r w:rsidRPr="00920575">
        <w:t xml:space="preserve"> read</w:t>
      </w:r>
      <w:r w:rsidR="005876AA" w:rsidRPr="00920575">
        <w:t>s</w:t>
      </w:r>
      <w:r w:rsidRPr="00920575">
        <w:t xml:space="preserve"> as follows:</w:t>
      </w:r>
    </w:p>
    <w:p w:rsidR="00947FCB" w:rsidRPr="00920575" w:rsidRDefault="00947FCB" w:rsidP="0098605B">
      <w:pPr>
        <w:pStyle w:val="SingleTxtG"/>
        <w:ind w:left="851"/>
      </w:pPr>
      <w:r w:rsidRPr="00920575">
        <w:t>“</w:t>
      </w:r>
      <w:r w:rsidR="005708FD" w:rsidRPr="00920575">
        <w:rPr>
          <w:vertAlign w:val="superscript"/>
        </w:rPr>
        <w:t>1</w:t>
      </w:r>
      <w:r w:rsidR="005708FD" w:rsidRPr="00920575">
        <w:tab/>
        <w:t>Distinguishing sign of the State of registration used on motor vehicles and trailers in international road traffic, e.g. in accordance with the Geneva Convention on Road Traffic of 1949 or the Vienna Convention on Road Traffic of 1968</w:t>
      </w:r>
      <w:r w:rsidRPr="00920575">
        <w:t>”</w:t>
      </w:r>
    </w:p>
    <w:p w:rsidR="00947FCB" w:rsidRPr="00EF2646" w:rsidRDefault="00947FCB" w:rsidP="00947FCB">
      <w:pPr>
        <w:pStyle w:val="SingleTxtG"/>
        <w:ind w:left="851"/>
        <w:rPr>
          <w:b/>
          <w:iCs/>
        </w:rPr>
      </w:pPr>
      <w:r w:rsidRPr="00920575">
        <w:rPr>
          <w:i/>
        </w:rPr>
        <w:t>(Reference document: ST/SG/AC.10/C.3/2016/4)</w:t>
      </w:r>
    </w:p>
    <w:p w:rsidR="0063376C" w:rsidRPr="00EF2646" w:rsidRDefault="0063376C" w:rsidP="0063376C">
      <w:pPr>
        <w:pStyle w:val="SingleTxtG"/>
        <w:ind w:left="851"/>
      </w:pPr>
      <w:r w:rsidRPr="00EF2646">
        <w:t>6.5.6.9.3</w:t>
      </w:r>
      <w:r w:rsidRPr="00EF2646">
        <w:tab/>
        <w:t>Amend the last paragraph to read as follows:</w:t>
      </w:r>
    </w:p>
    <w:p w:rsidR="0063376C" w:rsidRPr="00EF2646" w:rsidRDefault="0063376C" w:rsidP="0063376C">
      <w:pPr>
        <w:pStyle w:val="SingleTxtG"/>
        <w:ind w:left="851"/>
      </w:pPr>
      <w:r w:rsidRPr="00EF2646">
        <w:t>“The same IBC or a different IBC of the same design may be used for each drop.”</w:t>
      </w:r>
    </w:p>
    <w:p w:rsidR="0063376C" w:rsidRPr="00EF2646" w:rsidRDefault="0063376C" w:rsidP="0063376C">
      <w:pPr>
        <w:pStyle w:val="SingleTxtG"/>
        <w:ind w:left="851"/>
        <w:rPr>
          <w:i/>
          <w:iCs/>
        </w:rPr>
      </w:pPr>
      <w:r w:rsidRPr="00EF2646">
        <w:rPr>
          <w:i/>
          <w:iCs/>
        </w:rPr>
        <w:t>(Reference document: ST/SG/AC.10/C.3/2016/1, § 7. as amended)</w:t>
      </w:r>
    </w:p>
    <w:p w:rsidR="0063376C" w:rsidRPr="00EF2646" w:rsidRDefault="0063376C" w:rsidP="0063376C">
      <w:pPr>
        <w:pStyle w:val="SingleTxtG"/>
        <w:ind w:left="851"/>
      </w:pPr>
      <w:r w:rsidRPr="00EF2646">
        <w:t>6.5.6.14.1</w:t>
      </w:r>
      <w:r w:rsidRPr="00EF2646">
        <w:tab/>
        <w:t>Under item 8, add the following sentence: “For rigid plastics and composite IBCs subject to the hydraulic pressure test in 6.5.6.8, the temperature of the water used.</w:t>
      </w:r>
      <w:proofErr w:type="gramStart"/>
      <w:r w:rsidRPr="00EF2646">
        <w:t>”.</w:t>
      </w:r>
      <w:proofErr w:type="gramEnd"/>
    </w:p>
    <w:p w:rsidR="0063376C" w:rsidRPr="00EF2646" w:rsidRDefault="0063376C" w:rsidP="0063376C">
      <w:pPr>
        <w:pStyle w:val="SingleTxtG"/>
        <w:ind w:left="851"/>
        <w:rPr>
          <w:i/>
          <w:iCs/>
        </w:rPr>
      </w:pPr>
      <w:proofErr w:type="gramStart"/>
      <w:r w:rsidRPr="00EF2646">
        <w:rPr>
          <w:i/>
          <w:iCs/>
        </w:rPr>
        <w:t>(Reference document: informal document INF.13, § 7.)</w:t>
      </w:r>
      <w:proofErr w:type="gramEnd"/>
    </w:p>
    <w:p w:rsidR="00947FCB" w:rsidRPr="00023052" w:rsidRDefault="00947FCB" w:rsidP="00AF4575">
      <w:pPr>
        <w:pStyle w:val="H23G"/>
        <w:ind w:left="1985"/>
      </w:pPr>
      <w:r w:rsidRPr="00023052">
        <w:t>Chapter 6.6</w:t>
      </w:r>
    </w:p>
    <w:p w:rsidR="00947FCB" w:rsidRPr="00023052" w:rsidRDefault="00F43A05" w:rsidP="00023052">
      <w:pPr>
        <w:pStyle w:val="SingleTxtG"/>
        <w:ind w:left="851"/>
      </w:pPr>
      <w:r w:rsidRPr="00023052">
        <w:t>6.6.3.1 (e)</w:t>
      </w:r>
      <w:r w:rsidRPr="00023052">
        <w:tab/>
      </w:r>
      <w:r w:rsidR="00026C54" w:rsidRPr="00023052">
        <w:t xml:space="preserve"> </w:t>
      </w:r>
      <w:r w:rsidRPr="00023052">
        <w:t>Replace</w:t>
      </w:r>
      <w:r w:rsidR="00FF3FE2" w:rsidRPr="00023052">
        <w:t xml:space="preserve"> indicated by the distinguishing sign for motor vehicles in international traffic</w:t>
      </w:r>
      <w:r w:rsidR="00FF3FE2" w:rsidRPr="00023052">
        <w:rPr>
          <w:b/>
          <w:vertAlign w:val="superscript"/>
        </w:rPr>
        <w:t>2</w:t>
      </w:r>
      <w:r w:rsidR="00FF3FE2" w:rsidRPr="00023052">
        <w:t>” by “indicated by the distinguishing sign used on vehicles in international road traffic</w:t>
      </w:r>
      <w:r w:rsidR="00FF3FE2" w:rsidRPr="00023052">
        <w:rPr>
          <w:b/>
          <w:vertAlign w:val="superscript"/>
        </w:rPr>
        <w:t>1</w:t>
      </w:r>
      <w:r w:rsidR="00FF3FE2" w:rsidRPr="00023052">
        <w:t>”.</w:t>
      </w:r>
    </w:p>
    <w:p w:rsidR="00F43A05" w:rsidRPr="00023052" w:rsidRDefault="00F43A05" w:rsidP="00023052">
      <w:pPr>
        <w:pStyle w:val="SingleTxtG"/>
        <w:ind w:left="851"/>
      </w:pPr>
      <w:r w:rsidRPr="00023052">
        <w:t>Footnote 1 should read as follows:</w:t>
      </w:r>
    </w:p>
    <w:p w:rsidR="00FF3FE2" w:rsidRPr="00023052" w:rsidRDefault="00FF3FE2" w:rsidP="00F43A05">
      <w:pPr>
        <w:pStyle w:val="SingleTxtG"/>
        <w:ind w:left="851"/>
        <w:rPr>
          <w:i/>
        </w:rPr>
      </w:pPr>
      <w:r w:rsidRPr="00023052">
        <w:t>“</w:t>
      </w:r>
      <w:r w:rsidRPr="00023052">
        <w:rPr>
          <w:b/>
          <w:vertAlign w:val="superscript"/>
        </w:rPr>
        <w:t>1</w:t>
      </w:r>
      <w:r w:rsidRPr="00023052">
        <w:tab/>
      </w:r>
      <w:r w:rsidRPr="00023052">
        <w:rPr>
          <w:i/>
        </w:rPr>
        <w:t>Distinguishing sign of the State of registration used on motor vehicles and trailers in international road traffic, e.g. in accordance with the Geneva Convention on Road Traffic of 1949 or the Vienna Convention on Road Traffic of 1968.</w:t>
      </w:r>
      <w:r w:rsidRPr="00023052">
        <w:t>”</w:t>
      </w:r>
      <w:r w:rsidRPr="00023052">
        <w:rPr>
          <w:i/>
        </w:rPr>
        <w:t xml:space="preserve"> </w:t>
      </w:r>
    </w:p>
    <w:p w:rsidR="00F43A05" w:rsidRPr="00023052" w:rsidRDefault="00F43A05" w:rsidP="00F43A05">
      <w:pPr>
        <w:pStyle w:val="SingleTxtG"/>
        <w:ind w:left="851"/>
        <w:rPr>
          <w:b/>
          <w:iCs/>
        </w:rPr>
      </w:pPr>
      <w:r w:rsidRPr="00023052">
        <w:rPr>
          <w:i/>
        </w:rPr>
        <w:t>(Reference document: ST/SG/AC.10/C.3/2016/4)</w:t>
      </w:r>
    </w:p>
    <w:p w:rsidR="00102735" w:rsidRPr="00023052" w:rsidRDefault="00102735" w:rsidP="00AF4575">
      <w:pPr>
        <w:pStyle w:val="H23G"/>
        <w:ind w:left="1985"/>
      </w:pPr>
      <w:r w:rsidRPr="00023052">
        <w:t>Chapter 6.7</w:t>
      </w:r>
    </w:p>
    <w:p w:rsidR="00975E37" w:rsidRPr="00023052" w:rsidRDefault="00975E37" w:rsidP="00023052">
      <w:pPr>
        <w:pStyle w:val="SingleTxtG"/>
        <w:ind w:left="851" w:firstLine="19"/>
      </w:pPr>
      <w:r w:rsidRPr="00023052">
        <w:t>6.7.2.18.1</w:t>
      </w:r>
      <w:r w:rsidR="00937067" w:rsidRPr="00023052">
        <w:tab/>
      </w:r>
      <w:r w:rsidR="00937067" w:rsidRPr="00023052">
        <w:tab/>
        <w:t>In the fourth sentence, replace “i.e. the distinguishing sign for use in international traffic as prescribed by the Convention on Road Traffic, Vienna 1968” by “indicated by the distinguishing sign used on vehicles in international road traffic</w:t>
      </w:r>
      <w:r w:rsidR="00937067" w:rsidRPr="00023052">
        <w:rPr>
          <w:vertAlign w:val="superscript"/>
        </w:rPr>
        <w:t>2</w:t>
      </w:r>
      <w:r w:rsidR="00937067" w:rsidRPr="00023052">
        <w:t>”.</w:t>
      </w:r>
    </w:p>
    <w:p w:rsidR="00937067" w:rsidRPr="00023052" w:rsidRDefault="00975E37" w:rsidP="00937067">
      <w:pPr>
        <w:pStyle w:val="SingleTxtG"/>
        <w:ind w:left="870"/>
      </w:pPr>
      <w:r w:rsidRPr="00023052">
        <w:t>6.7.3.14.1</w:t>
      </w:r>
      <w:r w:rsidR="00937067" w:rsidRPr="00023052">
        <w:tab/>
      </w:r>
      <w:r w:rsidR="00937067" w:rsidRPr="00023052">
        <w:tab/>
        <w:t xml:space="preserve">In the fourth sentence, replace “i.e. the distinguishing sign for use in international traffic, as prescribed by the Convention on Road Traffic, Vienna 1968” by “indicated by the distinguishing sign used on vehicles in international road traffic2”. </w:t>
      </w:r>
    </w:p>
    <w:p w:rsidR="00975E37" w:rsidRPr="00023052" w:rsidRDefault="009F4E1A" w:rsidP="00023052">
      <w:pPr>
        <w:pStyle w:val="SingleTxtG"/>
        <w:ind w:left="870"/>
      </w:pPr>
      <w:r w:rsidRPr="00023052">
        <w:t>6.7.4.13.1</w:t>
      </w:r>
      <w:r w:rsidR="00937067" w:rsidRPr="00023052">
        <w:tab/>
      </w:r>
      <w:r w:rsidR="00937067" w:rsidRPr="00023052">
        <w:tab/>
      </w:r>
      <w:r w:rsidR="00FB6FBC" w:rsidRPr="00023052">
        <w:t>In the fourth sentence, replace “i.e. the distinguishing sign for use in international traffic as presented by the Convention on Road Traffic, Vienna 1968” by “indicated by the distinguishing sign for use in international road traffic</w:t>
      </w:r>
      <w:r w:rsidR="00FB6FBC" w:rsidRPr="00023052">
        <w:rPr>
          <w:vertAlign w:val="superscript"/>
        </w:rPr>
        <w:t>2</w:t>
      </w:r>
      <w:r w:rsidR="00FB6FBC" w:rsidRPr="00023052">
        <w:t>”.</w:t>
      </w:r>
    </w:p>
    <w:p w:rsidR="00A3756F" w:rsidRPr="00023052" w:rsidRDefault="00A3756F" w:rsidP="00023052">
      <w:pPr>
        <w:pStyle w:val="SingleTxtG"/>
        <w:ind w:left="870"/>
      </w:pPr>
      <w:r w:rsidRPr="00023052">
        <w:t>6.7.5.11.1</w:t>
      </w:r>
      <w:r w:rsidR="00FB6FBC" w:rsidRPr="00023052">
        <w:tab/>
      </w:r>
      <w:r w:rsidR="00FB6FBC" w:rsidRPr="00023052">
        <w:tab/>
        <w:t>In the fourth sentence, replace “i.e. the distinguishing sign for use in international traffic, as prescribed by the Convention on Road Traffic, Vienna 1968” by “indicated by the distinguishing sign used on vehicles in international road traffic</w:t>
      </w:r>
      <w:r w:rsidR="00FB6FBC" w:rsidRPr="00023052">
        <w:rPr>
          <w:vertAlign w:val="superscript"/>
        </w:rPr>
        <w:t>2</w:t>
      </w:r>
      <w:r w:rsidR="00FB6FBC" w:rsidRPr="00023052">
        <w:t>”.</w:t>
      </w:r>
    </w:p>
    <w:p w:rsidR="00A3756F" w:rsidRPr="00023052" w:rsidRDefault="00A3756F" w:rsidP="0098605B">
      <w:pPr>
        <w:pStyle w:val="SingleTxtG"/>
        <w:ind w:left="870"/>
      </w:pPr>
      <w:r w:rsidRPr="00023052">
        <w:lastRenderedPageBreak/>
        <w:t>Footnote 2 should read as follows:</w:t>
      </w:r>
    </w:p>
    <w:p w:rsidR="00FB6FBC" w:rsidRDefault="00FB6FBC" w:rsidP="0098605B">
      <w:pPr>
        <w:pStyle w:val="SingleTxtG"/>
        <w:ind w:left="851"/>
      </w:pPr>
      <w:r w:rsidRPr="00531307">
        <w:t>“</w:t>
      </w:r>
      <w:r w:rsidRPr="00531307">
        <w:rPr>
          <w:b/>
          <w:vertAlign w:val="superscript"/>
        </w:rPr>
        <w:t>2</w:t>
      </w:r>
      <w:r w:rsidRPr="00531307">
        <w:tab/>
      </w:r>
      <w:r w:rsidRPr="002D3C9A">
        <w:rPr>
          <w:i/>
        </w:rPr>
        <w:t>Distinguishing sign of the State of registration used on motor vehicles and trailers in international road traffic, e.g. in accordance with the Geneva Convention on Road Traffic of 1949 or the Vienna Convention on Road Traffic of 1968.</w:t>
      </w:r>
      <w:proofErr w:type="gramStart"/>
      <w:r w:rsidRPr="002D3C9A">
        <w:rPr>
          <w:i/>
        </w:rPr>
        <w:t>”</w:t>
      </w:r>
      <w:r w:rsidRPr="00531307">
        <w:t>.</w:t>
      </w:r>
      <w:proofErr w:type="gramEnd"/>
    </w:p>
    <w:p w:rsidR="00A3756F" w:rsidRPr="00023052" w:rsidRDefault="00A3756F" w:rsidP="0098605B">
      <w:pPr>
        <w:pStyle w:val="SingleTxtG"/>
        <w:ind w:left="870"/>
      </w:pPr>
      <w:r w:rsidRPr="00023052">
        <w:t>Under chapter 7.2, renumber the footnotes in the following pages consequently.</w:t>
      </w:r>
    </w:p>
    <w:p w:rsidR="00A3756F" w:rsidRPr="00023052" w:rsidRDefault="00A3756F" w:rsidP="00A3756F">
      <w:pPr>
        <w:pStyle w:val="SingleTxtG"/>
        <w:ind w:left="851"/>
        <w:rPr>
          <w:b/>
          <w:iCs/>
        </w:rPr>
      </w:pPr>
      <w:r w:rsidRPr="00023052">
        <w:rPr>
          <w:i/>
        </w:rPr>
        <w:t>(Reference document: ST/SG/AC.10/C.3/2016/4)</w:t>
      </w:r>
    </w:p>
    <w:p w:rsidR="00102735" w:rsidRPr="00023052" w:rsidRDefault="00102735">
      <w:pPr>
        <w:pStyle w:val="H23G"/>
        <w:ind w:left="1985"/>
      </w:pPr>
      <w:r w:rsidRPr="00023052">
        <w:t>Chapter 6.8</w:t>
      </w:r>
    </w:p>
    <w:p w:rsidR="00E43DD7" w:rsidRPr="00023052" w:rsidRDefault="00E43DD7" w:rsidP="00023052">
      <w:pPr>
        <w:pStyle w:val="SingleTxtG"/>
        <w:ind w:left="851"/>
      </w:pPr>
      <w:r w:rsidRPr="00023052">
        <w:t>6.8.5.5.1 (</w:t>
      </w:r>
      <w:proofErr w:type="gramStart"/>
      <w:r w:rsidRPr="00023052">
        <w:t>e</w:t>
      </w:r>
      <w:proofErr w:type="gramEnd"/>
      <w:r w:rsidRPr="00023052">
        <w:t>)</w:t>
      </w:r>
      <w:r w:rsidR="00D8677C" w:rsidRPr="00023052">
        <w:tab/>
      </w:r>
      <w:r w:rsidR="00FF4277" w:rsidRPr="00023052">
        <w:t>Replace “indicated by the distinguishing sign</w:t>
      </w:r>
      <w:r w:rsidR="00C4741E" w:rsidRPr="00023052">
        <w:t>s</w:t>
      </w:r>
      <w:r w:rsidR="00FF4277" w:rsidRPr="00023052">
        <w:t xml:space="preserve"> for motor vehicles in international traffic” by: “the distinguishing sign</w:t>
      </w:r>
      <w:r w:rsidR="00C4741E" w:rsidRPr="00023052">
        <w:t>s</w:t>
      </w:r>
      <w:r w:rsidR="00FF4277" w:rsidRPr="00023052">
        <w:t xml:space="preserve"> used on vehicles in international road traffic</w:t>
      </w:r>
      <w:r w:rsidR="00C4741E" w:rsidRPr="00023052">
        <w:rPr>
          <w:vertAlign w:val="superscript"/>
        </w:rPr>
        <w:t>2</w:t>
      </w:r>
      <w:r w:rsidR="00FF4277" w:rsidRPr="00023052">
        <w:t>”</w:t>
      </w:r>
      <w:r w:rsidR="00FF4277" w:rsidRPr="00023052">
        <w:rPr>
          <w:vertAlign w:val="superscript"/>
        </w:rPr>
        <w:t>.</w:t>
      </w:r>
    </w:p>
    <w:p w:rsidR="00E43DD7" w:rsidRPr="00023052" w:rsidRDefault="00E43DD7" w:rsidP="00023052">
      <w:pPr>
        <w:pStyle w:val="SingleTxtG"/>
        <w:ind w:left="851"/>
      </w:pPr>
      <w:r w:rsidRPr="00023052">
        <w:t>Footnote 2 read</w:t>
      </w:r>
      <w:r w:rsidR="00026C54" w:rsidRPr="00023052">
        <w:t>s</w:t>
      </w:r>
      <w:r w:rsidRPr="00023052">
        <w:t xml:space="preserve"> as follows:</w:t>
      </w:r>
    </w:p>
    <w:p w:rsidR="00E43DD7" w:rsidRPr="00023052" w:rsidRDefault="00E43DD7" w:rsidP="00023052">
      <w:pPr>
        <w:pStyle w:val="SingleTxtG"/>
        <w:ind w:left="851"/>
        <w:rPr>
          <w:i/>
          <w:iCs/>
        </w:rPr>
      </w:pPr>
      <w:r w:rsidRPr="00023052">
        <w:rPr>
          <w:i/>
          <w:iCs/>
        </w:rPr>
        <w:t>“</w:t>
      </w:r>
      <w:r w:rsidR="00C56236" w:rsidRPr="0098605B">
        <w:rPr>
          <w:iCs/>
          <w:vertAlign w:val="superscript"/>
        </w:rPr>
        <w:t>2</w:t>
      </w:r>
      <w:r w:rsidR="00C56236" w:rsidRPr="00023052">
        <w:rPr>
          <w:i/>
          <w:iCs/>
        </w:rPr>
        <w:tab/>
        <w:t>Distinguishing sign of the State of registration used on motor vehicles and trailers in international road traffic, e.g. in accordance with the Geneva Convention on Road Traffic of 1949 or the Vienna Convention on Road Traffic of 1968”</w:t>
      </w:r>
      <w:r w:rsidRPr="00023052">
        <w:rPr>
          <w:i/>
          <w:iCs/>
        </w:rPr>
        <w:t>”</w:t>
      </w:r>
    </w:p>
    <w:p w:rsidR="00E43DD7" w:rsidRPr="0098605B" w:rsidRDefault="00976FFA" w:rsidP="0098605B">
      <w:pPr>
        <w:pStyle w:val="SingleTxtG"/>
        <w:ind w:left="851"/>
        <w:rPr>
          <w:i/>
        </w:rPr>
      </w:pPr>
      <w:r w:rsidRPr="00023052">
        <w:rPr>
          <w:i/>
        </w:rPr>
        <w:t>(</w:t>
      </w:r>
      <w:r w:rsidR="00E43DD7" w:rsidRPr="00023052">
        <w:rPr>
          <w:i/>
        </w:rPr>
        <w:t>Reference document: ST/SG/AC.10/C.3/2016/4)</w:t>
      </w:r>
    </w:p>
    <w:p w:rsidR="00AF4575" w:rsidRPr="00EF2646" w:rsidRDefault="00AF4575" w:rsidP="00AF4575">
      <w:pPr>
        <w:pStyle w:val="H23G"/>
        <w:ind w:left="1985"/>
      </w:pPr>
      <w:r w:rsidRPr="00EF2646">
        <w:t>Chapter 7.1</w:t>
      </w:r>
    </w:p>
    <w:p w:rsidR="00AF4575" w:rsidRPr="00EF2646" w:rsidRDefault="00AF4575" w:rsidP="00AF4575">
      <w:pPr>
        <w:pStyle w:val="SingleTxtG"/>
        <w:ind w:left="284" w:firstLine="567"/>
      </w:pPr>
      <w:r w:rsidRPr="00EF2646">
        <w:rPr>
          <w:iCs/>
        </w:rPr>
        <w:t>7.1.2.3 (c)</w:t>
      </w:r>
      <w:r w:rsidRPr="00EF2646">
        <w:rPr>
          <w:iCs/>
        </w:rPr>
        <w:tab/>
        <w:t xml:space="preserve"> </w:t>
      </w:r>
      <w:r w:rsidRPr="00EF2646">
        <w:t>Replace “risk” by “hazard”</w:t>
      </w:r>
      <w:r w:rsidR="00E036A4" w:rsidRPr="00EF2646">
        <w:t xml:space="preserve"> (three times)</w:t>
      </w:r>
      <w:r w:rsidRPr="00EF2646">
        <w:t>.</w:t>
      </w:r>
    </w:p>
    <w:p w:rsidR="00AF4575" w:rsidRPr="00EF2646" w:rsidRDefault="00AF4575" w:rsidP="00AF4575">
      <w:pPr>
        <w:pStyle w:val="SingleTxtG"/>
        <w:ind w:left="284" w:firstLine="567"/>
      </w:pPr>
      <w:r w:rsidRPr="00EF2646">
        <w:rPr>
          <w:i/>
          <w:iCs/>
        </w:rPr>
        <w:t>(Reference document: ST/SG/AC.10/C.3/2016/16)</w:t>
      </w:r>
    </w:p>
    <w:p w:rsidR="00873178" w:rsidRPr="00EF2646" w:rsidRDefault="00873178" w:rsidP="00873178">
      <w:pPr>
        <w:pStyle w:val="SingleTxtG"/>
        <w:ind w:left="284" w:firstLine="567"/>
        <w:rPr>
          <w:iCs/>
        </w:rPr>
      </w:pPr>
      <w:r w:rsidRPr="00EF2646">
        <w:rPr>
          <w:b/>
          <w:iCs/>
        </w:rPr>
        <w:t>In ST/SG/AC.10/C.3/96/Add.1</w:t>
      </w:r>
      <w:r w:rsidRPr="00EF2646">
        <w:rPr>
          <w:iCs/>
        </w:rPr>
        <w:t xml:space="preserve">, annex </w:t>
      </w:r>
      <w:proofErr w:type="gramStart"/>
      <w:r w:rsidRPr="00EF2646">
        <w:rPr>
          <w:iCs/>
        </w:rPr>
        <w:t>II,</w:t>
      </w:r>
      <w:proofErr w:type="gramEnd"/>
      <w:r w:rsidRPr="00EF2646">
        <w:rPr>
          <w:iCs/>
        </w:rPr>
        <w:t xml:space="preserve"> remove the square brackets except for 5.4.1.5.5.</w:t>
      </w:r>
    </w:p>
    <w:p w:rsidR="005A547C" w:rsidRPr="00EF2646" w:rsidRDefault="005A547C" w:rsidP="00657A32">
      <w:pPr>
        <w:pStyle w:val="HChG"/>
        <w:rPr>
          <w:b w:val="0"/>
          <w:bCs/>
        </w:rPr>
      </w:pPr>
      <w:r w:rsidRPr="00EF2646">
        <w:rPr>
          <w:b w:val="0"/>
          <w:bCs/>
        </w:rPr>
        <w:br w:type="page"/>
      </w:r>
    </w:p>
    <w:p w:rsidR="0070313B" w:rsidRPr="00EF2646" w:rsidRDefault="0070313B" w:rsidP="0070313B">
      <w:pPr>
        <w:pStyle w:val="HChG"/>
      </w:pPr>
      <w:r w:rsidRPr="00EF2646">
        <w:lastRenderedPageBreak/>
        <w:t xml:space="preserve">Annex </w:t>
      </w:r>
      <w:r w:rsidR="004149B8" w:rsidRPr="00EF2646">
        <w:t>I</w:t>
      </w:r>
      <w:r w:rsidRPr="00EF2646">
        <w:t>V</w:t>
      </w:r>
    </w:p>
    <w:p w:rsidR="004A1E66" w:rsidRPr="00EF2646" w:rsidRDefault="0070313B" w:rsidP="0070313B">
      <w:pPr>
        <w:pStyle w:val="HChG"/>
      </w:pPr>
      <w:r w:rsidRPr="00EF2646">
        <w:tab/>
      </w:r>
      <w:r w:rsidRPr="00EF2646">
        <w:tab/>
      </w:r>
      <w:r w:rsidR="004A1E66" w:rsidRPr="00EF2646">
        <w:t xml:space="preserve">Corrections to the </w:t>
      </w:r>
      <w:r w:rsidR="00944342" w:rsidRPr="00EF2646">
        <w:t>sixt</w:t>
      </w:r>
      <w:r w:rsidR="004A1E66" w:rsidRPr="00EF2646">
        <w:t>h revised edition of the UN Recommendations on the Transport of Dangerous Goods, Manual of Tests and Criteria (ST/SG/AC.10/11/Rev.6)</w:t>
      </w:r>
    </w:p>
    <w:p w:rsidR="004A1E66" w:rsidRPr="00EF2646" w:rsidRDefault="004A1E66" w:rsidP="004A1E66">
      <w:pPr>
        <w:pStyle w:val="SingleTxtG"/>
        <w:rPr>
          <w:rStyle w:val="SingleTxtGCar"/>
        </w:rPr>
      </w:pPr>
      <w:r w:rsidRPr="00EF2646">
        <w:rPr>
          <w:rStyle w:val="SingleTxtGCar"/>
        </w:rPr>
        <w:t>33.2.1.4.4.1</w:t>
      </w:r>
      <w:r w:rsidRPr="00EF2646">
        <w:rPr>
          <w:rStyle w:val="SingleTxtGCar"/>
        </w:rPr>
        <w:tab/>
        <w:t>For “33.2.1.3.4.2” read “33.2.1.4.3.2”</w:t>
      </w:r>
      <w:proofErr w:type="gramStart"/>
      <w:r w:rsidRPr="00EF2646">
        <w:rPr>
          <w:rStyle w:val="SingleTxtGCar"/>
        </w:rPr>
        <w:t>.</w:t>
      </w:r>
      <w:proofErr w:type="gramEnd"/>
    </w:p>
    <w:p w:rsidR="004A1E66" w:rsidRPr="00EF2646" w:rsidRDefault="004A1E66" w:rsidP="004A1E66">
      <w:pPr>
        <w:pStyle w:val="SingleTxtG"/>
        <w:rPr>
          <w:rStyle w:val="SingleTxtGCar"/>
          <w:i/>
          <w:iCs/>
        </w:rPr>
      </w:pPr>
      <w:r w:rsidRPr="00EF2646">
        <w:rPr>
          <w:rStyle w:val="SingleTxtGCar"/>
          <w:i/>
          <w:iCs/>
        </w:rPr>
        <w:t>(Reference document: ST/SG/AC.10/C.3/2016/5 as amended)</w:t>
      </w:r>
    </w:p>
    <w:p w:rsidR="00657A32" w:rsidRPr="00EF2646" w:rsidRDefault="00657A32">
      <w:pPr>
        <w:suppressAutoHyphens w:val="0"/>
        <w:spacing w:line="240" w:lineRule="auto"/>
        <w:rPr>
          <w:b/>
          <w:sz w:val="28"/>
        </w:rPr>
      </w:pPr>
      <w:r w:rsidRPr="00EF2646">
        <w:br w:type="page"/>
      </w:r>
    </w:p>
    <w:p w:rsidR="00505D9C" w:rsidRPr="00EF2646" w:rsidRDefault="00505D9C" w:rsidP="00505D9C">
      <w:pPr>
        <w:pStyle w:val="HChG"/>
      </w:pPr>
      <w:r w:rsidRPr="00EF2646">
        <w:lastRenderedPageBreak/>
        <w:t>Annex V</w:t>
      </w:r>
    </w:p>
    <w:p w:rsidR="00505D9C" w:rsidRPr="00EF2646" w:rsidRDefault="00505D9C" w:rsidP="008319EF">
      <w:pPr>
        <w:pStyle w:val="HChG"/>
      </w:pPr>
      <w:r w:rsidRPr="00EF2646">
        <w:tab/>
      </w:r>
      <w:r w:rsidRPr="00EF2646">
        <w:tab/>
        <w:t xml:space="preserve">Corrections to the </w:t>
      </w:r>
      <w:r w:rsidR="008319EF" w:rsidRPr="00EF2646">
        <w:t>nineteen</w:t>
      </w:r>
      <w:r w:rsidRPr="00EF2646">
        <w:t>th revised edition of the United Nations Recommendations on the Transport of Dangerous Goods, Model Regulations</w:t>
      </w:r>
    </w:p>
    <w:p w:rsidR="00505D9C" w:rsidRPr="00EF2646" w:rsidRDefault="00505D9C" w:rsidP="00505D9C">
      <w:pPr>
        <w:pStyle w:val="H23G"/>
      </w:pPr>
      <w:r w:rsidRPr="00EF2646">
        <w:tab/>
      </w:r>
      <w:r w:rsidRPr="00EF2646">
        <w:tab/>
        <w:t>Chapter 3.2, list of dangerous goods</w:t>
      </w:r>
    </w:p>
    <w:p w:rsidR="00505D9C" w:rsidRPr="00EF2646" w:rsidRDefault="00505D9C" w:rsidP="00505D9C">
      <w:pPr>
        <w:pStyle w:val="SingleTxtG"/>
        <w:rPr>
          <w:rStyle w:val="SingleTxtGCar"/>
        </w:rPr>
      </w:pPr>
      <w:r w:rsidRPr="00EF2646">
        <w:rPr>
          <w:rStyle w:val="SingleTxtGCar"/>
        </w:rPr>
        <w:t>Not applicable to the English text.</w:t>
      </w:r>
    </w:p>
    <w:p w:rsidR="00505D9C" w:rsidRPr="00EF2646" w:rsidRDefault="00505D9C" w:rsidP="00505D9C">
      <w:pPr>
        <w:pStyle w:val="SingleTxtG"/>
        <w:rPr>
          <w:rStyle w:val="SingleTxtGCar"/>
          <w:i/>
          <w:iCs/>
        </w:rPr>
      </w:pPr>
      <w:r w:rsidRPr="00EF2646">
        <w:rPr>
          <w:rStyle w:val="SingleTxtGCar"/>
          <w:i/>
          <w:iCs/>
        </w:rPr>
        <w:t>(Reference document: ST/SG/AC.10/C.3/2016/22)</w:t>
      </w:r>
    </w:p>
    <w:p w:rsidR="00505D9C" w:rsidRPr="00EF2646" w:rsidRDefault="00505D9C" w:rsidP="00505D9C">
      <w:pPr>
        <w:pStyle w:val="SingleTxtG"/>
      </w:pPr>
      <w:r w:rsidRPr="00EF2646">
        <w:rPr>
          <w:b/>
          <w:iCs/>
        </w:rPr>
        <w:t>Chapter 5.2</w:t>
      </w:r>
    </w:p>
    <w:p w:rsidR="00505D9C" w:rsidRPr="00EF2646" w:rsidRDefault="00505D9C" w:rsidP="00505D9C">
      <w:pPr>
        <w:pStyle w:val="SingleTxtG"/>
      </w:pPr>
      <w:r w:rsidRPr="00EF2646">
        <w:t>5.2.1.9.2</w:t>
      </w:r>
      <w:r w:rsidRPr="00EF2646">
        <w:tab/>
      </w:r>
      <w:proofErr w:type="gramStart"/>
      <w:r w:rsidRPr="00EF2646">
        <w:t>In</w:t>
      </w:r>
      <w:proofErr w:type="gramEnd"/>
      <w:r w:rsidRPr="00EF2646">
        <w:t xml:space="preserve"> the last paragraph, after “black on white” add “or suitable contrasting background”.</w:t>
      </w:r>
    </w:p>
    <w:p w:rsidR="00505D9C" w:rsidRPr="00EF2646" w:rsidRDefault="00505D9C" w:rsidP="00505D9C">
      <w:pPr>
        <w:pStyle w:val="SingleTxtG"/>
        <w:rPr>
          <w:i/>
        </w:rPr>
      </w:pPr>
      <w:r w:rsidRPr="00EF2646">
        <w:rPr>
          <w:i/>
        </w:rPr>
        <w:t xml:space="preserve">(Reference document: </w:t>
      </w:r>
      <w:r w:rsidR="008D2409">
        <w:rPr>
          <w:i/>
        </w:rPr>
        <w:t>informal</w:t>
      </w:r>
      <w:r w:rsidRPr="00EF2646">
        <w:rPr>
          <w:i/>
        </w:rPr>
        <w:t xml:space="preserve"> document INF.71)</w:t>
      </w:r>
    </w:p>
    <w:p w:rsidR="00505D9C" w:rsidRPr="00EF2646" w:rsidRDefault="00505D9C" w:rsidP="00505D9C">
      <w:pPr>
        <w:pStyle w:val="SingleTxtG"/>
        <w:rPr>
          <w:iCs/>
        </w:rPr>
      </w:pPr>
      <w:r w:rsidRPr="00EF2646">
        <w:rPr>
          <w:b/>
          <w:iCs/>
        </w:rPr>
        <w:t>In ST/SG/AC.10/C.3/96/Add.1</w:t>
      </w:r>
      <w:r w:rsidRPr="00EF2646">
        <w:rPr>
          <w:iCs/>
        </w:rPr>
        <w:t>, annex III, remove the square brackets.</w:t>
      </w:r>
    </w:p>
    <w:p w:rsidR="005A547C" w:rsidRPr="00EF2646" w:rsidRDefault="005A547C">
      <w:pPr>
        <w:suppressAutoHyphens w:val="0"/>
        <w:spacing w:line="240" w:lineRule="auto"/>
        <w:rPr>
          <w:b/>
          <w:sz w:val="28"/>
        </w:rPr>
      </w:pPr>
      <w:r w:rsidRPr="00EF2646">
        <w:br w:type="page"/>
      </w:r>
    </w:p>
    <w:p w:rsidR="00F55309" w:rsidRPr="00EF2646" w:rsidRDefault="00F55309" w:rsidP="00F55309">
      <w:pPr>
        <w:pStyle w:val="HChG"/>
      </w:pPr>
      <w:r w:rsidRPr="00EF2646">
        <w:lastRenderedPageBreak/>
        <w:t>Annex VI</w:t>
      </w:r>
    </w:p>
    <w:p w:rsidR="00F55309" w:rsidRPr="00EF2646" w:rsidRDefault="00F55309" w:rsidP="008319EF">
      <w:pPr>
        <w:pStyle w:val="HChG"/>
      </w:pPr>
      <w:r w:rsidRPr="00EF2646">
        <w:tab/>
      </w:r>
      <w:r w:rsidRPr="00EF2646">
        <w:tab/>
      </w:r>
      <w:r w:rsidR="008319EF" w:rsidRPr="00EF2646">
        <w:t>Proposal of amendments to the sixth revised edition of the Globally Harmonized System of Classification and Labelling of Chemicals (GHS) (ST/SG/AC.10/30/Rev.6)</w:t>
      </w:r>
    </w:p>
    <w:p w:rsidR="004C073D" w:rsidRPr="00EF2646" w:rsidRDefault="00F55309" w:rsidP="004C073D">
      <w:pPr>
        <w:pStyle w:val="SingleTxtG"/>
      </w:pPr>
      <w:r w:rsidRPr="00EF2646">
        <w:t>2.17.2.1</w:t>
      </w:r>
      <w:r w:rsidRPr="00EF2646">
        <w:tab/>
        <w:t xml:space="preserve">Amend the text before sub-paragraphs (a) and (b) to read as follows: </w:t>
      </w:r>
    </w:p>
    <w:p w:rsidR="00F55309" w:rsidRPr="00EF2646" w:rsidRDefault="00F55309" w:rsidP="004C073D">
      <w:pPr>
        <w:pStyle w:val="SingleTxtG"/>
      </w:pPr>
      <w:r w:rsidRPr="00EF2646">
        <w:t>“Any explosive while in a desensitized state shall be considered in this class unless, in that state:</w:t>
      </w:r>
      <w:proofErr w:type="gramStart"/>
      <w:r w:rsidRPr="00EF2646">
        <w:t>”.</w:t>
      </w:r>
      <w:proofErr w:type="gramEnd"/>
    </w:p>
    <w:p w:rsidR="00F55309" w:rsidRPr="00EF2646" w:rsidRDefault="00F55309" w:rsidP="00F55309">
      <w:pPr>
        <w:pStyle w:val="SingleTxtG"/>
      </w:pPr>
      <w:r w:rsidRPr="00EF2646">
        <w:t>2.17.2.1 (</w:t>
      </w:r>
      <w:proofErr w:type="gramStart"/>
      <w:r w:rsidRPr="00EF2646">
        <w:t>a</w:t>
      </w:r>
      <w:proofErr w:type="gramEnd"/>
      <w:r w:rsidRPr="00EF2646">
        <w:t>)</w:t>
      </w:r>
      <w:r w:rsidRPr="00EF2646">
        <w:tab/>
        <w:t>Amend to read as follows:</w:t>
      </w:r>
    </w:p>
    <w:p w:rsidR="00F55309" w:rsidRPr="00EF2646" w:rsidRDefault="00F55309" w:rsidP="00F55309">
      <w:pPr>
        <w:pStyle w:val="SingleTxtG"/>
        <w:tabs>
          <w:tab w:val="left" w:pos="2835"/>
        </w:tabs>
      </w:pPr>
      <w:r w:rsidRPr="00EF2646">
        <w:t>“(</w:t>
      </w:r>
      <w:proofErr w:type="gramStart"/>
      <w:r w:rsidRPr="00EF2646">
        <w:t>a</w:t>
      </w:r>
      <w:proofErr w:type="gramEnd"/>
      <w:r w:rsidRPr="00EF2646">
        <w:t>) It is intended to produce a practical explosive or pyrotechnic effect;”.</w:t>
      </w:r>
    </w:p>
    <w:p w:rsidR="00F55309" w:rsidRPr="00EF2646" w:rsidRDefault="00F55309" w:rsidP="00F55309">
      <w:pPr>
        <w:pStyle w:val="SingleTxtG"/>
      </w:pPr>
      <w:r w:rsidRPr="00EF2646">
        <w:t>2.17.2.1 (</w:t>
      </w:r>
      <w:proofErr w:type="gramStart"/>
      <w:r w:rsidRPr="00EF2646">
        <w:t>b</w:t>
      </w:r>
      <w:proofErr w:type="gramEnd"/>
      <w:r w:rsidRPr="00EF2646">
        <w:t>)</w:t>
      </w:r>
      <w:r w:rsidRPr="00EF2646">
        <w:tab/>
        <w:t>Replace “their corrected burning rate” by “the corrected burning rate”.</w:t>
      </w:r>
    </w:p>
    <w:p w:rsidR="00F55309" w:rsidRPr="00EF2646" w:rsidRDefault="00F55309" w:rsidP="00F55309">
      <w:pPr>
        <w:pStyle w:val="SingleTxtG"/>
      </w:pPr>
      <w:r w:rsidRPr="00EF2646">
        <w:t>2.17.2.1 (c)</w:t>
      </w:r>
      <w:r w:rsidRPr="00EF2646">
        <w:tab/>
        <w:t>Replace “Their exothermic decomposition” by “The exothermic decomposition”.</w:t>
      </w:r>
    </w:p>
    <w:p w:rsidR="00F55309" w:rsidRPr="00EF2646" w:rsidRDefault="00F55309" w:rsidP="00F55309">
      <w:pPr>
        <w:pStyle w:val="SingleTxtG"/>
        <w:rPr>
          <w:i/>
        </w:rPr>
      </w:pPr>
      <w:r w:rsidRPr="00EF2646">
        <w:t>In NOTE 1, after “</w:t>
      </w:r>
      <w:r w:rsidRPr="00EF2646">
        <w:rPr>
          <w:i/>
        </w:rPr>
        <w:t>which meet the criterion (a) or (b)</w:t>
      </w:r>
      <w:r w:rsidRPr="00EF2646">
        <w:t>”</w:t>
      </w:r>
      <w:r w:rsidRPr="00EF2646">
        <w:rPr>
          <w:i/>
        </w:rPr>
        <w:t xml:space="preserve"> </w:t>
      </w:r>
      <w:r w:rsidRPr="00EF2646">
        <w:t>insert</w:t>
      </w:r>
      <w:r w:rsidRPr="00EF2646">
        <w:rPr>
          <w:i/>
        </w:rPr>
        <w:t xml:space="preserve"> </w:t>
      </w:r>
      <w:r w:rsidRPr="00EF2646">
        <w:t>“</w:t>
      </w:r>
      <w:r w:rsidRPr="00EF2646">
        <w:rPr>
          <w:i/>
        </w:rPr>
        <w:t>in their desensitized state</w:t>
      </w:r>
      <w:r w:rsidRPr="00EF2646">
        <w:t>”.</w:t>
      </w:r>
    </w:p>
    <w:p w:rsidR="00F55309" w:rsidRPr="00EF2646" w:rsidRDefault="00F55309" w:rsidP="009909FB">
      <w:pPr>
        <w:pStyle w:val="SingleTxtG"/>
        <w:rPr>
          <w:rStyle w:val="SingleTxtGCar"/>
        </w:rPr>
      </w:pPr>
      <w:r w:rsidRPr="00EF2646">
        <w:rPr>
          <w:i/>
        </w:rPr>
        <w:t>(Reference document: ST/SG/AC.10/C.4/62, annex I)</w:t>
      </w:r>
      <w:r w:rsidRPr="00EF2646">
        <w:t xml:space="preserve"> </w:t>
      </w:r>
    </w:p>
    <w:p w:rsidR="008F4F70" w:rsidRPr="00EF2646" w:rsidRDefault="0045213B" w:rsidP="0045213B">
      <w:pPr>
        <w:pStyle w:val="SingleTxtG"/>
        <w:spacing w:before="240" w:after="0"/>
        <w:jc w:val="center"/>
        <w:rPr>
          <w:i/>
          <w:iCs/>
          <w:u w:val="single"/>
        </w:rPr>
      </w:pPr>
      <w:r w:rsidRPr="00EF2646">
        <w:rPr>
          <w:i/>
          <w:iCs/>
          <w:u w:val="single"/>
        </w:rPr>
        <w:tab/>
      </w:r>
      <w:r w:rsidRPr="00EF2646">
        <w:rPr>
          <w:i/>
          <w:iCs/>
          <w:u w:val="single"/>
        </w:rPr>
        <w:tab/>
      </w:r>
      <w:r w:rsidRPr="00EF2646">
        <w:rPr>
          <w:i/>
          <w:iCs/>
          <w:u w:val="single"/>
        </w:rPr>
        <w:tab/>
      </w:r>
    </w:p>
    <w:p w:rsidR="0045213B" w:rsidRPr="00EF2646" w:rsidRDefault="0045213B" w:rsidP="008F4F70">
      <w:pPr>
        <w:suppressAutoHyphens w:val="0"/>
        <w:spacing w:line="240" w:lineRule="auto"/>
        <w:rPr>
          <w:i/>
          <w:iCs/>
          <w:u w:val="single"/>
        </w:rPr>
      </w:pPr>
    </w:p>
    <w:sectPr w:rsidR="0045213B" w:rsidRPr="00EF2646" w:rsidSect="000A4A57">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A0" w:rsidRDefault="00D821A0"/>
  </w:endnote>
  <w:endnote w:type="continuationSeparator" w:id="0">
    <w:p w:rsidR="00D821A0" w:rsidRDefault="00D821A0"/>
  </w:endnote>
  <w:endnote w:type="continuationNotice" w:id="1">
    <w:p w:rsidR="00D821A0" w:rsidRDefault="00D82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A0" w:rsidRPr="008F4F70" w:rsidRDefault="00D821A0" w:rsidP="0039344D">
    <w:pPr>
      <w:pStyle w:val="Footer"/>
      <w:tabs>
        <w:tab w:val="right" w:pos="9638"/>
      </w:tabs>
      <w:rPr>
        <w:sz w:val="20"/>
      </w:rPr>
    </w:pPr>
    <w:r>
      <w:rPr>
        <w:b/>
        <w:sz w:val="18"/>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97978"/>
      <w:docPartObj>
        <w:docPartGallery w:val="Page Numbers (Bottom of Page)"/>
        <w:docPartUnique/>
      </w:docPartObj>
    </w:sdtPr>
    <w:sdtEndPr>
      <w:rPr>
        <w:noProof/>
      </w:rPr>
    </w:sdtEndPr>
    <w:sdtContent>
      <w:p w:rsidR="00D821A0" w:rsidRPr="00E67C72" w:rsidRDefault="00D821A0" w:rsidP="00E67C72">
        <w:pPr>
          <w:pStyle w:val="Footer"/>
        </w:pPr>
        <w:r>
          <w:fldChar w:fldCharType="begin"/>
        </w:r>
        <w:r>
          <w:instrText xml:space="preserve"> PAGE   \* MERGEFORMAT </w:instrText>
        </w:r>
        <w:r>
          <w:fldChar w:fldCharType="separate"/>
        </w:r>
        <w:r w:rsidR="00445141">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A0" w:rsidRPr="000B175B" w:rsidRDefault="00D821A0" w:rsidP="000B175B">
      <w:pPr>
        <w:tabs>
          <w:tab w:val="right" w:pos="2155"/>
        </w:tabs>
        <w:spacing w:after="80"/>
        <w:ind w:left="680"/>
        <w:rPr>
          <w:u w:val="single"/>
        </w:rPr>
      </w:pPr>
      <w:r>
        <w:rPr>
          <w:u w:val="single"/>
        </w:rPr>
        <w:tab/>
      </w:r>
    </w:p>
  </w:footnote>
  <w:footnote w:type="continuationSeparator" w:id="0">
    <w:p w:rsidR="00D821A0" w:rsidRPr="00FC68B7" w:rsidRDefault="00D821A0" w:rsidP="00FC68B7">
      <w:pPr>
        <w:tabs>
          <w:tab w:val="left" w:pos="2155"/>
        </w:tabs>
        <w:spacing w:after="80"/>
        <w:ind w:left="680"/>
        <w:rPr>
          <w:u w:val="single"/>
        </w:rPr>
      </w:pPr>
      <w:r>
        <w:rPr>
          <w:u w:val="single"/>
        </w:rPr>
        <w:tab/>
      </w:r>
    </w:p>
  </w:footnote>
  <w:footnote w:type="continuationNotice" w:id="1">
    <w:p w:rsidR="00D821A0" w:rsidRDefault="00D821A0"/>
  </w:footnote>
  <w:footnote w:id="2">
    <w:p w:rsidR="00D821A0" w:rsidRPr="00A268A3" w:rsidRDefault="00BD2BAB" w:rsidP="006231F3">
      <w:pPr>
        <w:pStyle w:val="FootnoteText"/>
      </w:pPr>
      <w:r>
        <w:rPr>
          <w:i/>
        </w:rPr>
        <w:tab/>
      </w:r>
      <w:r w:rsidR="00D821A0" w:rsidRPr="00A268A3">
        <w:rPr>
          <w:rStyle w:val="FootnoteReference"/>
        </w:rPr>
        <w:footnoteRef/>
      </w:r>
      <w:r>
        <w:rPr>
          <w:i/>
        </w:rPr>
        <w:tab/>
      </w:r>
      <w:r w:rsidR="00D821A0" w:rsidRPr="00C9341C">
        <w:rPr>
          <w:i/>
        </w:rPr>
        <w:t>[</w:t>
      </w:r>
      <w:r w:rsidR="00D821A0" w:rsidRPr="00A268A3">
        <w:rPr>
          <w:i/>
        </w:rPr>
        <w:t>OECD Guideline for the testing of chemicals No. 404 "Acute Dermal Irritation/Corrosion" 2015</w:t>
      </w:r>
      <w:r w:rsidR="00D821A0">
        <w:rPr>
          <w:i/>
        </w:rPr>
        <w:t>]</w:t>
      </w:r>
    </w:p>
  </w:footnote>
  <w:footnote w:id="3">
    <w:p w:rsidR="00D821A0" w:rsidRPr="00A268A3" w:rsidRDefault="00BD2BAB" w:rsidP="006231F3">
      <w:pPr>
        <w:pStyle w:val="FootnoteText"/>
      </w:pPr>
      <w:r>
        <w:tab/>
      </w:r>
      <w:r w:rsidR="00D821A0" w:rsidRPr="00A268A3">
        <w:rPr>
          <w:rStyle w:val="FootnoteReference"/>
        </w:rPr>
        <w:footnoteRef/>
      </w:r>
      <w:r>
        <w:tab/>
      </w:r>
      <w:r w:rsidR="00D821A0" w:rsidRPr="00C9341C">
        <w:rPr>
          <w:i/>
        </w:rPr>
        <w:t>[</w:t>
      </w:r>
      <w:r w:rsidR="00D821A0" w:rsidRPr="00A268A3">
        <w:rPr>
          <w:i/>
        </w:rPr>
        <w:t>OECD Guideline for the testing of chemicals No. 435 "In Vitro Membrane Barrier Test Method for Skin Corrosion” 2015</w:t>
      </w:r>
      <w:r w:rsidR="00D821A0">
        <w:rPr>
          <w:i/>
        </w:rPr>
        <w:t>]</w:t>
      </w:r>
    </w:p>
  </w:footnote>
  <w:footnote w:id="4">
    <w:p w:rsidR="00D821A0" w:rsidRPr="00A268A3" w:rsidRDefault="00BD2BAB" w:rsidP="006231F3">
      <w:pPr>
        <w:pStyle w:val="FootnoteText"/>
      </w:pPr>
      <w:r>
        <w:tab/>
      </w:r>
      <w:r w:rsidR="00D821A0" w:rsidRPr="00A268A3">
        <w:rPr>
          <w:rStyle w:val="FootnoteReference"/>
        </w:rPr>
        <w:footnoteRef/>
      </w:r>
      <w:r>
        <w:tab/>
      </w:r>
      <w:r w:rsidR="00D821A0" w:rsidRPr="00C9341C">
        <w:rPr>
          <w:i/>
        </w:rPr>
        <w:t>[</w:t>
      </w:r>
      <w:r w:rsidR="00D821A0" w:rsidRPr="00A268A3">
        <w:rPr>
          <w:i/>
        </w:rPr>
        <w:t>OECD Guideline for the testing of chemicals No. 430 "In Vitro Skin Corrosion: Transcutaneous Electrical Resistance Test (TER)” 2015</w:t>
      </w:r>
      <w:r w:rsidR="00D821A0">
        <w:rPr>
          <w:i/>
        </w:rPr>
        <w:t>]</w:t>
      </w:r>
    </w:p>
  </w:footnote>
  <w:footnote w:id="5">
    <w:p w:rsidR="00D821A0" w:rsidRPr="00A26428" w:rsidRDefault="00BD2BAB" w:rsidP="006231F3">
      <w:pPr>
        <w:pStyle w:val="FootnoteText"/>
      </w:pPr>
      <w:r>
        <w:tab/>
      </w:r>
      <w:r w:rsidR="00D821A0" w:rsidRPr="00A268A3">
        <w:rPr>
          <w:rStyle w:val="FootnoteReference"/>
        </w:rPr>
        <w:footnoteRef/>
      </w:r>
      <w:r>
        <w:tab/>
      </w:r>
      <w:r w:rsidR="00D821A0" w:rsidRPr="00C9341C">
        <w:rPr>
          <w:i/>
        </w:rPr>
        <w:t>[</w:t>
      </w:r>
      <w:r w:rsidR="00D821A0" w:rsidRPr="00A268A3">
        <w:rPr>
          <w:i/>
        </w:rPr>
        <w:t>OECD Guideline for the testing of chemicals No. 431 "In Vitro Skin Corrosion: Human Skin Model Test" 2015</w:t>
      </w:r>
      <w:r w:rsidR="00D821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A0" w:rsidRPr="009942DA" w:rsidRDefault="00D821A0" w:rsidP="008F4F70">
    <w:pPr>
      <w:pStyle w:val="Header"/>
      <w:jc w:val="right"/>
    </w:pPr>
    <w:r>
      <w:t>ST/SG/AC.10/C.3/98/Add.1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A0" w:rsidRPr="009942DA" w:rsidRDefault="00D821A0" w:rsidP="008F4F70">
    <w:pPr>
      <w:pStyle w:val="Header"/>
      <w:jc w:val="right"/>
    </w:pPr>
    <w:r>
      <w:t>ST/SG/AC.10/C.3/98/Add.1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21">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6"/>
  </w:num>
  <w:num w:numId="15">
    <w:abstractNumId w:val="19"/>
  </w:num>
  <w:num w:numId="16">
    <w:abstractNumId w:val="11"/>
  </w:num>
  <w:num w:numId="17">
    <w:abstractNumId w:val="18"/>
  </w:num>
  <w:num w:numId="18">
    <w:abstractNumId w:val="21"/>
  </w:num>
  <w:num w:numId="19">
    <w:abstractNumId w:val="17"/>
  </w:num>
  <w:num w:numId="20">
    <w:abstractNumId w:val="17"/>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5F"/>
    <w:rsid w:val="00023052"/>
    <w:rsid w:val="00026C54"/>
    <w:rsid w:val="00031477"/>
    <w:rsid w:val="000327DD"/>
    <w:rsid w:val="000509A1"/>
    <w:rsid w:val="00050F6B"/>
    <w:rsid w:val="00060844"/>
    <w:rsid w:val="0006787F"/>
    <w:rsid w:val="00072245"/>
    <w:rsid w:val="00072C8C"/>
    <w:rsid w:val="00076F2D"/>
    <w:rsid w:val="00084885"/>
    <w:rsid w:val="00091419"/>
    <w:rsid w:val="000931C0"/>
    <w:rsid w:val="00096DFA"/>
    <w:rsid w:val="000A1572"/>
    <w:rsid w:val="000A16E6"/>
    <w:rsid w:val="000A4A57"/>
    <w:rsid w:val="000B175B"/>
    <w:rsid w:val="000B31CF"/>
    <w:rsid w:val="000B3A0F"/>
    <w:rsid w:val="000C0FDA"/>
    <w:rsid w:val="000C40DC"/>
    <w:rsid w:val="000E0415"/>
    <w:rsid w:val="000E4C25"/>
    <w:rsid w:val="000F69E3"/>
    <w:rsid w:val="0010251F"/>
    <w:rsid w:val="00102735"/>
    <w:rsid w:val="00113598"/>
    <w:rsid w:val="0011527A"/>
    <w:rsid w:val="00115473"/>
    <w:rsid w:val="00117787"/>
    <w:rsid w:val="0012252A"/>
    <w:rsid w:val="00131D42"/>
    <w:rsid w:val="00150101"/>
    <w:rsid w:val="001501AC"/>
    <w:rsid w:val="001571CC"/>
    <w:rsid w:val="001633FB"/>
    <w:rsid w:val="001639A5"/>
    <w:rsid w:val="0016622D"/>
    <w:rsid w:val="001662EF"/>
    <w:rsid w:val="00174AF1"/>
    <w:rsid w:val="00175A43"/>
    <w:rsid w:val="00182CA6"/>
    <w:rsid w:val="001902F1"/>
    <w:rsid w:val="001909D1"/>
    <w:rsid w:val="00197E99"/>
    <w:rsid w:val="001B06C7"/>
    <w:rsid w:val="001B4B04"/>
    <w:rsid w:val="001C00FA"/>
    <w:rsid w:val="001C45D6"/>
    <w:rsid w:val="001C6663"/>
    <w:rsid w:val="001C7895"/>
    <w:rsid w:val="001D26DF"/>
    <w:rsid w:val="001D2FDC"/>
    <w:rsid w:val="001D5A64"/>
    <w:rsid w:val="001F56EE"/>
    <w:rsid w:val="0020623C"/>
    <w:rsid w:val="0020637B"/>
    <w:rsid w:val="00211E0B"/>
    <w:rsid w:val="002252AE"/>
    <w:rsid w:val="00227893"/>
    <w:rsid w:val="002309A7"/>
    <w:rsid w:val="00237785"/>
    <w:rsid w:val="00241466"/>
    <w:rsid w:val="00242F7A"/>
    <w:rsid w:val="00243F85"/>
    <w:rsid w:val="00250934"/>
    <w:rsid w:val="00262171"/>
    <w:rsid w:val="002674DF"/>
    <w:rsid w:val="002725CA"/>
    <w:rsid w:val="00280EB7"/>
    <w:rsid w:val="0029105B"/>
    <w:rsid w:val="00295925"/>
    <w:rsid w:val="00295A1E"/>
    <w:rsid w:val="002A2088"/>
    <w:rsid w:val="002A5D4C"/>
    <w:rsid w:val="002B1CDA"/>
    <w:rsid w:val="002B35F8"/>
    <w:rsid w:val="002B5A00"/>
    <w:rsid w:val="002C2046"/>
    <w:rsid w:val="002E6035"/>
    <w:rsid w:val="002F6A36"/>
    <w:rsid w:val="003107FA"/>
    <w:rsid w:val="00320C7F"/>
    <w:rsid w:val="003229D8"/>
    <w:rsid w:val="00322A9E"/>
    <w:rsid w:val="003258EF"/>
    <w:rsid w:val="00327B44"/>
    <w:rsid w:val="00344B21"/>
    <w:rsid w:val="00360DF4"/>
    <w:rsid w:val="003615AB"/>
    <w:rsid w:val="003636D6"/>
    <w:rsid w:val="00373A1E"/>
    <w:rsid w:val="00377306"/>
    <w:rsid w:val="0038113B"/>
    <w:rsid w:val="00383392"/>
    <w:rsid w:val="00391155"/>
    <w:rsid w:val="0039277A"/>
    <w:rsid w:val="0039344D"/>
    <w:rsid w:val="003972E0"/>
    <w:rsid w:val="003B2CAF"/>
    <w:rsid w:val="003B7AA8"/>
    <w:rsid w:val="003C2CC4"/>
    <w:rsid w:val="003D4B23"/>
    <w:rsid w:val="003D5A2B"/>
    <w:rsid w:val="003E271E"/>
    <w:rsid w:val="003E45E4"/>
    <w:rsid w:val="003E69CB"/>
    <w:rsid w:val="003F023F"/>
    <w:rsid w:val="003F6EB2"/>
    <w:rsid w:val="00403ECD"/>
    <w:rsid w:val="004101FE"/>
    <w:rsid w:val="004149B8"/>
    <w:rsid w:val="0041653A"/>
    <w:rsid w:val="0041749F"/>
    <w:rsid w:val="0042151D"/>
    <w:rsid w:val="00431E29"/>
    <w:rsid w:val="004325CB"/>
    <w:rsid w:val="00437BBB"/>
    <w:rsid w:val="00437F3F"/>
    <w:rsid w:val="00442D27"/>
    <w:rsid w:val="00445141"/>
    <w:rsid w:val="00446DE4"/>
    <w:rsid w:val="00451042"/>
    <w:rsid w:val="0045213B"/>
    <w:rsid w:val="00453001"/>
    <w:rsid w:val="00454036"/>
    <w:rsid w:val="0045785E"/>
    <w:rsid w:val="004625AC"/>
    <w:rsid w:val="00466E5D"/>
    <w:rsid w:val="00482FA6"/>
    <w:rsid w:val="004830B9"/>
    <w:rsid w:val="00484D66"/>
    <w:rsid w:val="00485B1C"/>
    <w:rsid w:val="00490018"/>
    <w:rsid w:val="004A1E66"/>
    <w:rsid w:val="004A2554"/>
    <w:rsid w:val="004B2C9D"/>
    <w:rsid w:val="004B4249"/>
    <w:rsid w:val="004C073D"/>
    <w:rsid w:val="004C1ACE"/>
    <w:rsid w:val="004C5AE2"/>
    <w:rsid w:val="004D34A8"/>
    <w:rsid w:val="004E00C2"/>
    <w:rsid w:val="004E08C4"/>
    <w:rsid w:val="004E14F1"/>
    <w:rsid w:val="004E7C7B"/>
    <w:rsid w:val="00505D9C"/>
    <w:rsid w:val="005113D7"/>
    <w:rsid w:val="00511D52"/>
    <w:rsid w:val="00517A3F"/>
    <w:rsid w:val="00526B1E"/>
    <w:rsid w:val="00527910"/>
    <w:rsid w:val="005420F2"/>
    <w:rsid w:val="0054256C"/>
    <w:rsid w:val="005443B8"/>
    <w:rsid w:val="0054752D"/>
    <w:rsid w:val="005475BF"/>
    <w:rsid w:val="00553B55"/>
    <w:rsid w:val="00557590"/>
    <w:rsid w:val="005649AD"/>
    <w:rsid w:val="00565496"/>
    <w:rsid w:val="005708FD"/>
    <w:rsid w:val="00580B9F"/>
    <w:rsid w:val="005826FA"/>
    <w:rsid w:val="005876AA"/>
    <w:rsid w:val="00590144"/>
    <w:rsid w:val="00590F26"/>
    <w:rsid w:val="00592FC1"/>
    <w:rsid w:val="0059658B"/>
    <w:rsid w:val="005A44EB"/>
    <w:rsid w:val="005A547C"/>
    <w:rsid w:val="005B3DB3"/>
    <w:rsid w:val="005C04D1"/>
    <w:rsid w:val="005C48BE"/>
    <w:rsid w:val="005F57D3"/>
    <w:rsid w:val="00602DBC"/>
    <w:rsid w:val="00611FC4"/>
    <w:rsid w:val="00616083"/>
    <w:rsid w:val="006166C8"/>
    <w:rsid w:val="006176FB"/>
    <w:rsid w:val="006231F3"/>
    <w:rsid w:val="0063376C"/>
    <w:rsid w:val="0063419C"/>
    <w:rsid w:val="00640B26"/>
    <w:rsid w:val="0064594C"/>
    <w:rsid w:val="00647374"/>
    <w:rsid w:val="006500BA"/>
    <w:rsid w:val="00655537"/>
    <w:rsid w:val="00657A32"/>
    <w:rsid w:val="00661693"/>
    <w:rsid w:val="00661845"/>
    <w:rsid w:val="00673B47"/>
    <w:rsid w:val="006756C5"/>
    <w:rsid w:val="006768E8"/>
    <w:rsid w:val="006837C1"/>
    <w:rsid w:val="00683848"/>
    <w:rsid w:val="006A5C69"/>
    <w:rsid w:val="006A7392"/>
    <w:rsid w:val="006B1976"/>
    <w:rsid w:val="006B5B3D"/>
    <w:rsid w:val="006C015D"/>
    <w:rsid w:val="006C0D34"/>
    <w:rsid w:val="006C7E11"/>
    <w:rsid w:val="006E2CE7"/>
    <w:rsid w:val="006E564B"/>
    <w:rsid w:val="006E64E4"/>
    <w:rsid w:val="006E7E33"/>
    <w:rsid w:val="006F1CDE"/>
    <w:rsid w:val="006F4FEC"/>
    <w:rsid w:val="006F67C1"/>
    <w:rsid w:val="0070313B"/>
    <w:rsid w:val="00710352"/>
    <w:rsid w:val="00710F4A"/>
    <w:rsid w:val="00723EF1"/>
    <w:rsid w:val="0072632A"/>
    <w:rsid w:val="00740D93"/>
    <w:rsid w:val="00744FF4"/>
    <w:rsid w:val="0074639A"/>
    <w:rsid w:val="00750128"/>
    <w:rsid w:val="0075321E"/>
    <w:rsid w:val="00763B99"/>
    <w:rsid w:val="00764189"/>
    <w:rsid w:val="00765A16"/>
    <w:rsid w:val="00767272"/>
    <w:rsid w:val="0077077B"/>
    <w:rsid w:val="007734D9"/>
    <w:rsid w:val="00775D28"/>
    <w:rsid w:val="00790791"/>
    <w:rsid w:val="00794EEE"/>
    <w:rsid w:val="007A2F88"/>
    <w:rsid w:val="007B1EF0"/>
    <w:rsid w:val="007B6BA5"/>
    <w:rsid w:val="007C3390"/>
    <w:rsid w:val="007C4F4B"/>
    <w:rsid w:val="007F6611"/>
    <w:rsid w:val="0080068C"/>
    <w:rsid w:val="00815F52"/>
    <w:rsid w:val="008175E9"/>
    <w:rsid w:val="008225FC"/>
    <w:rsid w:val="008242D7"/>
    <w:rsid w:val="008258B6"/>
    <w:rsid w:val="00827004"/>
    <w:rsid w:val="008319EF"/>
    <w:rsid w:val="00861069"/>
    <w:rsid w:val="00870016"/>
    <w:rsid w:val="00871FD5"/>
    <w:rsid w:val="00873178"/>
    <w:rsid w:val="00890F4D"/>
    <w:rsid w:val="00892F02"/>
    <w:rsid w:val="008979B1"/>
    <w:rsid w:val="008A2C6B"/>
    <w:rsid w:val="008A6B25"/>
    <w:rsid w:val="008A6C4F"/>
    <w:rsid w:val="008B0B65"/>
    <w:rsid w:val="008C0201"/>
    <w:rsid w:val="008C0BB5"/>
    <w:rsid w:val="008C3097"/>
    <w:rsid w:val="008D2409"/>
    <w:rsid w:val="008D66F2"/>
    <w:rsid w:val="008E0E46"/>
    <w:rsid w:val="008F31D3"/>
    <w:rsid w:val="008F4F70"/>
    <w:rsid w:val="0091516C"/>
    <w:rsid w:val="00920575"/>
    <w:rsid w:val="00920787"/>
    <w:rsid w:val="0092228A"/>
    <w:rsid w:val="009314BD"/>
    <w:rsid w:val="0093325E"/>
    <w:rsid w:val="00937067"/>
    <w:rsid w:val="00941D4A"/>
    <w:rsid w:val="00944342"/>
    <w:rsid w:val="00945A5D"/>
    <w:rsid w:val="00947FCB"/>
    <w:rsid w:val="00956F78"/>
    <w:rsid w:val="009573AC"/>
    <w:rsid w:val="00957F49"/>
    <w:rsid w:val="00962A1F"/>
    <w:rsid w:val="00963CBA"/>
    <w:rsid w:val="00975E37"/>
    <w:rsid w:val="00976FFA"/>
    <w:rsid w:val="009822A7"/>
    <w:rsid w:val="0098605B"/>
    <w:rsid w:val="00986CDB"/>
    <w:rsid w:val="00987409"/>
    <w:rsid w:val="009909FB"/>
    <w:rsid w:val="0099124E"/>
    <w:rsid w:val="00991261"/>
    <w:rsid w:val="009942DA"/>
    <w:rsid w:val="009A60CB"/>
    <w:rsid w:val="009B1F1E"/>
    <w:rsid w:val="009B5ABC"/>
    <w:rsid w:val="009B782E"/>
    <w:rsid w:val="009C06A2"/>
    <w:rsid w:val="009C14A7"/>
    <w:rsid w:val="009C28B2"/>
    <w:rsid w:val="009C3671"/>
    <w:rsid w:val="009C4FC9"/>
    <w:rsid w:val="009E06D1"/>
    <w:rsid w:val="009F0F06"/>
    <w:rsid w:val="009F4E1A"/>
    <w:rsid w:val="009F7812"/>
    <w:rsid w:val="00A0403A"/>
    <w:rsid w:val="00A1427D"/>
    <w:rsid w:val="00A20605"/>
    <w:rsid w:val="00A25848"/>
    <w:rsid w:val="00A359A3"/>
    <w:rsid w:val="00A3756F"/>
    <w:rsid w:val="00A5442C"/>
    <w:rsid w:val="00A55745"/>
    <w:rsid w:val="00A656E4"/>
    <w:rsid w:val="00A666AA"/>
    <w:rsid w:val="00A72F22"/>
    <w:rsid w:val="00A748A6"/>
    <w:rsid w:val="00A75EC9"/>
    <w:rsid w:val="00A80E85"/>
    <w:rsid w:val="00A81E1B"/>
    <w:rsid w:val="00A879A4"/>
    <w:rsid w:val="00A95BBF"/>
    <w:rsid w:val="00A97C90"/>
    <w:rsid w:val="00AA3BE1"/>
    <w:rsid w:val="00AB28E5"/>
    <w:rsid w:val="00AB448D"/>
    <w:rsid w:val="00AC1279"/>
    <w:rsid w:val="00AC7139"/>
    <w:rsid w:val="00AD079B"/>
    <w:rsid w:val="00AD40C4"/>
    <w:rsid w:val="00AD6CDA"/>
    <w:rsid w:val="00AE5EE5"/>
    <w:rsid w:val="00AE6EF9"/>
    <w:rsid w:val="00AF187F"/>
    <w:rsid w:val="00AF4575"/>
    <w:rsid w:val="00B0166A"/>
    <w:rsid w:val="00B17258"/>
    <w:rsid w:val="00B30179"/>
    <w:rsid w:val="00B3317B"/>
    <w:rsid w:val="00B41DB7"/>
    <w:rsid w:val="00B533B1"/>
    <w:rsid w:val="00B81E12"/>
    <w:rsid w:val="00B840EF"/>
    <w:rsid w:val="00B9103A"/>
    <w:rsid w:val="00B91A1E"/>
    <w:rsid w:val="00B93068"/>
    <w:rsid w:val="00B94349"/>
    <w:rsid w:val="00BA0647"/>
    <w:rsid w:val="00BA2218"/>
    <w:rsid w:val="00BA4F62"/>
    <w:rsid w:val="00BB0086"/>
    <w:rsid w:val="00BC4B71"/>
    <w:rsid w:val="00BC6223"/>
    <w:rsid w:val="00BC7201"/>
    <w:rsid w:val="00BC74E9"/>
    <w:rsid w:val="00BD0C34"/>
    <w:rsid w:val="00BD2BAB"/>
    <w:rsid w:val="00BD51A5"/>
    <w:rsid w:val="00BD77BD"/>
    <w:rsid w:val="00BE618E"/>
    <w:rsid w:val="00BF328F"/>
    <w:rsid w:val="00BF44D4"/>
    <w:rsid w:val="00C064DA"/>
    <w:rsid w:val="00C11D21"/>
    <w:rsid w:val="00C22DAB"/>
    <w:rsid w:val="00C257A7"/>
    <w:rsid w:val="00C2627C"/>
    <w:rsid w:val="00C31F72"/>
    <w:rsid w:val="00C36D1C"/>
    <w:rsid w:val="00C463DD"/>
    <w:rsid w:val="00C4741E"/>
    <w:rsid w:val="00C55716"/>
    <w:rsid w:val="00C56236"/>
    <w:rsid w:val="00C57D44"/>
    <w:rsid w:val="00C62F76"/>
    <w:rsid w:val="00C7356D"/>
    <w:rsid w:val="00C745C3"/>
    <w:rsid w:val="00C7631A"/>
    <w:rsid w:val="00C81487"/>
    <w:rsid w:val="00C83B5F"/>
    <w:rsid w:val="00C9440B"/>
    <w:rsid w:val="00C97D2B"/>
    <w:rsid w:val="00CA05B1"/>
    <w:rsid w:val="00CA28C0"/>
    <w:rsid w:val="00CC267F"/>
    <w:rsid w:val="00CC3A8A"/>
    <w:rsid w:val="00CD3225"/>
    <w:rsid w:val="00CD512A"/>
    <w:rsid w:val="00CE4A8F"/>
    <w:rsid w:val="00CE4E75"/>
    <w:rsid w:val="00CE6BEB"/>
    <w:rsid w:val="00D00202"/>
    <w:rsid w:val="00D148E7"/>
    <w:rsid w:val="00D2031B"/>
    <w:rsid w:val="00D21453"/>
    <w:rsid w:val="00D215B8"/>
    <w:rsid w:val="00D25FE2"/>
    <w:rsid w:val="00D43252"/>
    <w:rsid w:val="00D43E29"/>
    <w:rsid w:val="00D47A1E"/>
    <w:rsid w:val="00D52556"/>
    <w:rsid w:val="00D53571"/>
    <w:rsid w:val="00D56BAB"/>
    <w:rsid w:val="00D60352"/>
    <w:rsid w:val="00D658C0"/>
    <w:rsid w:val="00D67C54"/>
    <w:rsid w:val="00D726FB"/>
    <w:rsid w:val="00D74854"/>
    <w:rsid w:val="00D753D8"/>
    <w:rsid w:val="00D821A0"/>
    <w:rsid w:val="00D84E7F"/>
    <w:rsid w:val="00D85FD7"/>
    <w:rsid w:val="00D8677C"/>
    <w:rsid w:val="00D86A46"/>
    <w:rsid w:val="00D96CC5"/>
    <w:rsid w:val="00D978C6"/>
    <w:rsid w:val="00DA67AD"/>
    <w:rsid w:val="00DB087E"/>
    <w:rsid w:val="00DB1B16"/>
    <w:rsid w:val="00DC082E"/>
    <w:rsid w:val="00DC3AFD"/>
    <w:rsid w:val="00DC5771"/>
    <w:rsid w:val="00DC5B49"/>
    <w:rsid w:val="00DE70EA"/>
    <w:rsid w:val="00DF460E"/>
    <w:rsid w:val="00E036A4"/>
    <w:rsid w:val="00E130AB"/>
    <w:rsid w:val="00E20474"/>
    <w:rsid w:val="00E27079"/>
    <w:rsid w:val="00E31DC6"/>
    <w:rsid w:val="00E4128C"/>
    <w:rsid w:val="00E41326"/>
    <w:rsid w:val="00E43DD7"/>
    <w:rsid w:val="00E5475D"/>
    <w:rsid w:val="00E5644E"/>
    <w:rsid w:val="00E57BDF"/>
    <w:rsid w:val="00E62344"/>
    <w:rsid w:val="00E66873"/>
    <w:rsid w:val="00E67C72"/>
    <w:rsid w:val="00E70F9D"/>
    <w:rsid w:val="00E7260F"/>
    <w:rsid w:val="00E8535A"/>
    <w:rsid w:val="00E96630"/>
    <w:rsid w:val="00EA69B8"/>
    <w:rsid w:val="00EA71EA"/>
    <w:rsid w:val="00EA772F"/>
    <w:rsid w:val="00EB358B"/>
    <w:rsid w:val="00EB4961"/>
    <w:rsid w:val="00EB6832"/>
    <w:rsid w:val="00EC7CFE"/>
    <w:rsid w:val="00ED7A2A"/>
    <w:rsid w:val="00EE0360"/>
    <w:rsid w:val="00EE4906"/>
    <w:rsid w:val="00EF1D7F"/>
    <w:rsid w:val="00EF2646"/>
    <w:rsid w:val="00EF7ABF"/>
    <w:rsid w:val="00F03515"/>
    <w:rsid w:val="00F14A4A"/>
    <w:rsid w:val="00F16B27"/>
    <w:rsid w:val="00F21B9F"/>
    <w:rsid w:val="00F23453"/>
    <w:rsid w:val="00F26479"/>
    <w:rsid w:val="00F31D1F"/>
    <w:rsid w:val="00F32D12"/>
    <w:rsid w:val="00F339EF"/>
    <w:rsid w:val="00F34C52"/>
    <w:rsid w:val="00F34EC6"/>
    <w:rsid w:val="00F40E75"/>
    <w:rsid w:val="00F429B8"/>
    <w:rsid w:val="00F43A05"/>
    <w:rsid w:val="00F54674"/>
    <w:rsid w:val="00F54C92"/>
    <w:rsid w:val="00F55309"/>
    <w:rsid w:val="00F56C94"/>
    <w:rsid w:val="00F715DB"/>
    <w:rsid w:val="00F81896"/>
    <w:rsid w:val="00F91766"/>
    <w:rsid w:val="00F923AC"/>
    <w:rsid w:val="00FA07F8"/>
    <w:rsid w:val="00FA38B0"/>
    <w:rsid w:val="00FA40E2"/>
    <w:rsid w:val="00FA4E0D"/>
    <w:rsid w:val="00FA5397"/>
    <w:rsid w:val="00FB5670"/>
    <w:rsid w:val="00FB6FBC"/>
    <w:rsid w:val="00FC68B7"/>
    <w:rsid w:val="00FD636C"/>
    <w:rsid w:val="00FD6B2B"/>
    <w:rsid w:val="00FE03C6"/>
    <w:rsid w:val="00FF03BB"/>
    <w:rsid w:val="00FF2C46"/>
    <w:rsid w:val="00FF3FE2"/>
    <w:rsid w:val="00FF4277"/>
    <w:rsid w:val="00FF60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F23453"/>
    <w:rPr>
      <w:b/>
      <w:sz w:val="28"/>
      <w:lang w:eastAsia="en-US"/>
    </w:rPr>
  </w:style>
  <w:style w:type="character" w:customStyle="1" w:styleId="H23GChar">
    <w:name w:val="_ H_2/3_G Char"/>
    <w:link w:val="H23G"/>
    <w:rsid w:val="00F23453"/>
    <w:rPr>
      <w:b/>
      <w:lang w:eastAsia="en-US"/>
    </w:rPr>
  </w:style>
  <w:style w:type="character" w:customStyle="1" w:styleId="SingleTxtGChar">
    <w:name w:val="_ Single Txt_G Char"/>
    <w:link w:val="SingleTxtG"/>
    <w:qFormat/>
    <w:rsid w:val="0029105B"/>
    <w:rPr>
      <w:lang w:eastAsia="en-US"/>
    </w:rPr>
  </w:style>
  <w:style w:type="character" w:customStyle="1" w:styleId="H1GChar">
    <w:name w:val="_ H_1_G Char"/>
    <w:link w:val="H1G"/>
    <w:rsid w:val="00DC3AFD"/>
    <w:rPr>
      <w:b/>
      <w:sz w:val="24"/>
      <w:lang w:val="en-GB" w:eastAsia="en-US"/>
    </w:rPr>
  </w:style>
  <w:style w:type="paragraph" w:styleId="BalloonText">
    <w:name w:val="Balloon Text"/>
    <w:basedOn w:val="Normal"/>
    <w:link w:val="BalloonTextChar"/>
    <w:rsid w:val="00B41D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1DB7"/>
    <w:rPr>
      <w:rFonts w:ascii="Tahoma" w:hAnsi="Tahoma" w:cs="Tahoma"/>
      <w:sz w:val="16"/>
      <w:szCs w:val="16"/>
      <w:lang w:val="en-GB" w:eastAsia="en-US"/>
    </w:rPr>
  </w:style>
  <w:style w:type="character" w:customStyle="1" w:styleId="SingleTxtGCar">
    <w:name w:val="_ Single Txt_G Car"/>
    <w:rsid w:val="0063376C"/>
    <w:rPr>
      <w:lang w:val="en-GB" w:eastAsia="en-US" w:bidi="ar-SA"/>
    </w:rPr>
  </w:style>
  <w:style w:type="character" w:customStyle="1" w:styleId="FootnoteTextChar">
    <w:name w:val="Footnote Text Char"/>
    <w:aliases w:val="5_G Char"/>
    <w:link w:val="FootnoteText"/>
    <w:uiPriority w:val="99"/>
    <w:rsid w:val="00CA05B1"/>
    <w:rPr>
      <w:sz w:val="18"/>
      <w:lang w:val="en-GB" w:eastAsia="en-US"/>
    </w:rPr>
  </w:style>
  <w:style w:type="paragraph" w:customStyle="1" w:styleId="Nummerierung">
    <w:name w:val="Nummerierung"/>
    <w:basedOn w:val="Normal"/>
    <w:rsid w:val="004625AC"/>
    <w:pPr>
      <w:numPr>
        <w:numId w:val="19"/>
      </w:numPr>
      <w:suppressAutoHyphens w:val="0"/>
      <w:spacing w:line="240" w:lineRule="auto"/>
    </w:pPr>
    <w:rPr>
      <w:sz w:val="24"/>
      <w:szCs w:val="24"/>
      <w:lang w:val="en-US"/>
    </w:rPr>
  </w:style>
  <w:style w:type="paragraph" w:customStyle="1" w:styleId="Default">
    <w:name w:val="Default"/>
    <w:rsid w:val="004625AC"/>
    <w:pPr>
      <w:autoSpaceDE w:val="0"/>
      <w:autoSpaceDN w:val="0"/>
      <w:adjustRightInd w:val="0"/>
    </w:pPr>
    <w:rPr>
      <w:rFonts w:eastAsiaTheme="minorHAnsi"/>
      <w:color w:val="000000"/>
      <w:sz w:val="24"/>
      <w:szCs w:val="24"/>
      <w:lang w:val="nl-NL" w:eastAsia="en-US"/>
    </w:rPr>
  </w:style>
  <w:style w:type="paragraph" w:styleId="ListParagraph">
    <w:name w:val="List Paragraph"/>
    <w:basedOn w:val="Normal"/>
    <w:uiPriority w:val="34"/>
    <w:qFormat/>
    <w:rsid w:val="00C97D2B"/>
    <w:pPr>
      <w:ind w:left="720"/>
      <w:contextualSpacing/>
    </w:pPr>
  </w:style>
  <w:style w:type="character" w:customStyle="1" w:styleId="SingleTxtGZchnZchn">
    <w:name w:val="_ Single Txt_G Zchn Zchn"/>
    <w:rsid w:val="008C3097"/>
    <w:rPr>
      <w:lang w:val="en-GB" w:eastAsia="en-US" w:bidi="ar-SA"/>
    </w:rPr>
  </w:style>
  <w:style w:type="character" w:customStyle="1" w:styleId="FooterChar">
    <w:name w:val="Footer Char"/>
    <w:aliases w:val="3_G Char"/>
    <w:basedOn w:val="DefaultParagraphFont"/>
    <w:link w:val="Footer"/>
    <w:uiPriority w:val="99"/>
    <w:rsid w:val="00150101"/>
    <w:rPr>
      <w:sz w:val="16"/>
      <w:lang w:val="en-GB" w:eastAsia="en-US"/>
    </w:rPr>
  </w:style>
  <w:style w:type="paragraph" w:customStyle="1" w:styleId="UNParagraphStyle">
    <w:name w:val="UN Paragraph Style"/>
    <w:basedOn w:val="SingleTxtG"/>
    <w:link w:val="UNParagraphStyleChar"/>
    <w:qFormat/>
    <w:rsid w:val="00D658C0"/>
    <w:pPr>
      <w:numPr>
        <w:numId w:val="22"/>
      </w:numPr>
      <w:ind w:left="1134" w:firstLine="0"/>
    </w:pPr>
    <w:rPr>
      <w:lang w:val="en-CA"/>
    </w:rPr>
  </w:style>
  <w:style w:type="character" w:customStyle="1" w:styleId="UNParagraphStyleChar">
    <w:name w:val="UN Paragraph Style Char"/>
    <w:basedOn w:val="SingleTxtGCar"/>
    <w:link w:val="UNParagraphStyle"/>
    <w:rsid w:val="00D658C0"/>
    <w:rPr>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F23453"/>
    <w:rPr>
      <w:b/>
      <w:sz w:val="28"/>
      <w:lang w:eastAsia="en-US"/>
    </w:rPr>
  </w:style>
  <w:style w:type="character" w:customStyle="1" w:styleId="H23GChar">
    <w:name w:val="_ H_2/3_G Char"/>
    <w:link w:val="H23G"/>
    <w:rsid w:val="00F23453"/>
    <w:rPr>
      <w:b/>
      <w:lang w:eastAsia="en-US"/>
    </w:rPr>
  </w:style>
  <w:style w:type="character" w:customStyle="1" w:styleId="SingleTxtGChar">
    <w:name w:val="_ Single Txt_G Char"/>
    <w:link w:val="SingleTxtG"/>
    <w:qFormat/>
    <w:rsid w:val="0029105B"/>
    <w:rPr>
      <w:lang w:eastAsia="en-US"/>
    </w:rPr>
  </w:style>
  <w:style w:type="character" w:customStyle="1" w:styleId="H1GChar">
    <w:name w:val="_ H_1_G Char"/>
    <w:link w:val="H1G"/>
    <w:rsid w:val="00DC3AFD"/>
    <w:rPr>
      <w:b/>
      <w:sz w:val="24"/>
      <w:lang w:val="en-GB" w:eastAsia="en-US"/>
    </w:rPr>
  </w:style>
  <w:style w:type="paragraph" w:styleId="BalloonText">
    <w:name w:val="Balloon Text"/>
    <w:basedOn w:val="Normal"/>
    <w:link w:val="BalloonTextChar"/>
    <w:rsid w:val="00B41D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1DB7"/>
    <w:rPr>
      <w:rFonts w:ascii="Tahoma" w:hAnsi="Tahoma" w:cs="Tahoma"/>
      <w:sz w:val="16"/>
      <w:szCs w:val="16"/>
      <w:lang w:val="en-GB" w:eastAsia="en-US"/>
    </w:rPr>
  </w:style>
  <w:style w:type="character" w:customStyle="1" w:styleId="SingleTxtGCar">
    <w:name w:val="_ Single Txt_G Car"/>
    <w:rsid w:val="0063376C"/>
    <w:rPr>
      <w:lang w:val="en-GB" w:eastAsia="en-US" w:bidi="ar-SA"/>
    </w:rPr>
  </w:style>
  <w:style w:type="character" w:customStyle="1" w:styleId="FootnoteTextChar">
    <w:name w:val="Footnote Text Char"/>
    <w:aliases w:val="5_G Char"/>
    <w:link w:val="FootnoteText"/>
    <w:uiPriority w:val="99"/>
    <w:rsid w:val="00CA05B1"/>
    <w:rPr>
      <w:sz w:val="18"/>
      <w:lang w:val="en-GB" w:eastAsia="en-US"/>
    </w:rPr>
  </w:style>
  <w:style w:type="paragraph" w:customStyle="1" w:styleId="Nummerierung">
    <w:name w:val="Nummerierung"/>
    <w:basedOn w:val="Normal"/>
    <w:rsid w:val="004625AC"/>
    <w:pPr>
      <w:numPr>
        <w:numId w:val="19"/>
      </w:numPr>
      <w:suppressAutoHyphens w:val="0"/>
      <w:spacing w:line="240" w:lineRule="auto"/>
    </w:pPr>
    <w:rPr>
      <w:sz w:val="24"/>
      <w:szCs w:val="24"/>
      <w:lang w:val="en-US"/>
    </w:rPr>
  </w:style>
  <w:style w:type="paragraph" w:customStyle="1" w:styleId="Default">
    <w:name w:val="Default"/>
    <w:rsid w:val="004625AC"/>
    <w:pPr>
      <w:autoSpaceDE w:val="0"/>
      <w:autoSpaceDN w:val="0"/>
      <w:adjustRightInd w:val="0"/>
    </w:pPr>
    <w:rPr>
      <w:rFonts w:eastAsiaTheme="minorHAnsi"/>
      <w:color w:val="000000"/>
      <w:sz w:val="24"/>
      <w:szCs w:val="24"/>
      <w:lang w:val="nl-NL" w:eastAsia="en-US"/>
    </w:rPr>
  </w:style>
  <w:style w:type="paragraph" w:styleId="ListParagraph">
    <w:name w:val="List Paragraph"/>
    <w:basedOn w:val="Normal"/>
    <w:uiPriority w:val="34"/>
    <w:qFormat/>
    <w:rsid w:val="00C97D2B"/>
    <w:pPr>
      <w:ind w:left="720"/>
      <w:contextualSpacing/>
    </w:pPr>
  </w:style>
  <w:style w:type="character" w:customStyle="1" w:styleId="SingleTxtGZchnZchn">
    <w:name w:val="_ Single Txt_G Zchn Zchn"/>
    <w:rsid w:val="008C3097"/>
    <w:rPr>
      <w:lang w:val="en-GB" w:eastAsia="en-US" w:bidi="ar-SA"/>
    </w:rPr>
  </w:style>
  <w:style w:type="character" w:customStyle="1" w:styleId="FooterChar">
    <w:name w:val="Footer Char"/>
    <w:aliases w:val="3_G Char"/>
    <w:basedOn w:val="DefaultParagraphFont"/>
    <w:link w:val="Footer"/>
    <w:uiPriority w:val="99"/>
    <w:rsid w:val="00150101"/>
    <w:rPr>
      <w:sz w:val="16"/>
      <w:lang w:val="en-GB" w:eastAsia="en-US"/>
    </w:rPr>
  </w:style>
  <w:style w:type="paragraph" w:customStyle="1" w:styleId="UNParagraphStyle">
    <w:name w:val="UN Paragraph Style"/>
    <w:basedOn w:val="SingleTxtG"/>
    <w:link w:val="UNParagraphStyleChar"/>
    <w:qFormat/>
    <w:rsid w:val="00D658C0"/>
    <w:pPr>
      <w:numPr>
        <w:numId w:val="22"/>
      </w:numPr>
      <w:ind w:left="1134" w:firstLine="0"/>
    </w:pPr>
    <w:rPr>
      <w:lang w:val="en-CA"/>
    </w:rPr>
  </w:style>
  <w:style w:type="character" w:customStyle="1" w:styleId="UNParagraphStyleChar">
    <w:name w:val="UN Paragraph Style Char"/>
    <w:basedOn w:val="SingleTxtGCar"/>
    <w:link w:val="UNParagraphStyle"/>
    <w:rsid w:val="00D658C0"/>
    <w:rPr>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ustomXml" Target="ink/ink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3_E.dotm" TargetMode="External"/></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12T09:46:06.254"/>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FE53-FC15-43A3-95ED-FF025031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6055</TotalTime>
  <Pages>27</Pages>
  <Words>7785</Words>
  <Characters>45942</Characters>
  <Application>Microsoft Office Word</Application>
  <DocSecurity>0</DocSecurity>
  <Lines>1301</Lines>
  <Paragraphs>701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Laurence Berthet</cp:lastModifiedBy>
  <cp:revision>280</cp:revision>
  <cp:lastPrinted>2016-08-22T08:53:00Z</cp:lastPrinted>
  <dcterms:created xsi:type="dcterms:W3CDTF">2016-01-07T11:37:00Z</dcterms:created>
  <dcterms:modified xsi:type="dcterms:W3CDTF">2016-08-22T08:53:00Z</dcterms:modified>
</cp:coreProperties>
</file>