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482AF2" w:rsidRPr="008C7134" w:rsidTr="0034591A">
        <w:trPr>
          <w:trHeight w:hRule="exact" w:val="851"/>
        </w:trPr>
        <w:tc>
          <w:tcPr>
            <w:tcW w:w="1276" w:type="dxa"/>
            <w:tcBorders>
              <w:bottom w:val="single" w:sz="4" w:space="0" w:color="auto"/>
            </w:tcBorders>
          </w:tcPr>
          <w:p w:rsidR="00482AF2" w:rsidRPr="008C7134" w:rsidRDefault="00482AF2" w:rsidP="00866D64">
            <w:pPr>
              <w:rPr>
                <w:lang w:val="fr-FR"/>
              </w:rPr>
            </w:pPr>
            <w:bookmarkStart w:id="0" w:name="_GoBack"/>
            <w:bookmarkEnd w:id="0"/>
          </w:p>
        </w:tc>
        <w:tc>
          <w:tcPr>
            <w:tcW w:w="2268" w:type="dxa"/>
            <w:tcBorders>
              <w:bottom w:val="single" w:sz="4" w:space="0" w:color="auto"/>
            </w:tcBorders>
            <w:vAlign w:val="bottom"/>
          </w:tcPr>
          <w:p w:rsidR="00482AF2" w:rsidRPr="008C7134" w:rsidRDefault="00482AF2" w:rsidP="00866D64">
            <w:pPr>
              <w:spacing w:after="80" w:line="300" w:lineRule="exact"/>
              <w:rPr>
                <w:sz w:val="28"/>
                <w:lang w:val="fr-FR"/>
              </w:rPr>
            </w:pPr>
            <w:r w:rsidRPr="008C7134">
              <w:rPr>
                <w:sz w:val="28"/>
                <w:lang w:val="fr-FR"/>
              </w:rPr>
              <w:t>Nations Unies</w:t>
            </w:r>
          </w:p>
        </w:tc>
        <w:tc>
          <w:tcPr>
            <w:tcW w:w="6095" w:type="dxa"/>
            <w:gridSpan w:val="2"/>
            <w:tcBorders>
              <w:bottom w:val="single" w:sz="4" w:space="0" w:color="auto"/>
            </w:tcBorders>
            <w:vAlign w:val="bottom"/>
          </w:tcPr>
          <w:p w:rsidR="00482AF2" w:rsidRPr="008C7134" w:rsidRDefault="00FB7D96" w:rsidP="004917B3">
            <w:pPr>
              <w:jc w:val="right"/>
              <w:rPr>
                <w:lang w:val="fr-FR"/>
              </w:rPr>
            </w:pPr>
            <w:r w:rsidRPr="008C7134">
              <w:rPr>
                <w:sz w:val="40"/>
                <w:lang w:val="fr-FR"/>
              </w:rPr>
              <w:t>ST</w:t>
            </w:r>
            <w:r w:rsidRPr="008C7134">
              <w:rPr>
                <w:lang w:val="fr-FR"/>
              </w:rPr>
              <w:t>/SG/AC.10/C.3/100/Add.1</w:t>
            </w:r>
          </w:p>
        </w:tc>
      </w:tr>
      <w:tr w:rsidR="00482AF2" w:rsidRPr="008C7134" w:rsidTr="00866D64">
        <w:trPr>
          <w:trHeight w:hRule="exact" w:val="2835"/>
        </w:trPr>
        <w:tc>
          <w:tcPr>
            <w:tcW w:w="1276" w:type="dxa"/>
            <w:tcBorders>
              <w:top w:val="single" w:sz="4" w:space="0" w:color="auto"/>
              <w:bottom w:val="single" w:sz="12" w:space="0" w:color="auto"/>
            </w:tcBorders>
          </w:tcPr>
          <w:p w:rsidR="00482AF2" w:rsidRPr="008C7134" w:rsidRDefault="009B614C" w:rsidP="00866D64">
            <w:pPr>
              <w:spacing w:before="120"/>
              <w:jc w:val="center"/>
              <w:rPr>
                <w:lang w:val="fr-FR"/>
              </w:rPr>
            </w:pPr>
            <w:r w:rsidRPr="008C7134">
              <w:rPr>
                <w:noProof/>
                <w:lang w:val="en-GB" w:eastAsia="en-GB"/>
              </w:rPr>
              <w:drawing>
                <wp:inline distT="0" distB="0" distL="0" distR="0" wp14:anchorId="7E983D90" wp14:editId="317EAF81">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482AF2" w:rsidRPr="008C7134" w:rsidRDefault="00482AF2" w:rsidP="00866D64">
            <w:pPr>
              <w:spacing w:before="120" w:line="420" w:lineRule="exact"/>
              <w:rPr>
                <w:b/>
                <w:sz w:val="40"/>
                <w:szCs w:val="40"/>
                <w:lang w:val="fr-FR"/>
              </w:rPr>
            </w:pPr>
            <w:r w:rsidRPr="008C7134">
              <w:rPr>
                <w:b/>
                <w:sz w:val="40"/>
                <w:szCs w:val="40"/>
                <w:lang w:val="fr-FR"/>
              </w:rPr>
              <w:t>Secrétariat</w:t>
            </w:r>
          </w:p>
        </w:tc>
        <w:tc>
          <w:tcPr>
            <w:tcW w:w="2835" w:type="dxa"/>
            <w:tcBorders>
              <w:top w:val="single" w:sz="4" w:space="0" w:color="auto"/>
              <w:bottom w:val="single" w:sz="12" w:space="0" w:color="auto"/>
            </w:tcBorders>
          </w:tcPr>
          <w:p w:rsidR="00482AF2" w:rsidRPr="008C7134" w:rsidRDefault="00FB7D96" w:rsidP="00FB7D96">
            <w:pPr>
              <w:spacing w:before="240" w:line="240" w:lineRule="exact"/>
              <w:rPr>
                <w:lang w:val="fr-FR"/>
              </w:rPr>
            </w:pPr>
            <w:proofErr w:type="spellStart"/>
            <w:r w:rsidRPr="008C7134">
              <w:rPr>
                <w:lang w:val="fr-FR"/>
              </w:rPr>
              <w:t>Distr</w:t>
            </w:r>
            <w:proofErr w:type="spellEnd"/>
            <w:r w:rsidRPr="008C7134">
              <w:rPr>
                <w:lang w:val="fr-FR"/>
              </w:rPr>
              <w:t>. Générale</w:t>
            </w:r>
          </w:p>
          <w:p w:rsidR="00FB7D96" w:rsidRPr="008C7134" w:rsidRDefault="00B81A16" w:rsidP="00FB7D96">
            <w:pPr>
              <w:spacing w:line="240" w:lineRule="exact"/>
              <w:rPr>
                <w:lang w:val="fr-FR"/>
              </w:rPr>
            </w:pPr>
            <w:r>
              <w:rPr>
                <w:lang w:val="fr-FR"/>
              </w:rPr>
              <w:t>2 février</w:t>
            </w:r>
            <w:r w:rsidR="00FB7D96" w:rsidRPr="008C7134">
              <w:rPr>
                <w:lang w:val="fr-FR"/>
              </w:rPr>
              <w:t xml:space="preserve"> 2017</w:t>
            </w:r>
          </w:p>
          <w:p w:rsidR="00FB7D96" w:rsidRPr="008C7134" w:rsidRDefault="00604F4E" w:rsidP="00FB7D96">
            <w:pPr>
              <w:spacing w:line="240" w:lineRule="exact"/>
              <w:rPr>
                <w:lang w:val="fr-FR"/>
              </w:rPr>
            </w:pPr>
            <w:r w:rsidRPr="008C7134">
              <w:rPr>
                <w:lang w:val="fr-FR"/>
              </w:rPr>
              <w:t>Français</w:t>
            </w:r>
          </w:p>
          <w:p w:rsidR="00FB7D96" w:rsidRPr="008C7134" w:rsidRDefault="00FB7D96" w:rsidP="00FB7D96">
            <w:pPr>
              <w:spacing w:line="240" w:lineRule="exact"/>
              <w:rPr>
                <w:lang w:val="fr-FR"/>
              </w:rPr>
            </w:pPr>
            <w:r w:rsidRPr="008C7134">
              <w:rPr>
                <w:lang w:val="fr-FR"/>
              </w:rPr>
              <w:t xml:space="preserve">Original: </w:t>
            </w:r>
            <w:r w:rsidR="00604F4E" w:rsidRPr="008C7134">
              <w:rPr>
                <w:lang w:val="fr-FR"/>
              </w:rPr>
              <w:t xml:space="preserve">anglais et </w:t>
            </w:r>
            <w:r w:rsidRPr="008C7134">
              <w:rPr>
                <w:lang w:val="fr-FR"/>
              </w:rPr>
              <w:t xml:space="preserve">français </w:t>
            </w:r>
          </w:p>
        </w:tc>
      </w:tr>
    </w:tbl>
    <w:p w:rsidR="0034591A" w:rsidRPr="008C7134" w:rsidRDefault="0034591A" w:rsidP="00CA0680">
      <w:pPr>
        <w:spacing w:before="120"/>
        <w:rPr>
          <w:b/>
          <w:sz w:val="24"/>
          <w:szCs w:val="24"/>
          <w:lang w:val="fr-FR"/>
        </w:rPr>
      </w:pPr>
      <w:r w:rsidRPr="008C7134">
        <w:rPr>
          <w:b/>
          <w:sz w:val="24"/>
          <w:szCs w:val="24"/>
          <w:lang w:val="fr-FR"/>
        </w:rPr>
        <w:t>C</w:t>
      </w:r>
      <w:r w:rsidR="00CA0680" w:rsidRPr="008C7134">
        <w:rPr>
          <w:b/>
          <w:sz w:val="24"/>
          <w:szCs w:val="24"/>
          <w:lang w:val="fr-FR"/>
        </w:rPr>
        <w:t>omité d’experts du transport des marchandises dangereuses</w:t>
      </w:r>
      <w:r w:rsidR="00CA0680" w:rsidRPr="008C7134">
        <w:rPr>
          <w:b/>
          <w:sz w:val="24"/>
          <w:szCs w:val="24"/>
          <w:lang w:val="fr-FR"/>
        </w:rPr>
        <w:br/>
        <w:t>et du Système général harmonisé de classification</w:t>
      </w:r>
      <w:r w:rsidR="00CA0680" w:rsidRPr="008C7134">
        <w:rPr>
          <w:b/>
          <w:sz w:val="24"/>
          <w:szCs w:val="24"/>
          <w:lang w:val="fr-FR"/>
        </w:rPr>
        <w:br/>
        <w:t>et d’étiquetage des produits chimiques</w:t>
      </w:r>
    </w:p>
    <w:p w:rsidR="0034591A" w:rsidRPr="008C7134" w:rsidRDefault="0034591A" w:rsidP="0094723C">
      <w:pPr>
        <w:spacing w:before="120"/>
        <w:rPr>
          <w:b/>
          <w:lang w:val="fr-FR"/>
        </w:rPr>
      </w:pPr>
      <w:r w:rsidRPr="008C7134">
        <w:rPr>
          <w:b/>
          <w:lang w:val="fr-FR"/>
        </w:rPr>
        <w:t>Sous</w:t>
      </w:r>
      <w:r w:rsidR="00CA0680" w:rsidRPr="008C7134">
        <w:rPr>
          <w:b/>
          <w:lang w:val="fr-FR"/>
        </w:rPr>
        <w:t>-</w:t>
      </w:r>
      <w:r w:rsidRPr="008C7134">
        <w:rPr>
          <w:b/>
          <w:lang w:val="fr-FR"/>
        </w:rPr>
        <w:t>Comité d’experts du transport</w:t>
      </w:r>
      <w:r w:rsidR="00CA0680" w:rsidRPr="008C7134">
        <w:rPr>
          <w:b/>
          <w:lang w:val="fr-FR"/>
        </w:rPr>
        <w:t xml:space="preserve"> </w:t>
      </w:r>
      <w:r w:rsidRPr="008C7134">
        <w:rPr>
          <w:b/>
          <w:lang w:val="fr-FR"/>
        </w:rPr>
        <w:t>des marchandises dangereuses</w:t>
      </w:r>
    </w:p>
    <w:p w:rsidR="00B82ADB" w:rsidRPr="008C7134" w:rsidRDefault="00B82ADB" w:rsidP="00B82ADB">
      <w:pPr>
        <w:pStyle w:val="HChG"/>
        <w:rPr>
          <w:lang w:val="fr-FR"/>
        </w:rPr>
      </w:pPr>
      <w:r w:rsidRPr="008C7134">
        <w:rPr>
          <w:lang w:val="fr-FR"/>
        </w:rPr>
        <w:tab/>
      </w:r>
      <w:r w:rsidRPr="008C7134">
        <w:rPr>
          <w:lang w:val="fr-FR"/>
        </w:rPr>
        <w:tab/>
        <w:t xml:space="preserve">Rapport du Sous-Comité d’experts du transport </w:t>
      </w:r>
      <w:r w:rsidRPr="008C7134">
        <w:rPr>
          <w:lang w:val="fr-FR"/>
        </w:rPr>
        <w:br/>
        <w:t xml:space="preserve">des marchandises dangereuses sur sa </w:t>
      </w:r>
      <w:r w:rsidRPr="008C7134">
        <w:rPr>
          <w:lang w:val="fr-FR"/>
        </w:rPr>
        <w:br/>
        <w:t>cinquantième session</w:t>
      </w:r>
    </w:p>
    <w:p w:rsidR="00B82ADB" w:rsidRPr="008C7134" w:rsidRDefault="00B82ADB" w:rsidP="00B82ADB">
      <w:pPr>
        <w:pStyle w:val="H56G"/>
        <w:rPr>
          <w:lang w:val="fr-FR"/>
        </w:rPr>
      </w:pPr>
      <w:r w:rsidRPr="008C7134">
        <w:rPr>
          <w:lang w:val="fr-FR"/>
        </w:rPr>
        <w:tab/>
      </w:r>
      <w:r w:rsidRPr="008C7134">
        <w:rPr>
          <w:lang w:val="fr-FR"/>
        </w:rPr>
        <w:tab/>
        <w:t>tenue à Genève du 28 novembre au 6 décembre 2016</w:t>
      </w:r>
    </w:p>
    <w:p w:rsidR="00B82ADB" w:rsidRPr="008C7134" w:rsidRDefault="00B82ADB" w:rsidP="00B82ADB">
      <w:pPr>
        <w:pStyle w:val="H23G"/>
        <w:rPr>
          <w:lang w:val="fr-FR"/>
        </w:rPr>
      </w:pPr>
      <w:r w:rsidRPr="008C7134">
        <w:rPr>
          <w:lang w:val="fr-FR"/>
        </w:rPr>
        <w:tab/>
      </w:r>
      <w:r w:rsidRPr="008C7134">
        <w:rPr>
          <w:lang w:val="fr-FR"/>
        </w:rPr>
        <w:tab/>
        <w:t>Additif</w:t>
      </w:r>
    </w:p>
    <w:p w:rsidR="00B82ADB" w:rsidRPr="008C7134" w:rsidRDefault="00B82ADB" w:rsidP="00B82ADB">
      <w:pPr>
        <w:spacing w:after="120"/>
        <w:rPr>
          <w:sz w:val="28"/>
          <w:lang w:val="fr-FR"/>
        </w:rPr>
      </w:pPr>
      <w:r w:rsidRPr="008C7134">
        <w:rPr>
          <w:sz w:val="28"/>
          <w:lang w:val="fr-FR"/>
        </w:rPr>
        <w:t>Table des matières</w:t>
      </w:r>
    </w:p>
    <w:p w:rsidR="00B82ADB" w:rsidRPr="008C7134" w:rsidRDefault="00B82ADB" w:rsidP="00B82ADB">
      <w:pPr>
        <w:tabs>
          <w:tab w:val="right" w:pos="9638"/>
        </w:tabs>
        <w:spacing w:after="120"/>
        <w:ind w:left="283"/>
        <w:rPr>
          <w:sz w:val="18"/>
          <w:lang w:val="fr-FR"/>
        </w:rPr>
      </w:pPr>
      <w:r w:rsidRPr="008C7134">
        <w:rPr>
          <w:i/>
          <w:sz w:val="18"/>
          <w:lang w:val="fr-FR"/>
        </w:rPr>
        <w:tab/>
        <w:t>Page</w:t>
      </w:r>
    </w:p>
    <w:p w:rsidR="00B82ADB" w:rsidRPr="008C7134" w:rsidRDefault="00B82ADB" w:rsidP="00B82ADB">
      <w:pPr>
        <w:pStyle w:val="SingleTxtG"/>
        <w:spacing w:after="60"/>
        <w:ind w:left="0"/>
        <w:rPr>
          <w:lang w:val="fr-FR"/>
        </w:rPr>
      </w:pPr>
      <w:r w:rsidRPr="008C7134">
        <w:rPr>
          <w:lang w:val="fr-FR"/>
        </w:rPr>
        <w:t>Annexes</w:t>
      </w:r>
    </w:p>
    <w:p w:rsidR="00B82ADB" w:rsidRPr="008C7134" w:rsidRDefault="00B82ADB" w:rsidP="00EB7F21">
      <w:pPr>
        <w:pStyle w:val="SingleTxtG"/>
        <w:tabs>
          <w:tab w:val="left" w:pos="1134"/>
          <w:tab w:val="left" w:leader="dot" w:pos="7655"/>
          <w:tab w:val="right" w:pos="8930"/>
          <w:tab w:val="right" w:pos="9639"/>
        </w:tabs>
        <w:spacing w:before="120"/>
        <w:ind w:hanging="567"/>
        <w:jc w:val="left"/>
        <w:rPr>
          <w:lang w:val="fr-FR"/>
        </w:rPr>
      </w:pPr>
      <w:r w:rsidRPr="008C7134">
        <w:rPr>
          <w:lang w:val="fr-FR"/>
        </w:rPr>
        <w:t>II.</w:t>
      </w:r>
      <w:r w:rsidRPr="008C7134">
        <w:rPr>
          <w:lang w:val="fr-FR"/>
        </w:rPr>
        <w:tab/>
        <w:t xml:space="preserve">Corrections à la sixième édition révisée des Recommandations relatives au </w:t>
      </w:r>
      <w:r w:rsidRPr="008C7134">
        <w:rPr>
          <w:lang w:val="fr-FR"/>
        </w:rPr>
        <w:br/>
        <w:t>transport des marchandises dangereuses, Manuel d’épreuves et de critères (ST/SG/AC.10/11/Rev.6)</w:t>
      </w:r>
      <w:r w:rsidRPr="008C7134">
        <w:rPr>
          <w:lang w:val="fr-FR"/>
        </w:rPr>
        <w:tab/>
      </w:r>
      <w:r w:rsidRPr="008C7134">
        <w:rPr>
          <w:lang w:val="fr-FR"/>
        </w:rPr>
        <w:tab/>
      </w:r>
      <w:r w:rsidRPr="008C7134">
        <w:rPr>
          <w:lang w:val="fr-FR"/>
        </w:rPr>
        <w:tab/>
        <w:t>2</w:t>
      </w:r>
    </w:p>
    <w:p w:rsidR="00B82ADB" w:rsidRPr="008C7134" w:rsidRDefault="00B82ADB" w:rsidP="00EB7F21">
      <w:pPr>
        <w:pStyle w:val="SingleTxtG"/>
        <w:tabs>
          <w:tab w:val="left" w:pos="1134"/>
          <w:tab w:val="left" w:leader="dot" w:pos="7655"/>
          <w:tab w:val="right" w:pos="8930"/>
          <w:tab w:val="right" w:pos="9639"/>
        </w:tabs>
        <w:spacing w:before="120"/>
        <w:ind w:hanging="567"/>
        <w:jc w:val="left"/>
        <w:rPr>
          <w:lang w:val="fr-FR"/>
        </w:rPr>
      </w:pPr>
      <w:r w:rsidRPr="008C7134">
        <w:rPr>
          <w:lang w:val="fr-FR"/>
        </w:rPr>
        <w:t>III.</w:t>
      </w:r>
      <w:r w:rsidRPr="008C7134">
        <w:rPr>
          <w:lang w:val="fr-FR"/>
        </w:rPr>
        <w:tab/>
        <w:t>Amendements au</w:t>
      </w:r>
      <w:r w:rsidR="00C34528" w:rsidRPr="008C7134">
        <w:rPr>
          <w:lang w:val="fr-FR"/>
        </w:rPr>
        <w:t>x</w:t>
      </w:r>
      <w:r w:rsidRPr="008C7134">
        <w:rPr>
          <w:lang w:val="fr-FR"/>
        </w:rPr>
        <w:t xml:space="preserve"> principes directeurs</w:t>
      </w:r>
      <w:r w:rsidR="008B66E8" w:rsidRPr="008C7134">
        <w:rPr>
          <w:lang w:val="fr-FR"/>
        </w:rPr>
        <w:t xml:space="preserve"> à appliquer </w:t>
      </w:r>
      <w:r w:rsidR="007677F4" w:rsidRPr="008C7134">
        <w:rPr>
          <w:lang w:val="fr-FR"/>
        </w:rPr>
        <w:t xml:space="preserve">pour le développement </w:t>
      </w:r>
      <w:r w:rsidR="007677F4" w:rsidRPr="008C7134">
        <w:rPr>
          <w:lang w:val="fr-FR"/>
        </w:rPr>
        <w:br/>
        <w:t>du Règlement type</w:t>
      </w:r>
      <w:r w:rsidRPr="008C7134">
        <w:rPr>
          <w:lang w:val="fr-FR"/>
        </w:rPr>
        <w:tab/>
      </w:r>
      <w:r w:rsidRPr="008C7134">
        <w:rPr>
          <w:lang w:val="fr-FR"/>
        </w:rPr>
        <w:tab/>
      </w:r>
      <w:r w:rsidRPr="008C7134">
        <w:rPr>
          <w:lang w:val="fr-FR"/>
        </w:rPr>
        <w:tab/>
        <w:t>6</w:t>
      </w:r>
    </w:p>
    <w:p w:rsidR="00B82ADB" w:rsidRPr="008C7134" w:rsidRDefault="00B82ADB" w:rsidP="00B82ADB">
      <w:pPr>
        <w:pStyle w:val="SingleTxtG"/>
        <w:tabs>
          <w:tab w:val="left" w:pos="1134"/>
          <w:tab w:val="left" w:leader="dot" w:pos="7655"/>
          <w:tab w:val="right" w:pos="8930"/>
          <w:tab w:val="right" w:pos="9639"/>
        </w:tabs>
        <w:spacing w:after="60"/>
        <w:ind w:hanging="567"/>
        <w:jc w:val="left"/>
        <w:rPr>
          <w:lang w:val="fr-FR"/>
        </w:rPr>
      </w:pPr>
      <w:r w:rsidRPr="008C7134">
        <w:rPr>
          <w:lang w:val="fr-FR"/>
        </w:rPr>
        <w:t>IV.</w:t>
      </w:r>
      <w:r w:rsidRPr="008C7134">
        <w:rPr>
          <w:lang w:val="fr-FR"/>
        </w:rPr>
        <w:tab/>
        <w:t xml:space="preserve">Corrections à la dix-neuvième édition révisée des Recommandations </w:t>
      </w:r>
      <w:r w:rsidRPr="008C7134">
        <w:rPr>
          <w:lang w:val="fr-FR"/>
        </w:rPr>
        <w:br/>
        <w:t>relatives au transport des marchandises dangereuses, Règlement type (ST/SG/AC.10/1/Rev.19)</w:t>
      </w:r>
      <w:r w:rsidRPr="008C7134">
        <w:rPr>
          <w:lang w:val="fr-FR"/>
        </w:rPr>
        <w:tab/>
      </w:r>
      <w:r w:rsidRPr="008C7134">
        <w:rPr>
          <w:lang w:val="fr-FR"/>
        </w:rPr>
        <w:tab/>
      </w:r>
      <w:r w:rsidRPr="008C7134">
        <w:rPr>
          <w:lang w:val="fr-FR"/>
        </w:rPr>
        <w:tab/>
      </w:r>
      <w:r w:rsidR="00D32E7E">
        <w:rPr>
          <w:lang w:val="fr-FR"/>
        </w:rPr>
        <w:t>9</w:t>
      </w:r>
    </w:p>
    <w:p w:rsidR="00B82ADB" w:rsidRPr="008C7134" w:rsidRDefault="00B82ADB" w:rsidP="0094723C">
      <w:pPr>
        <w:spacing w:before="120"/>
        <w:rPr>
          <w:b/>
          <w:lang w:val="fr-FR"/>
        </w:rPr>
      </w:pPr>
    </w:p>
    <w:p w:rsidR="00CA0680" w:rsidRPr="008C7134" w:rsidRDefault="00CA0680" w:rsidP="0034591A">
      <w:pPr>
        <w:rPr>
          <w:b/>
          <w:lang w:val="fr-FR"/>
        </w:rPr>
      </w:pPr>
    </w:p>
    <w:p w:rsidR="00FB7D96" w:rsidRPr="008C7134" w:rsidRDefault="00FB7D96">
      <w:pPr>
        <w:suppressAutoHyphens w:val="0"/>
        <w:spacing w:line="240" w:lineRule="auto"/>
        <w:rPr>
          <w:lang w:val="fr-FR"/>
        </w:rPr>
      </w:pPr>
      <w:r w:rsidRPr="008C7134">
        <w:rPr>
          <w:lang w:val="fr-FR"/>
        </w:rPr>
        <w:br w:type="page"/>
      </w:r>
    </w:p>
    <w:p w:rsidR="00390DDB" w:rsidRPr="008C7134" w:rsidRDefault="00390DDB" w:rsidP="00390DDB">
      <w:pPr>
        <w:pStyle w:val="HChG"/>
        <w:rPr>
          <w:lang w:val="fr-FR"/>
        </w:rPr>
      </w:pPr>
      <w:r w:rsidRPr="008C7134">
        <w:rPr>
          <w:lang w:val="fr-FR"/>
        </w:rPr>
        <w:lastRenderedPageBreak/>
        <w:t>Annexe I</w:t>
      </w:r>
      <w:r w:rsidR="00C34528" w:rsidRPr="008C7134">
        <w:rPr>
          <w:lang w:val="fr-FR"/>
        </w:rPr>
        <w:t>I</w:t>
      </w:r>
    </w:p>
    <w:p w:rsidR="00390DDB" w:rsidRPr="008C7134" w:rsidRDefault="00390DDB" w:rsidP="00390DDB">
      <w:pPr>
        <w:pStyle w:val="H1G"/>
        <w:rPr>
          <w:lang w:val="fr-FR"/>
        </w:rPr>
      </w:pPr>
      <w:r w:rsidRPr="008C7134">
        <w:rPr>
          <w:lang w:val="fr-FR"/>
        </w:rPr>
        <w:tab/>
      </w:r>
      <w:r w:rsidRPr="008C7134">
        <w:rPr>
          <w:lang w:val="fr-FR"/>
        </w:rPr>
        <w:tab/>
        <w:t>Corrections à la sixième édition révisée des Recommandations relatives au transport des marchandises dangereuses, Manuel d’épreuves et de critères (ST/SG/AC.10/11/Rev.6)</w:t>
      </w:r>
    </w:p>
    <w:p w:rsidR="00C6589F" w:rsidRPr="008C7134" w:rsidRDefault="00C6589F" w:rsidP="00C6589F">
      <w:pPr>
        <w:pStyle w:val="H23G"/>
        <w:rPr>
          <w:lang w:val="fr-FR"/>
        </w:rPr>
      </w:pPr>
      <w:r w:rsidRPr="008C7134">
        <w:rPr>
          <w:lang w:val="fr-FR"/>
        </w:rPr>
        <w:tab/>
        <w:t>1.</w:t>
      </w:r>
      <w:r w:rsidRPr="008C7134">
        <w:rPr>
          <w:lang w:val="fr-FR"/>
        </w:rPr>
        <w:tab/>
        <w:t xml:space="preserve">Section 1, Tableau 1.2, </w:t>
      </w:r>
      <w:r w:rsidR="00915B41" w:rsidRPr="008C7134">
        <w:rPr>
          <w:lang w:val="fr-FR"/>
        </w:rPr>
        <w:t>pour la série</w:t>
      </w:r>
      <w:r w:rsidRPr="008C7134">
        <w:rPr>
          <w:lang w:val="fr-FR"/>
        </w:rPr>
        <w:t xml:space="preserve"> 3, </w:t>
      </w:r>
      <w:r w:rsidR="00915B41" w:rsidRPr="008C7134">
        <w:rPr>
          <w:lang w:val="fr-FR"/>
        </w:rPr>
        <w:t>sous «Code»</w:t>
      </w:r>
    </w:p>
    <w:p w:rsidR="00C6589F" w:rsidRPr="008C7134" w:rsidRDefault="00915B41" w:rsidP="00C6589F">
      <w:pPr>
        <w:pStyle w:val="SingleTxtG"/>
        <w:rPr>
          <w:lang w:val="fr-FR"/>
        </w:rPr>
      </w:pPr>
      <w:r w:rsidRPr="008C7134">
        <w:rPr>
          <w:i/>
          <w:lang w:val="fr-FR"/>
        </w:rPr>
        <w:t>Au lieu de</w:t>
      </w:r>
      <w:r w:rsidRPr="008C7134">
        <w:rPr>
          <w:lang w:val="fr-FR"/>
        </w:rPr>
        <w:t xml:space="preserve"> 3 </w:t>
      </w:r>
      <w:r w:rsidR="00C6589F" w:rsidRPr="008C7134">
        <w:rPr>
          <w:lang w:val="fr-FR"/>
        </w:rPr>
        <w:t xml:space="preserve">c) </w:t>
      </w:r>
      <w:r w:rsidRPr="008C7134">
        <w:rPr>
          <w:i/>
          <w:lang w:val="fr-FR"/>
        </w:rPr>
        <w:t>lire</w:t>
      </w:r>
      <w:r w:rsidRPr="008C7134">
        <w:rPr>
          <w:lang w:val="fr-FR"/>
        </w:rPr>
        <w:t xml:space="preserve"> 3 c)</w:t>
      </w:r>
      <w:r w:rsidR="004A7A09" w:rsidRPr="008C7134">
        <w:rPr>
          <w:lang w:val="fr-FR"/>
        </w:rPr>
        <w:t xml:space="preserve"> </w:t>
      </w:r>
      <w:r w:rsidR="00C6589F" w:rsidRPr="008C7134">
        <w:rPr>
          <w:lang w:val="fr-FR"/>
        </w:rPr>
        <w:t>i)</w:t>
      </w:r>
    </w:p>
    <w:p w:rsidR="00C6589F" w:rsidRPr="008C7134" w:rsidRDefault="00C6589F" w:rsidP="00C6589F">
      <w:pPr>
        <w:pStyle w:val="SingleTxtG"/>
        <w:rPr>
          <w:i/>
          <w:iCs/>
          <w:lang w:val="fr-FR"/>
        </w:rPr>
      </w:pPr>
      <w:r w:rsidRPr="008C7134">
        <w:rPr>
          <w:i/>
          <w:lang w:val="fr-FR"/>
        </w:rPr>
        <w:t xml:space="preserve">(Document de référence: document informel </w:t>
      </w:r>
      <w:r w:rsidRPr="008C7134">
        <w:rPr>
          <w:i/>
          <w:iCs/>
          <w:lang w:val="fr-FR"/>
        </w:rPr>
        <w:t>INF.36)</w:t>
      </w:r>
    </w:p>
    <w:p w:rsidR="004A7A09" w:rsidRPr="008C7134" w:rsidRDefault="004A7A09" w:rsidP="004A7A09">
      <w:pPr>
        <w:pStyle w:val="H23G"/>
        <w:rPr>
          <w:lang w:val="fr-FR"/>
        </w:rPr>
      </w:pPr>
      <w:r w:rsidRPr="008C7134">
        <w:rPr>
          <w:lang w:val="fr-FR"/>
        </w:rPr>
        <w:tab/>
        <w:t>2.</w:t>
      </w:r>
      <w:r w:rsidRPr="008C7134">
        <w:rPr>
          <w:lang w:val="fr-FR"/>
        </w:rPr>
        <w:tab/>
        <w:t xml:space="preserve">Table des matières de la première partie </w:t>
      </w:r>
    </w:p>
    <w:p w:rsidR="00C816E0" w:rsidRPr="008C7134" w:rsidRDefault="00C816E0" w:rsidP="00C816E0">
      <w:pPr>
        <w:pStyle w:val="SingleTxtG"/>
        <w:rPr>
          <w:lang w:val="fr-FR"/>
        </w:rPr>
      </w:pPr>
      <w:r w:rsidRPr="008C7134">
        <w:rPr>
          <w:lang w:val="fr-FR"/>
        </w:rPr>
        <w:t>Sans objet en français.</w:t>
      </w:r>
    </w:p>
    <w:p w:rsidR="00F60AD8" w:rsidRPr="008C7134" w:rsidRDefault="00F60AD8" w:rsidP="00F60AD8">
      <w:pPr>
        <w:pStyle w:val="SingleTxtG"/>
        <w:rPr>
          <w:i/>
          <w:iCs/>
          <w:lang w:val="fr-FR"/>
        </w:rPr>
      </w:pPr>
      <w:r w:rsidRPr="008C7134">
        <w:rPr>
          <w:i/>
          <w:lang w:val="fr-FR"/>
        </w:rPr>
        <w:t xml:space="preserve">(Document de référence: document informel </w:t>
      </w:r>
      <w:r w:rsidRPr="008C7134">
        <w:rPr>
          <w:i/>
          <w:iCs/>
          <w:lang w:val="fr-FR"/>
        </w:rPr>
        <w:t>INF.36)</w:t>
      </w:r>
    </w:p>
    <w:p w:rsidR="00F60AD8" w:rsidRPr="008C7134" w:rsidRDefault="00F60AD8" w:rsidP="00F60AD8">
      <w:pPr>
        <w:pStyle w:val="H23G"/>
        <w:rPr>
          <w:lang w:val="fr-FR"/>
        </w:rPr>
      </w:pPr>
      <w:r w:rsidRPr="008C7134">
        <w:rPr>
          <w:lang w:val="fr-FR"/>
        </w:rPr>
        <w:tab/>
        <w:t>3.</w:t>
      </w:r>
      <w:r w:rsidRPr="008C7134">
        <w:rPr>
          <w:lang w:val="fr-FR"/>
        </w:rPr>
        <w:tab/>
        <w:t xml:space="preserve">Section 10, figure 10.3 </w:t>
      </w:r>
    </w:p>
    <w:p w:rsidR="00F60AD8" w:rsidRPr="008C7134" w:rsidRDefault="00F60AD8" w:rsidP="00F60AD8">
      <w:pPr>
        <w:pStyle w:val="SingleTxtG"/>
        <w:rPr>
          <w:lang w:val="fr-FR"/>
        </w:rPr>
      </w:pPr>
      <w:r w:rsidRPr="008C7134">
        <w:rPr>
          <w:lang w:val="fr-FR"/>
        </w:rPr>
        <w:t xml:space="preserve">Remplacer la ligne menant à la </w:t>
      </w:r>
      <w:r w:rsidR="002E71C6" w:rsidRPr="008C7134">
        <w:rPr>
          <w:lang w:val="fr-FR"/>
        </w:rPr>
        <w:t>case</w:t>
      </w:r>
      <w:r w:rsidRPr="008C7134">
        <w:rPr>
          <w:lang w:val="fr-FR"/>
        </w:rPr>
        <w:t xml:space="preserve"> 19 par une flèche vers le bas.</w:t>
      </w:r>
    </w:p>
    <w:p w:rsidR="00F60AD8" w:rsidRPr="008C7134" w:rsidRDefault="00F60AD8" w:rsidP="00F60AD8">
      <w:pPr>
        <w:pStyle w:val="SingleTxtG"/>
        <w:rPr>
          <w:i/>
          <w:iCs/>
          <w:lang w:val="fr-FR"/>
        </w:rPr>
      </w:pPr>
      <w:r w:rsidRPr="008C7134">
        <w:rPr>
          <w:i/>
          <w:lang w:val="fr-FR"/>
        </w:rPr>
        <w:t xml:space="preserve">(Document de référence: document informel </w:t>
      </w:r>
      <w:r w:rsidRPr="008C7134">
        <w:rPr>
          <w:i/>
          <w:iCs/>
          <w:lang w:val="fr-FR"/>
        </w:rPr>
        <w:t>INF.36)</w:t>
      </w:r>
    </w:p>
    <w:p w:rsidR="00937E6A" w:rsidRPr="008C7134" w:rsidRDefault="00937E6A" w:rsidP="00937E6A">
      <w:pPr>
        <w:pStyle w:val="H23G"/>
        <w:rPr>
          <w:lang w:val="fr-FR"/>
        </w:rPr>
      </w:pPr>
      <w:r w:rsidRPr="008C7134">
        <w:rPr>
          <w:lang w:val="fr-FR"/>
        </w:rPr>
        <w:tab/>
        <w:t>4.</w:t>
      </w:r>
      <w:r w:rsidRPr="008C7134">
        <w:rPr>
          <w:lang w:val="fr-FR"/>
        </w:rPr>
        <w:tab/>
        <w:t xml:space="preserve">Section 10, figure 10.8, </w:t>
      </w:r>
      <w:r w:rsidR="002E71C6" w:rsidRPr="008C7134">
        <w:rPr>
          <w:lang w:val="fr-FR"/>
        </w:rPr>
        <w:t>point</w:t>
      </w:r>
      <w:r w:rsidRPr="008C7134">
        <w:rPr>
          <w:lang w:val="fr-FR"/>
        </w:rPr>
        <w:t xml:space="preserve"> 6 (</w:t>
      </w:r>
      <w:r w:rsidR="002E71C6" w:rsidRPr="008C7134">
        <w:rPr>
          <w:lang w:val="fr-FR"/>
        </w:rPr>
        <w:t>case</w:t>
      </w:r>
      <w:r w:rsidRPr="008C7134">
        <w:rPr>
          <w:lang w:val="fr-FR"/>
        </w:rPr>
        <w:t xml:space="preserve"> 32)</w:t>
      </w:r>
      <w:r w:rsidRPr="008C7134">
        <w:rPr>
          <w:lang w:val="fr-FR"/>
        </w:rPr>
        <w:tab/>
      </w:r>
    </w:p>
    <w:p w:rsidR="00937E6A" w:rsidRPr="008C7134" w:rsidRDefault="002E71C6" w:rsidP="002E71C6">
      <w:pPr>
        <w:pStyle w:val="SingleTxtG"/>
        <w:rPr>
          <w:lang w:val="fr-FR"/>
        </w:rPr>
      </w:pPr>
      <w:r w:rsidRPr="008C7134">
        <w:rPr>
          <w:i/>
          <w:lang w:val="fr-FR"/>
        </w:rPr>
        <w:t>Au lieu de</w:t>
      </w:r>
      <w:r w:rsidR="00937E6A" w:rsidRPr="008C7134">
        <w:rPr>
          <w:lang w:val="fr-FR"/>
        </w:rPr>
        <w:t xml:space="preserve"> </w:t>
      </w:r>
      <w:r w:rsidRPr="008C7134">
        <w:rPr>
          <w:lang w:val="fr-FR"/>
        </w:rPr>
        <w:t>Existe-t-il néanmoins un léger risque en cas d'inflammation ou d'amorçage?</w:t>
      </w:r>
    </w:p>
    <w:p w:rsidR="00937E6A" w:rsidRPr="008C7134" w:rsidRDefault="002E71C6" w:rsidP="00937E6A">
      <w:pPr>
        <w:pStyle w:val="SingleTxtG"/>
        <w:rPr>
          <w:lang w:val="fr-FR"/>
        </w:rPr>
      </w:pPr>
      <w:r w:rsidRPr="008C7134">
        <w:rPr>
          <w:i/>
          <w:lang w:val="fr-FR"/>
        </w:rPr>
        <w:t>lire</w:t>
      </w:r>
      <w:r w:rsidR="00937E6A" w:rsidRPr="008C7134">
        <w:rPr>
          <w:lang w:val="fr-FR"/>
        </w:rPr>
        <w:t xml:space="preserve"> Ce danger pourrait-il rendre difficile la lutte contre l’incendie au voisinage immédiat?</w:t>
      </w:r>
    </w:p>
    <w:p w:rsidR="007D64AA" w:rsidRPr="008C7134" w:rsidRDefault="007D64AA" w:rsidP="007D64AA">
      <w:pPr>
        <w:pStyle w:val="SingleTxtG"/>
        <w:rPr>
          <w:i/>
          <w:iCs/>
          <w:lang w:val="fr-FR"/>
        </w:rPr>
      </w:pPr>
      <w:r w:rsidRPr="008C7134">
        <w:rPr>
          <w:i/>
          <w:lang w:val="fr-FR"/>
        </w:rPr>
        <w:t xml:space="preserve">(Document de référence: document informel </w:t>
      </w:r>
      <w:r w:rsidRPr="008C7134">
        <w:rPr>
          <w:i/>
          <w:iCs/>
          <w:lang w:val="fr-FR"/>
        </w:rPr>
        <w:t>INF.36)</w:t>
      </w:r>
    </w:p>
    <w:p w:rsidR="00390DDB" w:rsidRPr="008C7134" w:rsidRDefault="00A4581E" w:rsidP="00A4581E">
      <w:pPr>
        <w:pStyle w:val="H23G"/>
        <w:rPr>
          <w:lang w:val="fr-FR"/>
        </w:rPr>
      </w:pPr>
      <w:r w:rsidRPr="008C7134">
        <w:rPr>
          <w:lang w:val="fr-FR"/>
        </w:rPr>
        <w:tab/>
      </w:r>
      <w:r w:rsidR="007D64AA" w:rsidRPr="008C7134">
        <w:rPr>
          <w:lang w:val="fr-FR"/>
        </w:rPr>
        <w:t>5.</w:t>
      </w:r>
      <w:r w:rsidR="007D64AA" w:rsidRPr="008C7134">
        <w:rPr>
          <w:lang w:val="fr-FR"/>
        </w:rPr>
        <w:tab/>
      </w:r>
      <w:r w:rsidR="00390DDB" w:rsidRPr="008C7134">
        <w:rPr>
          <w:lang w:val="fr-FR"/>
        </w:rPr>
        <w:t>Section 11</w:t>
      </w:r>
      <w:r w:rsidR="005C64B6" w:rsidRPr="008C7134">
        <w:rPr>
          <w:lang w:val="fr-FR"/>
        </w:rPr>
        <w:t>, 11.5.1.2.2, quatrième phrase</w:t>
      </w:r>
    </w:p>
    <w:p w:rsidR="00390DDB" w:rsidRPr="008C7134" w:rsidRDefault="005C64B6" w:rsidP="00390DDB">
      <w:pPr>
        <w:pStyle w:val="SingleTxtG"/>
        <w:rPr>
          <w:lang w:val="fr-FR"/>
        </w:rPr>
      </w:pPr>
      <w:r w:rsidRPr="008C7134">
        <w:rPr>
          <w:i/>
          <w:lang w:val="fr-FR"/>
        </w:rPr>
        <w:t>Substituer</w:t>
      </w:r>
      <w:r w:rsidRPr="008C7134">
        <w:rPr>
          <w:lang w:val="fr-FR"/>
        </w:rPr>
        <w:t xml:space="preserve"> au texte existant</w:t>
      </w:r>
    </w:p>
    <w:p w:rsidR="00390DDB" w:rsidRPr="008C7134" w:rsidRDefault="00390DDB" w:rsidP="00390DDB">
      <w:pPr>
        <w:pStyle w:val="SingleTxtG"/>
        <w:spacing w:after="100" w:line="200" w:lineRule="atLeast"/>
        <w:rPr>
          <w:lang w:val="fr-FR"/>
        </w:rPr>
      </w:pPr>
      <w:r w:rsidRPr="008C7134">
        <w:rPr>
          <w:lang w:val="fr-FR"/>
        </w:rPr>
        <w:t>Celle-ci consiste à chauffer une douille (munie d’un disque à lumière de 1,5 mm) contenant 27 cm</w:t>
      </w:r>
      <w:r w:rsidRPr="008C7134">
        <w:rPr>
          <w:vertAlign w:val="superscript"/>
          <w:lang w:val="fr-FR"/>
        </w:rPr>
        <w:t xml:space="preserve">3 </w:t>
      </w:r>
      <w:r w:rsidR="00D470E4" w:rsidRPr="008C7134">
        <w:rPr>
          <w:lang w:val="fr-FR"/>
        </w:rPr>
        <w:t xml:space="preserve">de </w:t>
      </w:r>
      <w:proofErr w:type="spellStart"/>
      <w:r w:rsidR="00D470E4" w:rsidRPr="008C7134">
        <w:rPr>
          <w:lang w:val="fr-FR"/>
        </w:rPr>
        <w:t>phtalate</w:t>
      </w:r>
      <w:proofErr w:type="spellEnd"/>
      <w:r w:rsidR="00D470E4" w:rsidRPr="008C7134">
        <w:rPr>
          <w:lang w:val="fr-FR"/>
        </w:rPr>
        <w:t xml:space="preserve"> de </w:t>
      </w:r>
      <w:proofErr w:type="spellStart"/>
      <w:r w:rsidR="00D470E4" w:rsidRPr="008C7134">
        <w:rPr>
          <w:lang w:val="fr-FR"/>
        </w:rPr>
        <w:t>dibutyle</w:t>
      </w:r>
      <w:proofErr w:type="spellEnd"/>
      <w:r w:rsidR="00D470E4" w:rsidRPr="008C7134">
        <w:rPr>
          <w:lang w:val="fr-FR"/>
        </w:rPr>
        <w:t xml:space="preserve"> ou </w:t>
      </w:r>
      <w:r w:rsidRPr="008C7134">
        <w:rPr>
          <w:lang w:val="fr-FR"/>
        </w:rPr>
        <w:t xml:space="preserve">d’huile silicone, de densité apparente égale à 0,96 </w:t>
      </w:r>
      <w:r w:rsidRPr="008C7134">
        <w:rPr>
          <w:sz w:val="18"/>
          <w:szCs w:val="18"/>
          <w:lang w:val="fr-FR"/>
        </w:rPr>
        <w:sym w:font="Symbol" w:char="F0B1"/>
      </w:r>
      <w:r w:rsidRPr="008C7134">
        <w:rPr>
          <w:lang w:val="fr-FR"/>
        </w:rPr>
        <w:t xml:space="preserve"> 0,02 à 20</w:t>
      </w:r>
      <w:r w:rsidR="00D470E4" w:rsidRPr="008C7134">
        <w:rPr>
          <w:lang w:val="fr-FR"/>
        </w:rPr>
        <w:t> </w:t>
      </w:r>
      <w:r w:rsidRPr="008C7134">
        <w:rPr>
          <w:lang w:val="fr-FR"/>
        </w:rPr>
        <w:t xml:space="preserve">°C et de capacité thermique égale à 1,46 </w:t>
      </w:r>
      <w:r w:rsidRPr="008C7134">
        <w:rPr>
          <w:sz w:val="18"/>
          <w:szCs w:val="18"/>
          <w:lang w:val="fr-FR"/>
        </w:rPr>
        <w:sym w:font="Symbol" w:char="F0B1"/>
      </w:r>
      <w:r w:rsidRPr="008C7134">
        <w:rPr>
          <w:sz w:val="18"/>
          <w:szCs w:val="18"/>
          <w:lang w:val="fr-FR"/>
        </w:rPr>
        <w:t xml:space="preserve"> </w:t>
      </w:r>
      <w:r w:rsidRPr="008C7134">
        <w:rPr>
          <w:lang w:val="fr-FR"/>
        </w:rPr>
        <w:t xml:space="preserve"> 0,02 J/</w:t>
      </w:r>
      <w:proofErr w:type="spellStart"/>
      <w:r w:rsidRPr="008C7134">
        <w:rPr>
          <w:lang w:val="fr-FR"/>
        </w:rPr>
        <w:t>g.K</w:t>
      </w:r>
      <w:proofErr w:type="spellEnd"/>
      <w:r w:rsidRPr="008C7134">
        <w:rPr>
          <w:lang w:val="fr-FR"/>
        </w:rPr>
        <w:t xml:space="preserve"> à 25</w:t>
      </w:r>
      <w:r w:rsidR="00D470E4" w:rsidRPr="008C7134">
        <w:rPr>
          <w:lang w:val="fr-FR"/>
        </w:rPr>
        <w:t> </w:t>
      </w:r>
      <w:r w:rsidRPr="008C7134">
        <w:rPr>
          <w:lang w:val="fr-FR"/>
        </w:rPr>
        <w:t>°C</w:t>
      </w:r>
      <w:r w:rsidR="005C64B6" w:rsidRPr="008C7134">
        <w:rPr>
          <w:lang w:val="fr-FR"/>
        </w:rPr>
        <w:t>.</w:t>
      </w:r>
    </w:p>
    <w:p w:rsidR="00390DDB" w:rsidRPr="008C7134" w:rsidRDefault="00D470E4" w:rsidP="00390DDB">
      <w:pPr>
        <w:pStyle w:val="SingleTxtG"/>
        <w:rPr>
          <w:i/>
          <w:lang w:val="fr-FR"/>
        </w:rPr>
      </w:pPr>
      <w:r w:rsidRPr="008C7134">
        <w:rPr>
          <w:i/>
          <w:lang w:val="fr-FR"/>
        </w:rPr>
        <w:t>(</w:t>
      </w:r>
      <w:r w:rsidR="005C64B6" w:rsidRPr="008C7134">
        <w:rPr>
          <w:i/>
          <w:lang w:val="fr-FR"/>
        </w:rPr>
        <w:t>Document de référence</w:t>
      </w:r>
      <w:r w:rsidR="00390DDB" w:rsidRPr="008C7134">
        <w:rPr>
          <w:i/>
          <w:lang w:val="fr-FR"/>
        </w:rPr>
        <w:t xml:space="preserve">: </w:t>
      </w:r>
      <w:r w:rsidR="005C64B6" w:rsidRPr="008C7134">
        <w:rPr>
          <w:i/>
          <w:lang w:val="fr-FR"/>
        </w:rPr>
        <w:t>d</w:t>
      </w:r>
      <w:r w:rsidR="00390DDB" w:rsidRPr="008C7134">
        <w:rPr>
          <w:i/>
          <w:lang w:val="fr-FR"/>
        </w:rPr>
        <w:t xml:space="preserve">ocument informel INF.59, </w:t>
      </w:r>
      <w:r w:rsidR="005C64B6" w:rsidRPr="008C7134">
        <w:rPr>
          <w:i/>
          <w:lang w:val="fr-FR"/>
        </w:rPr>
        <w:t>a</w:t>
      </w:r>
      <w:r w:rsidR="00390DDB" w:rsidRPr="008C7134">
        <w:rPr>
          <w:i/>
          <w:lang w:val="fr-FR"/>
        </w:rPr>
        <w:t>nnexe 3, amendement 1)</w:t>
      </w:r>
    </w:p>
    <w:p w:rsidR="00390DDB" w:rsidRPr="008C7134" w:rsidRDefault="006B5B3C" w:rsidP="006B5B3C">
      <w:pPr>
        <w:pStyle w:val="H23G"/>
        <w:rPr>
          <w:lang w:val="fr-FR"/>
        </w:rPr>
      </w:pPr>
      <w:r w:rsidRPr="008C7134">
        <w:rPr>
          <w:lang w:val="fr-FR"/>
        </w:rPr>
        <w:tab/>
      </w:r>
      <w:r w:rsidR="007D64AA" w:rsidRPr="008C7134">
        <w:rPr>
          <w:lang w:val="fr-FR"/>
        </w:rPr>
        <w:t>6.</w:t>
      </w:r>
      <w:r w:rsidR="007D64AA" w:rsidRPr="008C7134">
        <w:rPr>
          <w:lang w:val="fr-FR"/>
        </w:rPr>
        <w:tab/>
      </w:r>
      <w:r w:rsidR="00390DDB" w:rsidRPr="008C7134">
        <w:rPr>
          <w:lang w:val="fr-FR"/>
        </w:rPr>
        <w:t>Section 12</w:t>
      </w:r>
      <w:r w:rsidRPr="008C7134">
        <w:rPr>
          <w:lang w:val="fr-FR"/>
        </w:rPr>
        <w:t>, 12.5.1.2.2, quatrième phrase</w:t>
      </w:r>
    </w:p>
    <w:p w:rsidR="006B5B3C" w:rsidRPr="008C7134" w:rsidRDefault="006B5B3C" w:rsidP="006B5B3C">
      <w:pPr>
        <w:pStyle w:val="SingleTxtG"/>
        <w:rPr>
          <w:lang w:val="fr-FR"/>
        </w:rPr>
      </w:pPr>
      <w:r w:rsidRPr="008C7134">
        <w:rPr>
          <w:i/>
          <w:lang w:val="fr-FR"/>
        </w:rPr>
        <w:t>Substituer</w:t>
      </w:r>
      <w:r w:rsidRPr="008C7134">
        <w:rPr>
          <w:lang w:val="fr-FR"/>
        </w:rPr>
        <w:t xml:space="preserve"> au texte existant</w:t>
      </w:r>
    </w:p>
    <w:p w:rsidR="00390DDB" w:rsidRPr="008C7134" w:rsidRDefault="00390DDB" w:rsidP="00390DDB">
      <w:pPr>
        <w:pStyle w:val="SingleTxtG"/>
        <w:spacing w:after="100" w:line="200" w:lineRule="atLeast"/>
        <w:rPr>
          <w:u w:val="single"/>
          <w:lang w:val="fr-FR"/>
        </w:rPr>
      </w:pPr>
      <w:r w:rsidRPr="008C7134">
        <w:rPr>
          <w:lang w:val="fr-FR"/>
        </w:rPr>
        <w:t>Celle-ci consiste à chauffer une douille (munie d’un disque à lumière de 1,5 mm) contenant 27 cm</w:t>
      </w:r>
      <w:r w:rsidRPr="008C7134">
        <w:rPr>
          <w:vertAlign w:val="superscript"/>
          <w:lang w:val="fr-FR"/>
        </w:rPr>
        <w:t xml:space="preserve">3 </w:t>
      </w:r>
      <w:r w:rsidR="006B5B3C" w:rsidRPr="008C7134">
        <w:rPr>
          <w:lang w:val="fr-FR"/>
        </w:rPr>
        <w:t xml:space="preserve">de </w:t>
      </w:r>
      <w:proofErr w:type="spellStart"/>
      <w:r w:rsidR="006B5B3C" w:rsidRPr="008C7134">
        <w:rPr>
          <w:lang w:val="fr-FR"/>
        </w:rPr>
        <w:t>phtalate</w:t>
      </w:r>
      <w:proofErr w:type="spellEnd"/>
      <w:r w:rsidR="006B5B3C" w:rsidRPr="008C7134">
        <w:rPr>
          <w:lang w:val="fr-FR"/>
        </w:rPr>
        <w:t xml:space="preserve"> de </w:t>
      </w:r>
      <w:proofErr w:type="spellStart"/>
      <w:r w:rsidR="006B5B3C" w:rsidRPr="008C7134">
        <w:rPr>
          <w:lang w:val="fr-FR"/>
        </w:rPr>
        <w:t>dibutyle</w:t>
      </w:r>
      <w:proofErr w:type="spellEnd"/>
      <w:r w:rsidR="006B5B3C" w:rsidRPr="008C7134">
        <w:rPr>
          <w:lang w:val="fr-FR"/>
        </w:rPr>
        <w:t xml:space="preserve"> ou </w:t>
      </w:r>
      <w:r w:rsidRPr="008C7134">
        <w:rPr>
          <w:lang w:val="fr-FR"/>
        </w:rPr>
        <w:t xml:space="preserve">d’huile silicone, de densité apparente égale à 0,96 </w:t>
      </w:r>
      <w:r w:rsidRPr="008C7134">
        <w:rPr>
          <w:sz w:val="18"/>
          <w:szCs w:val="18"/>
          <w:lang w:val="fr-FR"/>
        </w:rPr>
        <w:sym w:font="Symbol" w:char="F0B1"/>
      </w:r>
      <w:r w:rsidRPr="008C7134">
        <w:rPr>
          <w:lang w:val="fr-FR"/>
        </w:rPr>
        <w:t xml:space="preserve"> 0,02 à 20</w:t>
      </w:r>
      <w:r w:rsidR="006B5B3C" w:rsidRPr="008C7134">
        <w:rPr>
          <w:lang w:val="fr-FR"/>
        </w:rPr>
        <w:t> </w:t>
      </w:r>
      <w:r w:rsidRPr="008C7134">
        <w:rPr>
          <w:lang w:val="fr-FR"/>
        </w:rPr>
        <w:t xml:space="preserve">°C et de capacité thermique égale à 1,46 </w:t>
      </w:r>
      <w:r w:rsidRPr="008C7134">
        <w:rPr>
          <w:sz w:val="18"/>
          <w:szCs w:val="18"/>
          <w:lang w:val="fr-FR"/>
        </w:rPr>
        <w:sym w:font="Symbol" w:char="F0B1"/>
      </w:r>
      <w:r w:rsidRPr="008C7134">
        <w:rPr>
          <w:sz w:val="18"/>
          <w:szCs w:val="18"/>
          <w:lang w:val="fr-FR"/>
        </w:rPr>
        <w:t xml:space="preserve"> </w:t>
      </w:r>
      <w:r w:rsidR="006B5B3C" w:rsidRPr="008C7134">
        <w:rPr>
          <w:lang w:val="fr-FR"/>
        </w:rPr>
        <w:t xml:space="preserve"> 0,02 J/</w:t>
      </w:r>
      <w:proofErr w:type="spellStart"/>
      <w:r w:rsidR="006B5B3C" w:rsidRPr="008C7134">
        <w:rPr>
          <w:lang w:val="fr-FR"/>
        </w:rPr>
        <w:t>g.K</w:t>
      </w:r>
      <w:proofErr w:type="spellEnd"/>
      <w:r w:rsidR="006B5B3C" w:rsidRPr="008C7134">
        <w:rPr>
          <w:lang w:val="fr-FR"/>
        </w:rPr>
        <w:t xml:space="preserve"> à 25 °C.</w:t>
      </w:r>
    </w:p>
    <w:p w:rsidR="00390DDB" w:rsidRPr="008C7134" w:rsidRDefault="006B5B3C" w:rsidP="00390DDB">
      <w:pPr>
        <w:pStyle w:val="SingleTxtG"/>
        <w:rPr>
          <w:i/>
          <w:lang w:val="fr-FR"/>
        </w:rPr>
      </w:pPr>
      <w:r w:rsidRPr="008C7134">
        <w:rPr>
          <w:i/>
          <w:lang w:val="fr-FR"/>
        </w:rPr>
        <w:t>(Document de référence</w:t>
      </w:r>
      <w:r w:rsidR="00390DDB" w:rsidRPr="008C7134">
        <w:rPr>
          <w:i/>
          <w:lang w:val="fr-FR"/>
        </w:rPr>
        <w:t xml:space="preserve">: </w:t>
      </w:r>
      <w:r w:rsidRPr="008C7134">
        <w:rPr>
          <w:i/>
          <w:lang w:val="fr-FR"/>
        </w:rPr>
        <w:t>d</w:t>
      </w:r>
      <w:r w:rsidR="00390DDB" w:rsidRPr="008C7134">
        <w:rPr>
          <w:i/>
          <w:lang w:val="fr-FR"/>
        </w:rPr>
        <w:t xml:space="preserve">ocument informel INF.59, </w:t>
      </w:r>
      <w:r w:rsidRPr="008C7134">
        <w:rPr>
          <w:i/>
          <w:lang w:val="fr-FR"/>
        </w:rPr>
        <w:t>a</w:t>
      </w:r>
      <w:r w:rsidR="00390DDB" w:rsidRPr="008C7134">
        <w:rPr>
          <w:i/>
          <w:lang w:val="fr-FR"/>
        </w:rPr>
        <w:t>nnexe 3, amendement 2)</w:t>
      </w:r>
    </w:p>
    <w:p w:rsidR="007D64AA" w:rsidRPr="008C7134" w:rsidRDefault="007D64AA" w:rsidP="007D64AA">
      <w:pPr>
        <w:pStyle w:val="H23G"/>
        <w:rPr>
          <w:lang w:val="fr-FR"/>
        </w:rPr>
      </w:pPr>
      <w:r w:rsidRPr="008C7134">
        <w:rPr>
          <w:lang w:val="fr-FR"/>
        </w:rPr>
        <w:tab/>
        <w:t>7.</w:t>
      </w:r>
      <w:r w:rsidRPr="008C7134">
        <w:rPr>
          <w:lang w:val="fr-FR"/>
        </w:rPr>
        <w:tab/>
        <w:t>Sous-section 13.4, tableau sous 13.4.6.5.2, titre de la deuxième colonne</w:t>
      </w:r>
    </w:p>
    <w:p w:rsidR="007D64AA" w:rsidRPr="008C7134" w:rsidRDefault="007D64AA" w:rsidP="007D64AA">
      <w:pPr>
        <w:pStyle w:val="SingleTxtG"/>
        <w:rPr>
          <w:lang w:val="fr-FR"/>
        </w:rPr>
      </w:pPr>
      <w:r w:rsidRPr="008C7134">
        <w:rPr>
          <w:lang w:val="fr-FR"/>
        </w:rPr>
        <w:t>Sans objet en français.</w:t>
      </w:r>
    </w:p>
    <w:p w:rsidR="007D64AA" w:rsidRPr="008C7134" w:rsidRDefault="007D64AA" w:rsidP="007D64AA">
      <w:pPr>
        <w:pStyle w:val="SingleTxtG"/>
        <w:rPr>
          <w:i/>
          <w:iCs/>
          <w:lang w:val="fr-FR"/>
        </w:rPr>
      </w:pPr>
      <w:r w:rsidRPr="008C7134">
        <w:rPr>
          <w:i/>
          <w:lang w:val="fr-FR"/>
        </w:rPr>
        <w:t xml:space="preserve">(Document de référence: document informel </w:t>
      </w:r>
      <w:r w:rsidRPr="008C7134">
        <w:rPr>
          <w:i/>
          <w:iCs/>
          <w:lang w:val="fr-FR"/>
        </w:rPr>
        <w:t>INF.36)</w:t>
      </w:r>
    </w:p>
    <w:p w:rsidR="00EB7F21" w:rsidRDefault="00EB7F21">
      <w:pPr>
        <w:suppressAutoHyphens w:val="0"/>
        <w:spacing w:line="240" w:lineRule="auto"/>
        <w:rPr>
          <w:b/>
          <w:lang w:val="fr-FR"/>
        </w:rPr>
      </w:pPr>
      <w:r>
        <w:rPr>
          <w:lang w:val="fr-FR"/>
        </w:rPr>
        <w:br w:type="page"/>
      </w:r>
    </w:p>
    <w:p w:rsidR="00225914" w:rsidRPr="008C7134" w:rsidRDefault="00225914" w:rsidP="00225914">
      <w:pPr>
        <w:pStyle w:val="H23G"/>
        <w:rPr>
          <w:lang w:val="fr-FR"/>
        </w:rPr>
      </w:pPr>
      <w:r w:rsidRPr="008C7134">
        <w:rPr>
          <w:lang w:val="fr-FR"/>
        </w:rPr>
        <w:lastRenderedPageBreak/>
        <w:tab/>
        <w:t>8.</w:t>
      </w:r>
      <w:r w:rsidRPr="008C7134">
        <w:rPr>
          <w:lang w:val="fr-FR"/>
        </w:rPr>
        <w:tab/>
        <w:t>Sous-section 13.5</w:t>
      </w:r>
    </w:p>
    <w:p w:rsidR="00225914" w:rsidRPr="008C7134" w:rsidRDefault="00225914" w:rsidP="00225914">
      <w:pPr>
        <w:pStyle w:val="SingleTxtG"/>
        <w:rPr>
          <w:lang w:val="fr-FR"/>
        </w:rPr>
      </w:pPr>
      <w:r w:rsidRPr="008C7134">
        <w:rPr>
          <w:lang w:val="fr-FR"/>
        </w:rPr>
        <w:t>Sans objet en français.</w:t>
      </w:r>
    </w:p>
    <w:p w:rsidR="00225914" w:rsidRPr="008C7134" w:rsidRDefault="00225914" w:rsidP="00225914">
      <w:pPr>
        <w:pStyle w:val="SingleTxtG"/>
        <w:rPr>
          <w:i/>
          <w:iCs/>
          <w:lang w:val="fr-FR"/>
        </w:rPr>
      </w:pPr>
      <w:r w:rsidRPr="008C7134">
        <w:rPr>
          <w:i/>
          <w:lang w:val="fr-FR"/>
        </w:rPr>
        <w:t xml:space="preserve">(Document de référence: document informel </w:t>
      </w:r>
      <w:r w:rsidRPr="008C7134">
        <w:rPr>
          <w:i/>
          <w:iCs/>
          <w:lang w:val="fr-FR"/>
        </w:rPr>
        <w:t>INF.36)</w:t>
      </w:r>
    </w:p>
    <w:p w:rsidR="00DC00BE" w:rsidRPr="008C7134" w:rsidRDefault="00DC00BE" w:rsidP="00DC00BE">
      <w:pPr>
        <w:pStyle w:val="H23G"/>
        <w:rPr>
          <w:lang w:val="fr-FR"/>
        </w:rPr>
      </w:pPr>
      <w:r w:rsidRPr="008C7134">
        <w:rPr>
          <w:lang w:val="fr-FR"/>
        </w:rPr>
        <w:tab/>
        <w:t>9.</w:t>
      </w:r>
      <w:r w:rsidRPr="008C7134">
        <w:rPr>
          <w:lang w:val="fr-FR"/>
        </w:rPr>
        <w:tab/>
        <w:t>Sous-section 13.6, 13.6.1.3.2</w:t>
      </w:r>
    </w:p>
    <w:p w:rsidR="00DC00BE" w:rsidRPr="008C7134" w:rsidRDefault="00DC00BE" w:rsidP="00DC00BE">
      <w:pPr>
        <w:pStyle w:val="SingleTxtG"/>
        <w:rPr>
          <w:lang w:val="fr-FR"/>
        </w:rPr>
      </w:pPr>
      <w:r w:rsidRPr="008C7134">
        <w:rPr>
          <w:lang w:val="fr-FR"/>
        </w:rPr>
        <w:t>Sans objet en français.</w:t>
      </w:r>
    </w:p>
    <w:p w:rsidR="00DC00BE" w:rsidRPr="008C7134" w:rsidRDefault="00DC00BE" w:rsidP="00DC00BE">
      <w:pPr>
        <w:pStyle w:val="SingleTxtG"/>
        <w:rPr>
          <w:i/>
          <w:iCs/>
          <w:lang w:val="fr-FR"/>
        </w:rPr>
      </w:pPr>
      <w:r w:rsidRPr="008C7134">
        <w:rPr>
          <w:i/>
          <w:lang w:val="fr-FR"/>
        </w:rPr>
        <w:t xml:space="preserve">(Document de référence: document informel </w:t>
      </w:r>
      <w:r w:rsidRPr="008C7134">
        <w:rPr>
          <w:i/>
          <w:iCs/>
          <w:lang w:val="fr-FR"/>
        </w:rPr>
        <w:t>INF.36)</w:t>
      </w:r>
    </w:p>
    <w:p w:rsidR="00DC00BE" w:rsidRPr="008C7134" w:rsidRDefault="00DC00BE" w:rsidP="00DC00BE">
      <w:pPr>
        <w:pStyle w:val="H23G"/>
        <w:rPr>
          <w:lang w:val="fr-FR"/>
        </w:rPr>
      </w:pPr>
      <w:r w:rsidRPr="008C7134">
        <w:rPr>
          <w:i/>
          <w:lang w:val="fr-FR"/>
        </w:rPr>
        <w:tab/>
      </w:r>
      <w:r w:rsidRPr="008C7134">
        <w:rPr>
          <w:lang w:val="fr-FR"/>
        </w:rPr>
        <w:t>10</w:t>
      </w:r>
      <w:r w:rsidRPr="008C7134">
        <w:rPr>
          <w:i/>
          <w:lang w:val="fr-FR"/>
        </w:rPr>
        <w:t>.</w:t>
      </w:r>
      <w:r w:rsidRPr="008C7134">
        <w:rPr>
          <w:i/>
          <w:lang w:val="fr-FR"/>
        </w:rPr>
        <w:tab/>
      </w:r>
      <w:r w:rsidRPr="008C7134">
        <w:rPr>
          <w:lang w:val="fr-FR"/>
        </w:rPr>
        <w:t>Sous-section 16.7, 16.7.1.4 b)</w:t>
      </w:r>
    </w:p>
    <w:p w:rsidR="00DC00BE" w:rsidRPr="008C7134" w:rsidRDefault="00DC00BE" w:rsidP="00DC00BE">
      <w:pPr>
        <w:pStyle w:val="SingleTxtG"/>
        <w:keepNext/>
        <w:keepLines/>
        <w:rPr>
          <w:lang w:val="fr-FR"/>
        </w:rPr>
      </w:pPr>
      <w:r w:rsidRPr="008C7134">
        <w:rPr>
          <w:i/>
          <w:lang w:val="fr-FR"/>
        </w:rPr>
        <w:t>Au lieu de</w:t>
      </w:r>
      <w:r w:rsidRPr="008C7134">
        <w:rPr>
          <w:lang w:val="fr-FR"/>
        </w:rPr>
        <w:t xml:space="preserve"> 80 ± 3 g/m² </w:t>
      </w:r>
      <w:r w:rsidRPr="008C7134">
        <w:rPr>
          <w:i/>
          <w:lang w:val="fr-FR"/>
        </w:rPr>
        <w:t>lire</w:t>
      </w:r>
      <w:r w:rsidRPr="008C7134">
        <w:rPr>
          <w:lang w:val="fr-FR"/>
        </w:rPr>
        <w:t xml:space="preserve"> 80 ± 10 g/m²</w:t>
      </w:r>
    </w:p>
    <w:p w:rsidR="00DC00BE" w:rsidRPr="008C7134" w:rsidRDefault="00DC00BE" w:rsidP="00DC00BE">
      <w:pPr>
        <w:pStyle w:val="SingleTxtG"/>
        <w:rPr>
          <w:i/>
          <w:iCs/>
          <w:lang w:val="fr-FR"/>
        </w:rPr>
      </w:pPr>
      <w:r w:rsidRPr="008C7134">
        <w:rPr>
          <w:i/>
          <w:lang w:val="fr-FR"/>
        </w:rPr>
        <w:t xml:space="preserve">(Document de référence: document informel </w:t>
      </w:r>
      <w:r w:rsidRPr="008C7134">
        <w:rPr>
          <w:i/>
          <w:iCs/>
          <w:lang w:val="fr-FR"/>
        </w:rPr>
        <w:t>INF.36)</w:t>
      </w:r>
    </w:p>
    <w:p w:rsidR="00DC00BE" w:rsidRPr="008C7134" w:rsidRDefault="00DC00BE" w:rsidP="00DC00BE">
      <w:pPr>
        <w:pStyle w:val="H23G"/>
        <w:rPr>
          <w:lang w:val="fr-FR"/>
        </w:rPr>
      </w:pPr>
      <w:r w:rsidRPr="008C7134">
        <w:rPr>
          <w:lang w:val="fr-FR"/>
        </w:rPr>
        <w:tab/>
        <w:t>11.</w:t>
      </w:r>
      <w:r w:rsidRPr="008C7134">
        <w:rPr>
          <w:lang w:val="fr-FR"/>
        </w:rPr>
        <w:tab/>
        <w:t>Section 17, table</w:t>
      </w:r>
      <w:r w:rsidR="006A1C49" w:rsidRPr="008C7134">
        <w:rPr>
          <w:lang w:val="fr-FR"/>
        </w:rPr>
        <w:t>au</w:t>
      </w:r>
      <w:r w:rsidRPr="008C7134">
        <w:rPr>
          <w:lang w:val="fr-FR"/>
        </w:rPr>
        <w:t xml:space="preserve"> 17.1</w:t>
      </w:r>
    </w:p>
    <w:p w:rsidR="006A1C49" w:rsidRPr="008C7134" w:rsidRDefault="006A1C49" w:rsidP="006A1C49">
      <w:pPr>
        <w:pStyle w:val="SingleTxtG"/>
        <w:rPr>
          <w:lang w:val="fr-FR"/>
        </w:rPr>
      </w:pPr>
      <w:r w:rsidRPr="008C7134">
        <w:rPr>
          <w:lang w:val="fr-FR"/>
        </w:rPr>
        <w:t>Sans objet en français.</w:t>
      </w:r>
    </w:p>
    <w:p w:rsidR="006A1C49" w:rsidRPr="008C7134" w:rsidRDefault="006A1C49" w:rsidP="006A1C49">
      <w:pPr>
        <w:pStyle w:val="SingleTxtG"/>
        <w:rPr>
          <w:i/>
          <w:iCs/>
          <w:lang w:val="fr-FR"/>
        </w:rPr>
      </w:pPr>
      <w:r w:rsidRPr="008C7134">
        <w:rPr>
          <w:i/>
          <w:lang w:val="fr-FR"/>
        </w:rPr>
        <w:t xml:space="preserve">(Document de référence: document informel </w:t>
      </w:r>
      <w:r w:rsidRPr="008C7134">
        <w:rPr>
          <w:i/>
          <w:iCs/>
          <w:lang w:val="fr-FR"/>
        </w:rPr>
        <w:t>INF.36)</w:t>
      </w:r>
    </w:p>
    <w:p w:rsidR="00DC00BE" w:rsidRPr="008C7134" w:rsidRDefault="00DC00BE" w:rsidP="00DC00BE">
      <w:pPr>
        <w:pStyle w:val="H23G"/>
        <w:rPr>
          <w:lang w:val="fr-FR"/>
        </w:rPr>
      </w:pPr>
      <w:r w:rsidRPr="008C7134">
        <w:rPr>
          <w:lang w:val="fr-FR"/>
        </w:rPr>
        <w:tab/>
        <w:t>12.</w:t>
      </w:r>
      <w:r w:rsidRPr="008C7134">
        <w:rPr>
          <w:lang w:val="fr-FR"/>
        </w:rPr>
        <w:tab/>
      </w:r>
      <w:r w:rsidR="006A1C49" w:rsidRPr="008C7134">
        <w:rPr>
          <w:lang w:val="fr-FR"/>
        </w:rPr>
        <w:t>Sous</w:t>
      </w:r>
      <w:r w:rsidRPr="008C7134">
        <w:rPr>
          <w:lang w:val="fr-FR"/>
        </w:rPr>
        <w:t>-section 18.6, 18.6.1.1</w:t>
      </w:r>
    </w:p>
    <w:p w:rsidR="00DC00BE" w:rsidRPr="008C7134" w:rsidRDefault="006A1C49" w:rsidP="00DC00BE">
      <w:pPr>
        <w:pStyle w:val="SingleTxtG"/>
        <w:rPr>
          <w:lang w:val="fr-FR"/>
        </w:rPr>
      </w:pPr>
      <w:r w:rsidRPr="008C7134">
        <w:rPr>
          <w:i/>
          <w:lang w:val="fr-FR"/>
        </w:rPr>
        <w:t xml:space="preserve">Au lieu de </w:t>
      </w:r>
      <w:r w:rsidRPr="008C7134">
        <w:rPr>
          <w:sz w:val="22"/>
          <w:szCs w:val="22"/>
          <w:lang w:val="fr-FR" w:eastAsia="en-GB"/>
        </w:rPr>
        <w:t>de servant à la fabrication d'explosifs</w:t>
      </w:r>
    </w:p>
    <w:p w:rsidR="00DC00BE" w:rsidRPr="008C7134" w:rsidRDefault="006A1C49" w:rsidP="00DC00BE">
      <w:pPr>
        <w:pStyle w:val="SingleTxtG"/>
        <w:rPr>
          <w:lang w:val="fr-FR"/>
        </w:rPr>
      </w:pPr>
      <w:r w:rsidRPr="008C7134">
        <w:rPr>
          <w:i/>
          <w:lang w:val="fr-FR"/>
        </w:rPr>
        <w:t>lire</w:t>
      </w:r>
      <w:r w:rsidR="00DC00BE" w:rsidRPr="008C7134">
        <w:rPr>
          <w:lang w:val="fr-FR"/>
        </w:rPr>
        <w:t xml:space="preserve"> </w:t>
      </w:r>
      <w:r w:rsidRPr="008C7134">
        <w:rPr>
          <w:sz w:val="22"/>
          <w:szCs w:val="22"/>
          <w:lang w:val="fr-FR" w:eastAsia="en-GB"/>
        </w:rPr>
        <w:t>servant à la fabrication d'explosifs</w:t>
      </w:r>
    </w:p>
    <w:p w:rsidR="00FA3B28" w:rsidRPr="008C7134" w:rsidRDefault="00FA3B28" w:rsidP="00FA3B28">
      <w:pPr>
        <w:pStyle w:val="SingleTxtG"/>
        <w:rPr>
          <w:i/>
          <w:iCs/>
          <w:lang w:val="fr-FR"/>
        </w:rPr>
      </w:pPr>
      <w:r w:rsidRPr="008C7134">
        <w:rPr>
          <w:i/>
          <w:lang w:val="fr-FR"/>
        </w:rPr>
        <w:t xml:space="preserve">(Document de référence: document informel </w:t>
      </w:r>
      <w:r w:rsidRPr="008C7134">
        <w:rPr>
          <w:i/>
          <w:iCs/>
          <w:lang w:val="fr-FR"/>
        </w:rPr>
        <w:t>INF.36)</w:t>
      </w:r>
    </w:p>
    <w:p w:rsidR="00390DDB" w:rsidRPr="008C7134" w:rsidRDefault="006B5B3C" w:rsidP="006B5B3C">
      <w:pPr>
        <w:pStyle w:val="H23G"/>
        <w:rPr>
          <w:lang w:val="fr-FR"/>
        </w:rPr>
      </w:pPr>
      <w:r w:rsidRPr="008C7134">
        <w:rPr>
          <w:lang w:val="fr-FR"/>
        </w:rPr>
        <w:tab/>
      </w:r>
      <w:r w:rsidR="00DC00BE" w:rsidRPr="008C7134">
        <w:rPr>
          <w:lang w:val="fr-FR"/>
        </w:rPr>
        <w:t>13.</w:t>
      </w:r>
      <w:r w:rsidR="00DC00BE" w:rsidRPr="008C7134">
        <w:rPr>
          <w:lang w:val="fr-FR"/>
        </w:rPr>
        <w:tab/>
      </w:r>
      <w:r w:rsidR="00390DDB" w:rsidRPr="008C7134">
        <w:rPr>
          <w:lang w:val="fr-FR"/>
        </w:rPr>
        <w:t>Section 18</w:t>
      </w:r>
      <w:r w:rsidRPr="008C7134">
        <w:rPr>
          <w:lang w:val="fr-FR"/>
        </w:rPr>
        <w:t>, 18.6.1.2.2, quatrième phrase</w:t>
      </w:r>
    </w:p>
    <w:p w:rsidR="006B5B3C" w:rsidRPr="008C7134" w:rsidRDefault="006B5B3C" w:rsidP="006B5B3C">
      <w:pPr>
        <w:pStyle w:val="SingleTxtG"/>
        <w:rPr>
          <w:lang w:val="fr-FR"/>
        </w:rPr>
      </w:pPr>
      <w:r w:rsidRPr="008C7134">
        <w:rPr>
          <w:i/>
          <w:lang w:val="fr-FR"/>
        </w:rPr>
        <w:t>Substituer</w:t>
      </w:r>
      <w:r w:rsidRPr="008C7134">
        <w:rPr>
          <w:lang w:val="fr-FR"/>
        </w:rPr>
        <w:t xml:space="preserve"> au texte existant</w:t>
      </w:r>
    </w:p>
    <w:p w:rsidR="00390DDB" w:rsidRPr="008C7134" w:rsidRDefault="00390DDB" w:rsidP="00390DDB">
      <w:pPr>
        <w:pStyle w:val="SingleTxtG"/>
        <w:spacing w:after="100" w:line="200" w:lineRule="atLeast"/>
        <w:rPr>
          <w:u w:val="single"/>
          <w:lang w:val="fr-FR"/>
        </w:rPr>
      </w:pPr>
      <w:r w:rsidRPr="008C7134">
        <w:rPr>
          <w:lang w:val="fr-FR"/>
        </w:rPr>
        <w:t>Celle-ci consiste à chauffer une douille (munie d’un disque à lumière de 1,5 mm) contenant 27 cm</w:t>
      </w:r>
      <w:r w:rsidRPr="008C7134">
        <w:rPr>
          <w:vertAlign w:val="superscript"/>
          <w:lang w:val="fr-FR"/>
        </w:rPr>
        <w:t xml:space="preserve">3 </w:t>
      </w:r>
      <w:r w:rsidR="006B5B3C" w:rsidRPr="008C7134">
        <w:rPr>
          <w:lang w:val="fr-FR"/>
        </w:rPr>
        <w:t xml:space="preserve">de </w:t>
      </w:r>
      <w:proofErr w:type="spellStart"/>
      <w:r w:rsidR="006B5B3C" w:rsidRPr="008C7134">
        <w:rPr>
          <w:lang w:val="fr-FR"/>
        </w:rPr>
        <w:t>phtalate</w:t>
      </w:r>
      <w:proofErr w:type="spellEnd"/>
      <w:r w:rsidR="006B5B3C" w:rsidRPr="008C7134">
        <w:rPr>
          <w:lang w:val="fr-FR"/>
        </w:rPr>
        <w:t xml:space="preserve"> de </w:t>
      </w:r>
      <w:proofErr w:type="spellStart"/>
      <w:r w:rsidR="006B5B3C" w:rsidRPr="008C7134">
        <w:rPr>
          <w:lang w:val="fr-FR"/>
        </w:rPr>
        <w:t>dibutyle</w:t>
      </w:r>
      <w:proofErr w:type="spellEnd"/>
      <w:r w:rsidR="006B5B3C" w:rsidRPr="008C7134">
        <w:rPr>
          <w:lang w:val="fr-FR"/>
        </w:rPr>
        <w:t xml:space="preserve"> ou </w:t>
      </w:r>
      <w:r w:rsidRPr="008C7134">
        <w:rPr>
          <w:lang w:val="fr-FR"/>
        </w:rPr>
        <w:t xml:space="preserve">d’huile silicone, de densité apparente égale à 0,96 </w:t>
      </w:r>
      <w:r w:rsidRPr="008C7134">
        <w:rPr>
          <w:sz w:val="18"/>
          <w:szCs w:val="18"/>
          <w:lang w:val="fr-FR"/>
        </w:rPr>
        <w:sym w:font="Symbol" w:char="F0B1"/>
      </w:r>
      <w:r w:rsidRPr="008C7134">
        <w:rPr>
          <w:lang w:val="fr-FR"/>
        </w:rPr>
        <w:t xml:space="preserve"> 0,02 à 20</w:t>
      </w:r>
      <w:r w:rsidR="006B5B3C" w:rsidRPr="008C7134">
        <w:rPr>
          <w:lang w:val="fr-FR"/>
        </w:rPr>
        <w:t> </w:t>
      </w:r>
      <w:r w:rsidRPr="008C7134">
        <w:rPr>
          <w:lang w:val="fr-FR"/>
        </w:rPr>
        <w:t xml:space="preserve">°C et de capacité thermique égale à 1,46 </w:t>
      </w:r>
      <w:r w:rsidRPr="008C7134">
        <w:rPr>
          <w:sz w:val="18"/>
          <w:szCs w:val="18"/>
          <w:lang w:val="fr-FR"/>
        </w:rPr>
        <w:sym w:font="Symbol" w:char="F0B1"/>
      </w:r>
      <w:r w:rsidRPr="008C7134">
        <w:rPr>
          <w:sz w:val="18"/>
          <w:szCs w:val="18"/>
          <w:lang w:val="fr-FR"/>
        </w:rPr>
        <w:t xml:space="preserve"> </w:t>
      </w:r>
      <w:r w:rsidRPr="008C7134">
        <w:rPr>
          <w:lang w:val="fr-FR"/>
        </w:rPr>
        <w:t xml:space="preserve"> 0,02 J/</w:t>
      </w:r>
      <w:proofErr w:type="spellStart"/>
      <w:r w:rsidRPr="008C7134">
        <w:rPr>
          <w:lang w:val="fr-FR"/>
        </w:rPr>
        <w:t>g.K</w:t>
      </w:r>
      <w:proofErr w:type="spellEnd"/>
      <w:r w:rsidRPr="008C7134">
        <w:rPr>
          <w:lang w:val="fr-FR"/>
        </w:rPr>
        <w:t xml:space="preserve"> à 25</w:t>
      </w:r>
      <w:r w:rsidR="006B5B3C" w:rsidRPr="008C7134">
        <w:rPr>
          <w:lang w:val="fr-FR"/>
        </w:rPr>
        <w:t> °C.</w:t>
      </w:r>
    </w:p>
    <w:p w:rsidR="00390DDB" w:rsidRPr="008C7134" w:rsidRDefault="006B5B3C" w:rsidP="00390DDB">
      <w:pPr>
        <w:pStyle w:val="SingleTxtG"/>
        <w:rPr>
          <w:i/>
          <w:lang w:val="fr-FR"/>
        </w:rPr>
      </w:pPr>
      <w:r w:rsidRPr="008C7134">
        <w:rPr>
          <w:i/>
          <w:lang w:val="fr-FR"/>
        </w:rPr>
        <w:t>(Document de référence</w:t>
      </w:r>
      <w:r w:rsidR="00390DDB" w:rsidRPr="008C7134">
        <w:rPr>
          <w:i/>
          <w:lang w:val="fr-FR"/>
        </w:rPr>
        <w:t xml:space="preserve">: </w:t>
      </w:r>
      <w:r w:rsidRPr="008C7134">
        <w:rPr>
          <w:i/>
          <w:lang w:val="fr-FR"/>
        </w:rPr>
        <w:t>d</w:t>
      </w:r>
      <w:r w:rsidR="00390DDB" w:rsidRPr="008C7134">
        <w:rPr>
          <w:i/>
          <w:lang w:val="fr-FR"/>
        </w:rPr>
        <w:t xml:space="preserve">ocument informel INF.59, </w:t>
      </w:r>
      <w:r w:rsidRPr="008C7134">
        <w:rPr>
          <w:i/>
          <w:lang w:val="fr-FR"/>
        </w:rPr>
        <w:t>a</w:t>
      </w:r>
      <w:r w:rsidR="00390DDB" w:rsidRPr="008C7134">
        <w:rPr>
          <w:i/>
          <w:lang w:val="fr-FR"/>
        </w:rPr>
        <w:t>nnexe 3, amendement 3)</w:t>
      </w:r>
    </w:p>
    <w:p w:rsidR="00D22423" w:rsidRPr="008C7134" w:rsidRDefault="00D22423" w:rsidP="00D22423">
      <w:pPr>
        <w:pStyle w:val="H23G"/>
        <w:rPr>
          <w:lang w:val="fr-FR"/>
        </w:rPr>
      </w:pPr>
      <w:r w:rsidRPr="008C7134">
        <w:rPr>
          <w:lang w:val="fr-FR"/>
        </w:rPr>
        <w:tab/>
        <w:t>14.</w:t>
      </w:r>
      <w:r w:rsidRPr="008C7134">
        <w:rPr>
          <w:lang w:val="fr-FR"/>
        </w:rPr>
        <w:tab/>
        <w:t>Section 18, 18.6.1.2.3</w:t>
      </w:r>
    </w:p>
    <w:p w:rsidR="00D22423" w:rsidRPr="008C7134" w:rsidRDefault="00D22423" w:rsidP="00D22423">
      <w:pPr>
        <w:pStyle w:val="SingleTxtG"/>
        <w:rPr>
          <w:lang w:val="fr-FR"/>
        </w:rPr>
      </w:pPr>
      <w:r w:rsidRPr="008C7134">
        <w:rPr>
          <w:lang w:val="fr-FR"/>
        </w:rPr>
        <w:t>Sans objet en français.</w:t>
      </w:r>
    </w:p>
    <w:p w:rsidR="00D22423" w:rsidRPr="008C7134" w:rsidRDefault="00D22423" w:rsidP="00D22423">
      <w:pPr>
        <w:pStyle w:val="SingleTxtG"/>
        <w:rPr>
          <w:i/>
          <w:iCs/>
          <w:lang w:val="fr-FR"/>
        </w:rPr>
      </w:pPr>
      <w:r w:rsidRPr="008C7134">
        <w:rPr>
          <w:i/>
          <w:lang w:val="fr-FR"/>
        </w:rPr>
        <w:t xml:space="preserve">(Document de référence: document informel </w:t>
      </w:r>
      <w:r w:rsidRPr="008C7134">
        <w:rPr>
          <w:i/>
          <w:iCs/>
          <w:lang w:val="fr-FR"/>
        </w:rPr>
        <w:t>INF.36)</w:t>
      </w:r>
    </w:p>
    <w:p w:rsidR="00D22423" w:rsidRPr="008C7134" w:rsidRDefault="00D22423" w:rsidP="00D22423">
      <w:pPr>
        <w:pStyle w:val="H23G"/>
        <w:rPr>
          <w:lang w:val="fr-FR"/>
        </w:rPr>
      </w:pPr>
      <w:r w:rsidRPr="008C7134">
        <w:rPr>
          <w:lang w:val="fr-FR"/>
        </w:rPr>
        <w:tab/>
        <w:t>15.</w:t>
      </w:r>
      <w:r w:rsidRPr="008C7134">
        <w:rPr>
          <w:lang w:val="fr-FR"/>
        </w:rPr>
        <w:tab/>
        <w:t>Section 20, 20.2.6</w:t>
      </w:r>
    </w:p>
    <w:p w:rsidR="00D22423" w:rsidRPr="008C7134" w:rsidRDefault="00D22423" w:rsidP="00D22423">
      <w:pPr>
        <w:pStyle w:val="SingleTxtG"/>
        <w:rPr>
          <w:lang w:val="fr-FR"/>
        </w:rPr>
      </w:pPr>
      <w:r w:rsidRPr="008C7134">
        <w:rPr>
          <w:i/>
          <w:lang w:val="fr-FR"/>
        </w:rPr>
        <w:t>Au lieu de</w:t>
      </w:r>
      <w:r w:rsidRPr="008C7134">
        <w:rPr>
          <w:lang w:val="fr-FR"/>
        </w:rPr>
        <w:t xml:space="preserve"> voir la section 32.5.2 </w:t>
      </w:r>
      <w:r w:rsidRPr="008C7134">
        <w:rPr>
          <w:i/>
          <w:lang w:val="fr-FR"/>
        </w:rPr>
        <w:t>lire</w:t>
      </w:r>
      <w:r w:rsidRPr="008C7134">
        <w:rPr>
          <w:lang w:val="fr-FR"/>
        </w:rPr>
        <w:t xml:space="preserve"> voir la section 33.3</w:t>
      </w:r>
    </w:p>
    <w:p w:rsidR="00503148" w:rsidRPr="008C7134" w:rsidRDefault="00503148" w:rsidP="00503148">
      <w:pPr>
        <w:pStyle w:val="SingleTxtG"/>
        <w:rPr>
          <w:i/>
          <w:iCs/>
          <w:lang w:val="fr-FR"/>
        </w:rPr>
      </w:pPr>
      <w:r w:rsidRPr="008C7134">
        <w:rPr>
          <w:i/>
          <w:lang w:val="fr-FR"/>
        </w:rPr>
        <w:t xml:space="preserve">(Document de référence: document informel </w:t>
      </w:r>
      <w:r w:rsidRPr="008C7134">
        <w:rPr>
          <w:i/>
          <w:iCs/>
          <w:lang w:val="fr-FR"/>
        </w:rPr>
        <w:t>INF.36)</w:t>
      </w:r>
    </w:p>
    <w:p w:rsidR="00D22423" w:rsidRPr="008C7134" w:rsidRDefault="00D22423" w:rsidP="00D22423">
      <w:pPr>
        <w:pStyle w:val="H23G"/>
        <w:rPr>
          <w:lang w:val="fr-FR"/>
        </w:rPr>
      </w:pPr>
      <w:r w:rsidRPr="008C7134">
        <w:rPr>
          <w:lang w:val="fr-FR"/>
        </w:rPr>
        <w:tab/>
        <w:t>16</w:t>
      </w:r>
      <w:r w:rsidR="00503148" w:rsidRPr="008C7134">
        <w:rPr>
          <w:lang w:val="fr-FR"/>
        </w:rPr>
        <w:t>.</w:t>
      </w:r>
      <w:r w:rsidR="00503148" w:rsidRPr="008C7134">
        <w:rPr>
          <w:lang w:val="fr-FR"/>
        </w:rPr>
        <w:tab/>
        <w:t xml:space="preserve">Section 20, figure 20.1 </w:t>
      </w:r>
      <w:r w:rsidRPr="008C7134">
        <w:rPr>
          <w:lang w:val="fr-FR"/>
        </w:rPr>
        <w:t>b)</w:t>
      </w:r>
    </w:p>
    <w:p w:rsidR="00503148" w:rsidRPr="008C7134" w:rsidRDefault="00503148" w:rsidP="00503148">
      <w:pPr>
        <w:pStyle w:val="SingleTxtG"/>
        <w:rPr>
          <w:lang w:val="fr-FR"/>
        </w:rPr>
      </w:pPr>
      <w:r w:rsidRPr="008C7134">
        <w:rPr>
          <w:lang w:val="fr-FR"/>
        </w:rPr>
        <w:t>Sans objet en français.</w:t>
      </w:r>
    </w:p>
    <w:p w:rsidR="00503148" w:rsidRPr="008C7134" w:rsidRDefault="00503148" w:rsidP="00503148">
      <w:pPr>
        <w:pStyle w:val="SingleTxtG"/>
        <w:rPr>
          <w:i/>
          <w:iCs/>
          <w:lang w:val="fr-FR"/>
        </w:rPr>
      </w:pPr>
      <w:r w:rsidRPr="008C7134">
        <w:rPr>
          <w:i/>
          <w:lang w:val="fr-FR"/>
        </w:rPr>
        <w:t xml:space="preserve">(Document de référence: document informel </w:t>
      </w:r>
      <w:r w:rsidRPr="008C7134">
        <w:rPr>
          <w:i/>
          <w:iCs/>
          <w:lang w:val="fr-FR"/>
        </w:rPr>
        <w:t>INF.36)</w:t>
      </w:r>
    </w:p>
    <w:p w:rsidR="00EB7F21" w:rsidRDefault="00EB7F21">
      <w:pPr>
        <w:suppressAutoHyphens w:val="0"/>
        <w:spacing w:line="240" w:lineRule="auto"/>
        <w:rPr>
          <w:b/>
          <w:lang w:val="fr-FR"/>
        </w:rPr>
      </w:pPr>
      <w:r>
        <w:rPr>
          <w:lang w:val="fr-FR"/>
        </w:rPr>
        <w:br w:type="page"/>
      </w:r>
    </w:p>
    <w:p w:rsidR="00390DDB" w:rsidRPr="008C7134" w:rsidRDefault="006B5B3C" w:rsidP="006B5B3C">
      <w:pPr>
        <w:pStyle w:val="H23G"/>
        <w:rPr>
          <w:lang w:val="fr-FR"/>
        </w:rPr>
      </w:pPr>
      <w:r w:rsidRPr="008C7134">
        <w:rPr>
          <w:lang w:val="fr-FR"/>
        </w:rPr>
        <w:lastRenderedPageBreak/>
        <w:tab/>
      </w:r>
      <w:r w:rsidR="00D32E7E" w:rsidRPr="008C7134">
        <w:rPr>
          <w:lang w:val="fr-FR"/>
        </w:rPr>
        <w:t>17.</w:t>
      </w:r>
      <w:r w:rsidR="00503148" w:rsidRPr="008C7134">
        <w:rPr>
          <w:lang w:val="fr-FR"/>
        </w:rPr>
        <w:tab/>
      </w:r>
      <w:r w:rsidR="00390DDB" w:rsidRPr="008C7134">
        <w:rPr>
          <w:lang w:val="fr-FR"/>
        </w:rPr>
        <w:t>Section 25</w:t>
      </w:r>
      <w:r w:rsidRPr="008C7134">
        <w:rPr>
          <w:lang w:val="fr-FR"/>
        </w:rPr>
        <w:t>, 25.4.1.2.2, quatrième phrase</w:t>
      </w:r>
    </w:p>
    <w:p w:rsidR="006B5B3C" w:rsidRPr="008C7134" w:rsidRDefault="006B5B3C" w:rsidP="006B5B3C">
      <w:pPr>
        <w:pStyle w:val="SingleTxtG"/>
        <w:rPr>
          <w:lang w:val="fr-FR"/>
        </w:rPr>
      </w:pPr>
      <w:r w:rsidRPr="008C7134">
        <w:rPr>
          <w:i/>
          <w:lang w:val="fr-FR"/>
        </w:rPr>
        <w:t>Substituer</w:t>
      </w:r>
      <w:r w:rsidRPr="008C7134">
        <w:rPr>
          <w:lang w:val="fr-FR"/>
        </w:rPr>
        <w:t xml:space="preserve"> au texte existant</w:t>
      </w:r>
    </w:p>
    <w:p w:rsidR="000F5198" w:rsidRPr="008C7134" w:rsidRDefault="00390DDB" w:rsidP="00390DDB">
      <w:pPr>
        <w:pStyle w:val="SingleTxtG"/>
        <w:spacing w:after="100" w:line="200" w:lineRule="atLeast"/>
        <w:rPr>
          <w:lang w:val="fr-FR"/>
        </w:rPr>
      </w:pPr>
      <w:r w:rsidRPr="008C7134">
        <w:rPr>
          <w:lang w:val="fr-FR"/>
        </w:rPr>
        <w:t>Celle-ci consiste à chauffer une douille (munie d’un disque à lumière de 1,5 mm) contenant 27 cm</w:t>
      </w:r>
      <w:r w:rsidRPr="008C7134">
        <w:rPr>
          <w:vertAlign w:val="superscript"/>
          <w:lang w:val="fr-FR"/>
        </w:rPr>
        <w:t xml:space="preserve">3 </w:t>
      </w:r>
      <w:r w:rsidR="006B5B3C" w:rsidRPr="008C7134">
        <w:rPr>
          <w:lang w:val="fr-FR"/>
        </w:rPr>
        <w:t xml:space="preserve">de </w:t>
      </w:r>
      <w:proofErr w:type="spellStart"/>
      <w:r w:rsidR="006B5B3C" w:rsidRPr="008C7134">
        <w:rPr>
          <w:lang w:val="fr-FR"/>
        </w:rPr>
        <w:t>phtalate</w:t>
      </w:r>
      <w:proofErr w:type="spellEnd"/>
      <w:r w:rsidR="006B5B3C" w:rsidRPr="008C7134">
        <w:rPr>
          <w:lang w:val="fr-FR"/>
        </w:rPr>
        <w:t xml:space="preserve"> de </w:t>
      </w:r>
      <w:proofErr w:type="spellStart"/>
      <w:r w:rsidR="006B5B3C" w:rsidRPr="008C7134">
        <w:rPr>
          <w:lang w:val="fr-FR"/>
        </w:rPr>
        <w:t>dibutyle</w:t>
      </w:r>
      <w:proofErr w:type="spellEnd"/>
      <w:r w:rsidR="006B5B3C" w:rsidRPr="008C7134">
        <w:rPr>
          <w:lang w:val="fr-FR"/>
        </w:rPr>
        <w:t xml:space="preserve"> ou </w:t>
      </w:r>
      <w:r w:rsidRPr="008C7134">
        <w:rPr>
          <w:lang w:val="fr-FR"/>
        </w:rPr>
        <w:t xml:space="preserve">d’huile silicone, de densité apparente égale à 0,96 </w:t>
      </w:r>
      <w:r w:rsidRPr="008C7134">
        <w:rPr>
          <w:sz w:val="18"/>
          <w:szCs w:val="18"/>
          <w:lang w:val="fr-FR"/>
        </w:rPr>
        <w:sym w:font="Symbol" w:char="F0B1"/>
      </w:r>
      <w:r w:rsidRPr="008C7134">
        <w:rPr>
          <w:lang w:val="fr-FR"/>
        </w:rPr>
        <w:t xml:space="preserve"> 0,02 à 20</w:t>
      </w:r>
      <w:r w:rsidR="006B5B3C" w:rsidRPr="008C7134">
        <w:rPr>
          <w:lang w:val="fr-FR"/>
        </w:rPr>
        <w:t> </w:t>
      </w:r>
      <w:r w:rsidRPr="008C7134">
        <w:rPr>
          <w:lang w:val="fr-FR"/>
        </w:rPr>
        <w:t xml:space="preserve">°C et de capacité thermique égale à 1,46 </w:t>
      </w:r>
      <w:r w:rsidRPr="008C7134">
        <w:rPr>
          <w:sz w:val="18"/>
          <w:szCs w:val="18"/>
          <w:lang w:val="fr-FR"/>
        </w:rPr>
        <w:sym w:font="Symbol" w:char="F0B1"/>
      </w:r>
      <w:r w:rsidRPr="008C7134">
        <w:rPr>
          <w:sz w:val="18"/>
          <w:szCs w:val="18"/>
          <w:lang w:val="fr-FR"/>
        </w:rPr>
        <w:t xml:space="preserve"> </w:t>
      </w:r>
      <w:r w:rsidRPr="008C7134">
        <w:rPr>
          <w:lang w:val="fr-FR"/>
        </w:rPr>
        <w:t xml:space="preserve"> 0,02 J/</w:t>
      </w:r>
      <w:proofErr w:type="spellStart"/>
      <w:r w:rsidRPr="008C7134">
        <w:rPr>
          <w:lang w:val="fr-FR"/>
        </w:rPr>
        <w:t>g.K</w:t>
      </w:r>
      <w:proofErr w:type="spellEnd"/>
      <w:r w:rsidR="006B5B3C" w:rsidRPr="008C7134">
        <w:rPr>
          <w:lang w:val="fr-FR"/>
        </w:rPr>
        <w:t xml:space="preserve"> à 25 °C.</w:t>
      </w:r>
    </w:p>
    <w:p w:rsidR="00390DDB" w:rsidRPr="008C7134" w:rsidRDefault="006B5B3C" w:rsidP="00390DDB">
      <w:pPr>
        <w:pStyle w:val="SingleTxtG"/>
        <w:rPr>
          <w:i/>
          <w:lang w:val="fr-FR"/>
        </w:rPr>
      </w:pPr>
      <w:r w:rsidRPr="008C7134">
        <w:rPr>
          <w:i/>
          <w:lang w:val="fr-FR"/>
        </w:rPr>
        <w:t>(Document de référence</w:t>
      </w:r>
      <w:r w:rsidR="00390DDB" w:rsidRPr="008C7134">
        <w:rPr>
          <w:i/>
          <w:lang w:val="fr-FR"/>
        </w:rPr>
        <w:t xml:space="preserve">: </w:t>
      </w:r>
      <w:r w:rsidRPr="008C7134">
        <w:rPr>
          <w:i/>
          <w:lang w:val="fr-FR"/>
        </w:rPr>
        <w:t>d</w:t>
      </w:r>
      <w:r w:rsidR="00390DDB" w:rsidRPr="008C7134">
        <w:rPr>
          <w:i/>
          <w:lang w:val="fr-FR"/>
        </w:rPr>
        <w:t xml:space="preserve">ocument informel INF.59, </w:t>
      </w:r>
      <w:r w:rsidRPr="008C7134">
        <w:rPr>
          <w:i/>
          <w:lang w:val="fr-FR"/>
        </w:rPr>
        <w:t>a</w:t>
      </w:r>
      <w:r w:rsidR="00390DDB" w:rsidRPr="008C7134">
        <w:rPr>
          <w:i/>
          <w:lang w:val="fr-FR"/>
        </w:rPr>
        <w:t>nnexe 3, amendement 4)</w:t>
      </w:r>
    </w:p>
    <w:p w:rsidR="000F5198" w:rsidRPr="00D32E7E" w:rsidRDefault="00D32E7E" w:rsidP="00D32E7E">
      <w:pPr>
        <w:pStyle w:val="H23G"/>
        <w:rPr>
          <w:lang w:val="fr-FR"/>
        </w:rPr>
      </w:pPr>
      <w:r>
        <w:rPr>
          <w:lang w:val="fr-FR"/>
        </w:rPr>
        <w:tab/>
      </w:r>
      <w:r w:rsidR="000F5198" w:rsidRPr="008C7134">
        <w:rPr>
          <w:lang w:val="fr-FR"/>
        </w:rPr>
        <w:t>18.</w:t>
      </w:r>
      <w:r w:rsidR="000F5198" w:rsidRPr="008C7134">
        <w:rPr>
          <w:lang w:val="fr-FR"/>
        </w:rPr>
        <w:tab/>
        <w:t>Section 25, 25.4.1.3.5</w:t>
      </w:r>
    </w:p>
    <w:p w:rsidR="00DA7CBB" w:rsidRPr="008C7134" w:rsidRDefault="00DA7CBB" w:rsidP="00DA7CBB">
      <w:pPr>
        <w:pStyle w:val="SingleTxtG"/>
        <w:rPr>
          <w:lang w:val="fr-FR"/>
        </w:rPr>
      </w:pPr>
      <w:r w:rsidRPr="008C7134">
        <w:rPr>
          <w:lang w:val="fr-FR"/>
        </w:rPr>
        <w:t>Sans objet en français.</w:t>
      </w:r>
    </w:p>
    <w:p w:rsidR="00DA7CBB" w:rsidRPr="008C7134" w:rsidRDefault="00DA7CBB" w:rsidP="00DA7CBB">
      <w:pPr>
        <w:pStyle w:val="SingleTxtG"/>
        <w:rPr>
          <w:i/>
          <w:iCs/>
          <w:lang w:val="fr-FR"/>
        </w:rPr>
      </w:pPr>
      <w:r w:rsidRPr="008C7134">
        <w:rPr>
          <w:i/>
          <w:lang w:val="fr-FR"/>
        </w:rPr>
        <w:t xml:space="preserve">(Document de référence: document informel </w:t>
      </w:r>
      <w:r w:rsidRPr="008C7134">
        <w:rPr>
          <w:i/>
          <w:iCs/>
          <w:lang w:val="fr-FR"/>
        </w:rPr>
        <w:t>INF.36)</w:t>
      </w:r>
    </w:p>
    <w:p w:rsidR="000F5198" w:rsidRPr="00D32E7E" w:rsidRDefault="00D32E7E" w:rsidP="00D32E7E">
      <w:pPr>
        <w:pStyle w:val="H23G"/>
        <w:rPr>
          <w:lang w:val="fr-FR"/>
        </w:rPr>
      </w:pPr>
      <w:r>
        <w:rPr>
          <w:lang w:val="fr-FR"/>
        </w:rPr>
        <w:tab/>
      </w:r>
      <w:r w:rsidR="000F5198" w:rsidRPr="008C7134">
        <w:rPr>
          <w:lang w:val="fr-FR"/>
        </w:rPr>
        <w:t>19.</w:t>
      </w:r>
      <w:r w:rsidR="000F5198" w:rsidRPr="008C7134">
        <w:rPr>
          <w:lang w:val="fr-FR"/>
        </w:rPr>
        <w:tab/>
        <w:t xml:space="preserve">Section 31, 31.1.3, </w:t>
      </w:r>
      <w:r w:rsidR="00B5244C" w:rsidRPr="008C7134">
        <w:rPr>
          <w:lang w:val="fr-FR"/>
        </w:rPr>
        <w:t>définition</w:t>
      </w:r>
      <w:r w:rsidR="000F5198" w:rsidRPr="008C7134">
        <w:rPr>
          <w:lang w:val="fr-FR"/>
        </w:rPr>
        <w:t xml:space="preserve"> </w:t>
      </w:r>
      <w:r w:rsidR="00B5244C" w:rsidRPr="008C7134">
        <w:rPr>
          <w:lang w:val="fr-FR"/>
        </w:rPr>
        <w:t>de</w:t>
      </w:r>
      <w:r w:rsidR="000F5198" w:rsidRPr="008C7134">
        <w:rPr>
          <w:lang w:val="fr-FR"/>
        </w:rPr>
        <w:t xml:space="preserve"> “</w:t>
      </w:r>
      <w:r w:rsidR="00B5244C" w:rsidRPr="008C7134">
        <w:rPr>
          <w:lang w:val="fr-FR"/>
        </w:rPr>
        <w:t>Aé</w:t>
      </w:r>
      <w:r w:rsidR="000F5198" w:rsidRPr="008C7134">
        <w:rPr>
          <w:lang w:val="fr-FR"/>
        </w:rPr>
        <w:t>rosol</w:t>
      </w:r>
      <w:r w:rsidR="00B5244C" w:rsidRPr="008C7134">
        <w:rPr>
          <w:lang w:val="fr-FR"/>
        </w:rPr>
        <w:t>s</w:t>
      </w:r>
      <w:r w:rsidR="000F5198" w:rsidRPr="008C7134">
        <w:rPr>
          <w:lang w:val="fr-FR"/>
        </w:rPr>
        <w:t>”</w:t>
      </w:r>
    </w:p>
    <w:p w:rsidR="00B5244C" w:rsidRPr="008C7134" w:rsidRDefault="00B5244C" w:rsidP="00B5244C">
      <w:pPr>
        <w:pStyle w:val="SingleTxtG"/>
        <w:rPr>
          <w:lang w:val="fr-FR"/>
        </w:rPr>
      </w:pPr>
      <w:r w:rsidRPr="008C7134">
        <w:rPr>
          <w:lang w:val="fr-FR"/>
        </w:rPr>
        <w:t>Sans objet en français.</w:t>
      </w:r>
    </w:p>
    <w:p w:rsidR="00B5244C" w:rsidRPr="008C7134" w:rsidRDefault="00B5244C" w:rsidP="00B5244C">
      <w:pPr>
        <w:pStyle w:val="SingleTxtG"/>
        <w:rPr>
          <w:i/>
          <w:iCs/>
          <w:lang w:val="fr-FR"/>
        </w:rPr>
      </w:pPr>
      <w:r w:rsidRPr="008C7134">
        <w:rPr>
          <w:i/>
          <w:lang w:val="fr-FR"/>
        </w:rPr>
        <w:t xml:space="preserve">(Document de référence: document informel </w:t>
      </w:r>
      <w:r w:rsidRPr="008C7134">
        <w:rPr>
          <w:i/>
          <w:iCs/>
          <w:lang w:val="fr-FR"/>
        </w:rPr>
        <w:t>INF.36)</w:t>
      </w:r>
    </w:p>
    <w:p w:rsidR="000F5198" w:rsidRPr="00D32E7E" w:rsidRDefault="00D32E7E" w:rsidP="00D32E7E">
      <w:pPr>
        <w:pStyle w:val="H23G"/>
        <w:rPr>
          <w:lang w:val="fr-FR"/>
        </w:rPr>
      </w:pPr>
      <w:r>
        <w:rPr>
          <w:lang w:val="fr-FR"/>
        </w:rPr>
        <w:tab/>
      </w:r>
      <w:r w:rsidR="000F5198" w:rsidRPr="008C7134">
        <w:rPr>
          <w:lang w:val="fr-FR"/>
        </w:rPr>
        <w:t>20.</w:t>
      </w:r>
      <w:r w:rsidR="000F5198" w:rsidRPr="008C7134">
        <w:rPr>
          <w:lang w:val="fr-FR"/>
        </w:rPr>
        <w:tab/>
        <w:t xml:space="preserve">Section 33, </w:t>
      </w:r>
      <w:r w:rsidR="000F5198" w:rsidRPr="00D32E7E">
        <w:t>33.2.1.4.4.1</w:t>
      </w:r>
    </w:p>
    <w:p w:rsidR="00B5244C" w:rsidRPr="008C7134" w:rsidRDefault="00B5244C" w:rsidP="00B5244C">
      <w:pPr>
        <w:pStyle w:val="SingleTxtG"/>
        <w:rPr>
          <w:lang w:val="fr-FR"/>
        </w:rPr>
      </w:pPr>
      <w:r w:rsidRPr="008C7134">
        <w:rPr>
          <w:lang w:val="fr-FR"/>
        </w:rPr>
        <w:t>Sans objet en français.</w:t>
      </w:r>
    </w:p>
    <w:p w:rsidR="00B5244C" w:rsidRPr="008C7134" w:rsidRDefault="00B5244C" w:rsidP="00B5244C">
      <w:pPr>
        <w:pStyle w:val="SingleTxtG"/>
        <w:rPr>
          <w:i/>
          <w:iCs/>
          <w:lang w:val="fr-FR"/>
        </w:rPr>
      </w:pPr>
      <w:r w:rsidRPr="008C7134">
        <w:rPr>
          <w:i/>
          <w:lang w:val="fr-FR"/>
        </w:rPr>
        <w:t xml:space="preserve">(Document de référence: document informel </w:t>
      </w:r>
      <w:r w:rsidRPr="008C7134">
        <w:rPr>
          <w:i/>
          <w:iCs/>
          <w:lang w:val="fr-FR"/>
        </w:rPr>
        <w:t>INF.36)</w:t>
      </w:r>
    </w:p>
    <w:p w:rsidR="000F5198" w:rsidRPr="00D32E7E" w:rsidRDefault="00D32E7E" w:rsidP="00D32E7E">
      <w:pPr>
        <w:pStyle w:val="H23G"/>
        <w:rPr>
          <w:lang w:val="fr-FR"/>
        </w:rPr>
      </w:pPr>
      <w:r>
        <w:rPr>
          <w:lang w:val="fr-FR"/>
        </w:rPr>
        <w:tab/>
      </w:r>
      <w:r w:rsidR="000F5198" w:rsidRPr="008C7134">
        <w:rPr>
          <w:lang w:val="fr-FR"/>
        </w:rPr>
        <w:t>21.</w:t>
      </w:r>
      <w:r w:rsidR="000F5198" w:rsidRPr="008C7134">
        <w:rPr>
          <w:lang w:val="fr-FR"/>
        </w:rPr>
        <w:tab/>
      </w:r>
      <w:r w:rsidR="00B5244C" w:rsidRPr="008C7134">
        <w:rPr>
          <w:lang w:val="fr-FR"/>
        </w:rPr>
        <w:t xml:space="preserve">Section 35, 35.4.3.2 </w:t>
      </w:r>
      <w:r w:rsidR="000F5198" w:rsidRPr="008C7134">
        <w:rPr>
          <w:lang w:val="fr-FR"/>
        </w:rPr>
        <w:t>b)</w:t>
      </w:r>
      <w:r w:rsidR="00B5244C" w:rsidRPr="008C7134">
        <w:rPr>
          <w:lang w:val="fr-FR"/>
        </w:rPr>
        <w:t>, dans la deuxième phrase</w:t>
      </w:r>
    </w:p>
    <w:p w:rsidR="000F5198" w:rsidRPr="008C7134" w:rsidRDefault="00B5244C" w:rsidP="000F5198">
      <w:pPr>
        <w:pStyle w:val="SingleTxtG"/>
        <w:rPr>
          <w:lang w:val="fr-FR"/>
        </w:rPr>
      </w:pPr>
      <w:r w:rsidRPr="008C7134">
        <w:rPr>
          <w:i/>
          <w:lang w:val="fr-FR"/>
        </w:rPr>
        <w:t>Au lieu de</w:t>
      </w:r>
      <w:r w:rsidRPr="008C7134">
        <w:rPr>
          <w:lang w:val="fr-FR"/>
        </w:rPr>
        <w:t xml:space="preserve"> 35.3.3.2 </w:t>
      </w:r>
      <w:r w:rsidRPr="008C7134">
        <w:rPr>
          <w:i/>
          <w:lang w:val="fr-FR"/>
        </w:rPr>
        <w:t>lire</w:t>
      </w:r>
      <w:r w:rsidRPr="008C7134">
        <w:rPr>
          <w:lang w:val="fr-FR"/>
        </w:rPr>
        <w:t xml:space="preserve"> 34.3.3.2</w:t>
      </w:r>
    </w:p>
    <w:p w:rsidR="00B5244C" w:rsidRPr="008C7134" w:rsidRDefault="00B5244C" w:rsidP="00B5244C">
      <w:pPr>
        <w:pStyle w:val="SingleTxtG"/>
        <w:rPr>
          <w:i/>
          <w:iCs/>
          <w:lang w:val="fr-FR"/>
        </w:rPr>
      </w:pPr>
      <w:r w:rsidRPr="008C7134">
        <w:rPr>
          <w:i/>
          <w:lang w:val="fr-FR"/>
        </w:rPr>
        <w:t xml:space="preserve">(Document de référence: document informel </w:t>
      </w:r>
      <w:r w:rsidRPr="008C7134">
        <w:rPr>
          <w:i/>
          <w:iCs/>
          <w:lang w:val="fr-FR"/>
        </w:rPr>
        <w:t>INF.36)</w:t>
      </w:r>
    </w:p>
    <w:p w:rsidR="000F5198" w:rsidRPr="00D32E7E" w:rsidRDefault="00D32E7E" w:rsidP="00D32E7E">
      <w:pPr>
        <w:pStyle w:val="H23G"/>
        <w:rPr>
          <w:lang w:val="fr-FR"/>
        </w:rPr>
      </w:pPr>
      <w:r>
        <w:rPr>
          <w:lang w:val="fr-FR"/>
        </w:rPr>
        <w:tab/>
      </w:r>
      <w:r w:rsidR="000F5198" w:rsidRPr="008C7134">
        <w:rPr>
          <w:lang w:val="fr-FR"/>
        </w:rPr>
        <w:t>22.</w:t>
      </w:r>
      <w:r w:rsidR="000F5198" w:rsidRPr="008C7134">
        <w:rPr>
          <w:lang w:val="fr-FR"/>
        </w:rPr>
        <w:tab/>
        <w:t xml:space="preserve">Section 38, 38.3.2.3, </w:t>
      </w:r>
      <w:r w:rsidR="00B5244C" w:rsidRPr="008C7134">
        <w:rPr>
          <w:lang w:val="fr-FR"/>
        </w:rPr>
        <w:t>définition</w:t>
      </w:r>
      <w:r w:rsidR="000F5198" w:rsidRPr="008C7134">
        <w:rPr>
          <w:lang w:val="fr-FR"/>
        </w:rPr>
        <w:t xml:space="preserve"> </w:t>
      </w:r>
      <w:r w:rsidR="00B5244C" w:rsidRPr="008C7134">
        <w:rPr>
          <w:lang w:val="fr-FR"/>
        </w:rPr>
        <w:t>de «Perte de masse»</w:t>
      </w:r>
    </w:p>
    <w:p w:rsidR="000F5198" w:rsidRPr="008C7134" w:rsidRDefault="00A659F1" w:rsidP="000F5198">
      <w:pPr>
        <w:pStyle w:val="SingleTxtG"/>
        <w:rPr>
          <w:rStyle w:val="SingleTxtGCar"/>
          <w:lang w:val="fr-FR"/>
        </w:rPr>
      </w:pPr>
      <w:r w:rsidRPr="008C7134">
        <w:rPr>
          <w:rStyle w:val="SingleTxtGCar"/>
          <w:i/>
          <w:lang w:val="fr-FR"/>
        </w:rPr>
        <w:t>Au lieu de</w:t>
      </w:r>
      <w:r w:rsidRPr="008C7134">
        <w:rPr>
          <w:rStyle w:val="SingleTxtGCar"/>
          <w:lang w:val="fr-FR"/>
        </w:rPr>
        <w:t xml:space="preserve"> tableau 1 </w:t>
      </w:r>
      <w:r w:rsidRPr="008C7134">
        <w:rPr>
          <w:rStyle w:val="SingleTxtGCar"/>
          <w:i/>
          <w:lang w:val="fr-FR"/>
        </w:rPr>
        <w:t>lire</w:t>
      </w:r>
      <w:r w:rsidRPr="008C7134">
        <w:rPr>
          <w:rStyle w:val="SingleTxtGCar"/>
          <w:lang w:val="fr-FR"/>
        </w:rPr>
        <w:t xml:space="preserve"> tableau </w:t>
      </w:r>
      <w:r w:rsidR="000F5198" w:rsidRPr="008C7134">
        <w:rPr>
          <w:rStyle w:val="SingleTxtGCar"/>
          <w:lang w:val="fr-FR"/>
        </w:rPr>
        <w:t>38.3.1</w:t>
      </w:r>
      <w:r w:rsidRPr="008C7134">
        <w:rPr>
          <w:rStyle w:val="SingleTxtGCar"/>
          <w:lang w:val="fr-FR"/>
        </w:rPr>
        <w:t xml:space="preserve"> (deux fois)</w:t>
      </w:r>
    </w:p>
    <w:p w:rsidR="00A659F1" w:rsidRPr="008C7134" w:rsidRDefault="00A659F1" w:rsidP="00A659F1">
      <w:pPr>
        <w:pStyle w:val="SingleTxtG"/>
        <w:rPr>
          <w:i/>
          <w:iCs/>
          <w:lang w:val="fr-FR"/>
        </w:rPr>
      </w:pPr>
      <w:r w:rsidRPr="008C7134">
        <w:rPr>
          <w:i/>
          <w:lang w:val="fr-FR"/>
        </w:rPr>
        <w:t xml:space="preserve">(Document de référence: document informel </w:t>
      </w:r>
      <w:r w:rsidRPr="008C7134">
        <w:rPr>
          <w:i/>
          <w:iCs/>
          <w:lang w:val="fr-FR"/>
        </w:rPr>
        <w:t>INF.36)</w:t>
      </w:r>
    </w:p>
    <w:p w:rsidR="000F5198" w:rsidRPr="00D32E7E" w:rsidRDefault="00D32E7E" w:rsidP="00D32E7E">
      <w:pPr>
        <w:pStyle w:val="H23G"/>
        <w:rPr>
          <w:lang w:val="fr-FR"/>
        </w:rPr>
      </w:pPr>
      <w:r>
        <w:rPr>
          <w:lang w:val="fr-FR"/>
        </w:rPr>
        <w:tab/>
      </w:r>
      <w:r w:rsidR="000F5198" w:rsidRPr="008C7134">
        <w:rPr>
          <w:lang w:val="fr-FR"/>
        </w:rPr>
        <w:t>23.</w:t>
      </w:r>
      <w:r w:rsidR="000F5198" w:rsidRPr="008C7134">
        <w:rPr>
          <w:lang w:val="fr-FR"/>
        </w:rPr>
        <w:tab/>
        <w:t xml:space="preserve">Section 38, </w:t>
      </w:r>
      <w:r w:rsidR="00A659F1" w:rsidRPr="008C7134">
        <w:rPr>
          <w:lang w:val="fr-FR"/>
        </w:rPr>
        <w:t xml:space="preserve">38.3.3 </w:t>
      </w:r>
      <w:r w:rsidR="000F5198" w:rsidRPr="008C7134">
        <w:rPr>
          <w:lang w:val="fr-FR"/>
        </w:rPr>
        <w:t>c)</w:t>
      </w:r>
      <w:r w:rsidR="00A659F1" w:rsidRPr="008C7134">
        <w:rPr>
          <w:lang w:val="fr-FR"/>
        </w:rPr>
        <w:t>, dernier paragraphe («Dans le cas des piles prismatiques, …»)</w:t>
      </w:r>
    </w:p>
    <w:p w:rsidR="000F5198" w:rsidRPr="008C7134" w:rsidRDefault="00A659F1" w:rsidP="000F5198">
      <w:pPr>
        <w:pStyle w:val="SingleTxtG"/>
        <w:rPr>
          <w:i/>
          <w:lang w:val="fr-FR"/>
        </w:rPr>
      </w:pPr>
      <w:r w:rsidRPr="008C7134">
        <w:rPr>
          <w:i/>
          <w:lang w:val="fr-FR"/>
        </w:rPr>
        <w:t>Supprimer</w:t>
      </w:r>
    </w:p>
    <w:p w:rsidR="00A659F1" w:rsidRPr="008C7134" w:rsidRDefault="00A659F1" w:rsidP="00A659F1">
      <w:pPr>
        <w:pStyle w:val="SingleTxtG"/>
        <w:rPr>
          <w:i/>
          <w:iCs/>
          <w:lang w:val="fr-FR"/>
        </w:rPr>
      </w:pPr>
      <w:r w:rsidRPr="008C7134">
        <w:rPr>
          <w:i/>
          <w:lang w:val="fr-FR"/>
        </w:rPr>
        <w:t xml:space="preserve">(Document de référence: document informel </w:t>
      </w:r>
      <w:r w:rsidRPr="008C7134">
        <w:rPr>
          <w:i/>
          <w:iCs/>
          <w:lang w:val="fr-FR"/>
        </w:rPr>
        <w:t>INF.36)</w:t>
      </w:r>
    </w:p>
    <w:p w:rsidR="000F5198" w:rsidRPr="008C7134" w:rsidRDefault="000F5198" w:rsidP="00D32E7E">
      <w:pPr>
        <w:pStyle w:val="H23G"/>
        <w:keepNext w:val="0"/>
        <w:keepLines w:val="0"/>
        <w:rPr>
          <w:lang w:val="fr-FR"/>
        </w:rPr>
      </w:pPr>
      <w:r w:rsidRPr="008C7134">
        <w:rPr>
          <w:lang w:val="fr-FR"/>
        </w:rPr>
        <w:tab/>
        <w:t>24.</w:t>
      </w:r>
      <w:r w:rsidRPr="008C7134">
        <w:rPr>
          <w:lang w:val="fr-FR"/>
        </w:rPr>
        <w:tab/>
        <w:t xml:space="preserve">Section 38.3, 38.3.4.4.2, </w:t>
      </w:r>
      <w:r w:rsidR="00A659F1" w:rsidRPr="008C7134">
        <w:rPr>
          <w:lang w:val="fr-FR"/>
        </w:rPr>
        <w:t>f</w:t>
      </w:r>
      <w:r w:rsidRPr="008C7134">
        <w:rPr>
          <w:lang w:val="fr-FR"/>
        </w:rPr>
        <w:t>igure 38.3.4.2</w:t>
      </w:r>
    </w:p>
    <w:p w:rsidR="000F5198" w:rsidRPr="008C7134" w:rsidRDefault="00A659F1" w:rsidP="00D32E7E">
      <w:pPr>
        <w:pStyle w:val="SingleTxtG"/>
        <w:rPr>
          <w:lang w:val="fr-FR"/>
        </w:rPr>
      </w:pPr>
      <w:r w:rsidRPr="008C7134">
        <w:rPr>
          <w:lang w:val="fr-FR"/>
        </w:rPr>
        <w:t>Remplacer la figure existante par la suivante (la légende des axes reste inchangée)</w:t>
      </w:r>
      <w:r w:rsidR="000F5198" w:rsidRPr="008C7134">
        <w:rPr>
          <w:lang w:val="fr-FR"/>
        </w:rPr>
        <w:t xml:space="preserve"> </w:t>
      </w:r>
    </w:p>
    <w:p w:rsidR="000F5198" w:rsidRPr="008C7134" w:rsidRDefault="000F5198" w:rsidP="00D32E7E">
      <w:pPr>
        <w:pStyle w:val="SingleTxtG"/>
        <w:rPr>
          <w:lang w:val="fr-FR"/>
        </w:rPr>
      </w:pPr>
      <w:r w:rsidRPr="008C7134">
        <w:rPr>
          <w:noProof/>
          <w:lang w:val="en-GB" w:eastAsia="en-GB"/>
        </w:rPr>
        <w:lastRenderedPageBreak/>
        <w:drawing>
          <wp:inline distT="0" distB="0" distL="0" distR="0" wp14:anchorId="1A67EA84" wp14:editId="1F9C7770">
            <wp:extent cx="3592830" cy="2614295"/>
            <wp:effectExtent l="0" t="0" r="7620" b="0"/>
            <wp:docPr id="5" name="Picture 1" descr="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2830" cy="2614295"/>
                    </a:xfrm>
                    <a:prstGeom prst="rect">
                      <a:avLst/>
                    </a:prstGeom>
                    <a:noFill/>
                    <a:ln>
                      <a:noFill/>
                    </a:ln>
                  </pic:spPr>
                </pic:pic>
              </a:graphicData>
            </a:graphic>
          </wp:inline>
        </w:drawing>
      </w:r>
    </w:p>
    <w:p w:rsidR="00A659F1" w:rsidRPr="008C7134" w:rsidRDefault="00A659F1" w:rsidP="00D32E7E">
      <w:pPr>
        <w:pStyle w:val="SingleTxtG"/>
        <w:rPr>
          <w:i/>
          <w:iCs/>
          <w:lang w:val="fr-FR"/>
        </w:rPr>
      </w:pPr>
      <w:r w:rsidRPr="008C7134">
        <w:rPr>
          <w:i/>
          <w:lang w:val="fr-FR"/>
        </w:rPr>
        <w:t xml:space="preserve">(Document de référence: document informel </w:t>
      </w:r>
      <w:r w:rsidRPr="008C7134">
        <w:rPr>
          <w:i/>
          <w:iCs/>
          <w:lang w:val="fr-FR"/>
        </w:rPr>
        <w:t>INF.36)</w:t>
      </w:r>
    </w:p>
    <w:p w:rsidR="000F5198" w:rsidRPr="00D32E7E" w:rsidRDefault="00D32E7E" w:rsidP="00D32E7E">
      <w:pPr>
        <w:pStyle w:val="H23G"/>
        <w:rPr>
          <w:lang w:val="fr-FR"/>
        </w:rPr>
      </w:pPr>
      <w:r>
        <w:rPr>
          <w:lang w:val="fr-FR"/>
        </w:rPr>
        <w:tab/>
      </w:r>
      <w:r w:rsidR="000F5198" w:rsidRPr="008C7134">
        <w:rPr>
          <w:lang w:val="fr-FR"/>
        </w:rPr>
        <w:t>25.</w:t>
      </w:r>
      <w:r w:rsidR="000F5198" w:rsidRPr="008C7134">
        <w:rPr>
          <w:lang w:val="fr-FR"/>
        </w:rPr>
        <w:tab/>
        <w:t xml:space="preserve">Section 51, </w:t>
      </w:r>
      <w:r w:rsidR="00A659F1" w:rsidRPr="008C7134">
        <w:rPr>
          <w:lang w:val="fr-FR"/>
        </w:rPr>
        <w:t xml:space="preserve">51.4.4.2 </w:t>
      </w:r>
      <w:r w:rsidR="000F5198" w:rsidRPr="008C7134">
        <w:rPr>
          <w:lang w:val="fr-FR"/>
        </w:rPr>
        <w:t>g)</w:t>
      </w:r>
      <w:r w:rsidR="00A659F1" w:rsidRPr="008C7134">
        <w:rPr>
          <w:lang w:val="fr-FR"/>
        </w:rPr>
        <w:t>, dans l’équation</w:t>
      </w:r>
    </w:p>
    <w:p w:rsidR="000F5198" w:rsidRPr="008C7134" w:rsidRDefault="00A659F1" w:rsidP="000F5198">
      <w:pPr>
        <w:pStyle w:val="SingleTxtG"/>
        <w:rPr>
          <w:lang w:val="fr-FR"/>
        </w:rPr>
      </w:pPr>
      <w:r w:rsidRPr="008C7134">
        <w:rPr>
          <w:i/>
          <w:lang w:val="fr-FR"/>
        </w:rPr>
        <w:t>Au lieu de</w:t>
      </w:r>
      <w:r w:rsidRPr="008C7134">
        <w:rPr>
          <w:lang w:val="fr-FR"/>
        </w:rPr>
        <w:t xml:space="preserve"> </w:t>
      </w:r>
      <w:r w:rsidR="000F5198" w:rsidRPr="008C7134">
        <w:rPr>
          <w:lang w:val="fr-FR"/>
        </w:rPr>
        <w:t>A</w:t>
      </w:r>
      <w:r w:rsidR="000F5198" w:rsidRPr="008C7134">
        <w:rPr>
          <w:vertAlign w:val="subscript"/>
          <w:lang w:val="fr-FR"/>
        </w:rPr>
        <w:t>10r</w:t>
      </w:r>
      <w:r w:rsidRPr="008C7134">
        <w:rPr>
          <w:lang w:val="fr-FR"/>
        </w:rPr>
        <w:t xml:space="preserve"> </w:t>
      </w:r>
      <w:r w:rsidRPr="008C7134">
        <w:rPr>
          <w:i/>
          <w:lang w:val="fr-FR"/>
        </w:rPr>
        <w:t>lire</w:t>
      </w:r>
      <w:r w:rsidRPr="008C7134">
        <w:rPr>
          <w:lang w:val="fr-FR"/>
        </w:rPr>
        <w:t xml:space="preserve"> </w:t>
      </w:r>
      <w:r w:rsidR="000F5198" w:rsidRPr="008C7134">
        <w:rPr>
          <w:lang w:val="fr-FR"/>
        </w:rPr>
        <w:t>A</w:t>
      </w:r>
      <w:r w:rsidR="000F5198" w:rsidRPr="008C7134">
        <w:rPr>
          <w:vertAlign w:val="subscript"/>
          <w:lang w:val="fr-FR"/>
        </w:rPr>
        <w:t>10t</w:t>
      </w:r>
    </w:p>
    <w:p w:rsidR="00A659F1" w:rsidRPr="008C7134" w:rsidRDefault="00A659F1" w:rsidP="00A659F1">
      <w:pPr>
        <w:pStyle w:val="SingleTxtG"/>
        <w:rPr>
          <w:i/>
          <w:iCs/>
          <w:lang w:val="fr-FR"/>
        </w:rPr>
      </w:pPr>
      <w:r w:rsidRPr="008C7134">
        <w:rPr>
          <w:i/>
          <w:lang w:val="fr-FR"/>
        </w:rPr>
        <w:t xml:space="preserve">(Document de référence: document informel </w:t>
      </w:r>
      <w:r w:rsidRPr="008C7134">
        <w:rPr>
          <w:i/>
          <w:iCs/>
          <w:lang w:val="fr-FR"/>
        </w:rPr>
        <w:t>INF.36)</w:t>
      </w:r>
    </w:p>
    <w:p w:rsidR="000F5198" w:rsidRPr="00D32E7E" w:rsidRDefault="00D32E7E" w:rsidP="00D32E7E">
      <w:pPr>
        <w:pStyle w:val="H23G"/>
        <w:rPr>
          <w:lang w:val="fr-FR"/>
        </w:rPr>
      </w:pPr>
      <w:r>
        <w:rPr>
          <w:lang w:val="fr-FR"/>
        </w:rPr>
        <w:tab/>
        <w:t>2</w:t>
      </w:r>
      <w:r w:rsidR="000F5198" w:rsidRPr="008C7134">
        <w:rPr>
          <w:lang w:val="fr-FR"/>
        </w:rPr>
        <w:t>6.</w:t>
      </w:r>
      <w:r w:rsidR="000F5198" w:rsidRPr="008C7134">
        <w:rPr>
          <w:lang w:val="fr-FR"/>
        </w:rPr>
        <w:tab/>
        <w:t>Section 51, 51.4.6</w:t>
      </w:r>
      <w:r w:rsidR="00A659F1" w:rsidRPr="008C7134">
        <w:rPr>
          <w:lang w:val="fr-FR"/>
        </w:rPr>
        <w:t>, dans la dernière équation</w:t>
      </w:r>
    </w:p>
    <w:p w:rsidR="000F5198" w:rsidRPr="008C7134" w:rsidRDefault="00A659F1" w:rsidP="000F5198">
      <w:pPr>
        <w:pStyle w:val="SingleTxtG"/>
        <w:rPr>
          <w:lang w:val="fr-FR"/>
        </w:rPr>
      </w:pPr>
      <w:r w:rsidRPr="008C7134">
        <w:rPr>
          <w:i/>
          <w:lang w:val="fr-FR"/>
        </w:rPr>
        <w:t>Au lieu de</w:t>
      </w:r>
      <w:r w:rsidRPr="008C7134">
        <w:rPr>
          <w:lang w:val="fr-FR"/>
        </w:rPr>
        <w:t xml:space="preserve"> </w:t>
      </w:r>
      <w:r w:rsidR="000F5198" w:rsidRPr="008C7134">
        <w:rPr>
          <w:lang w:val="fr-FR"/>
        </w:rPr>
        <w:t>A</w:t>
      </w:r>
      <w:r w:rsidR="000F5198" w:rsidRPr="008C7134">
        <w:rPr>
          <w:vertAlign w:val="subscript"/>
          <w:lang w:val="fr-FR"/>
        </w:rPr>
        <w:t>t</w:t>
      </w:r>
      <w:r w:rsidR="000F5198" w:rsidRPr="008C7134">
        <w:rPr>
          <w:lang w:val="fr-FR"/>
        </w:rPr>
        <w:t xml:space="preserve"> </w:t>
      </w:r>
      <w:r w:rsidRPr="008C7134">
        <w:rPr>
          <w:i/>
          <w:lang w:val="fr-FR"/>
        </w:rPr>
        <w:t>lire</w:t>
      </w:r>
      <w:r w:rsidRPr="008C7134">
        <w:rPr>
          <w:lang w:val="fr-FR"/>
        </w:rPr>
        <w:t xml:space="preserve"> </w:t>
      </w:r>
      <w:proofErr w:type="spellStart"/>
      <w:r w:rsidR="000F5198" w:rsidRPr="008C7134">
        <w:rPr>
          <w:lang w:val="fr-FR"/>
        </w:rPr>
        <w:t>A</w:t>
      </w:r>
      <w:r w:rsidR="000F5198" w:rsidRPr="008C7134">
        <w:rPr>
          <w:vertAlign w:val="subscript"/>
          <w:lang w:val="fr-FR"/>
        </w:rPr>
        <w:t>c</w:t>
      </w:r>
      <w:proofErr w:type="spellEnd"/>
    </w:p>
    <w:p w:rsidR="00A659F1" w:rsidRPr="008C7134" w:rsidRDefault="00A659F1" w:rsidP="00A659F1">
      <w:pPr>
        <w:pStyle w:val="SingleTxtG"/>
        <w:rPr>
          <w:i/>
          <w:iCs/>
          <w:lang w:val="fr-FR"/>
        </w:rPr>
      </w:pPr>
      <w:r w:rsidRPr="008C7134">
        <w:rPr>
          <w:i/>
          <w:lang w:val="fr-FR"/>
        </w:rPr>
        <w:t xml:space="preserve">(Document de référence: document informel </w:t>
      </w:r>
      <w:r w:rsidRPr="008C7134">
        <w:rPr>
          <w:i/>
          <w:iCs/>
          <w:lang w:val="fr-FR"/>
        </w:rPr>
        <w:t>INF.36)</w:t>
      </w:r>
    </w:p>
    <w:p w:rsidR="005E0190" w:rsidRDefault="00D32E7E" w:rsidP="005E0190">
      <w:pPr>
        <w:pStyle w:val="H23G"/>
        <w:rPr>
          <w:lang w:val="fr-FR"/>
        </w:rPr>
      </w:pPr>
      <w:r>
        <w:rPr>
          <w:lang w:val="fr-FR"/>
        </w:rPr>
        <w:tab/>
      </w:r>
      <w:r w:rsidR="000F5198" w:rsidRPr="008C7134">
        <w:rPr>
          <w:lang w:val="fr-FR"/>
        </w:rPr>
        <w:t>27.</w:t>
      </w:r>
      <w:r w:rsidR="000F5198" w:rsidRPr="008C7134">
        <w:rPr>
          <w:lang w:val="fr-FR"/>
        </w:rPr>
        <w:tab/>
        <w:t>Appendi</w:t>
      </w:r>
      <w:r w:rsidR="005E0190">
        <w:rPr>
          <w:lang w:val="fr-FR"/>
        </w:rPr>
        <w:t>ce</w:t>
      </w:r>
      <w:r w:rsidR="000F5198" w:rsidRPr="008C7134">
        <w:rPr>
          <w:lang w:val="fr-FR"/>
        </w:rPr>
        <w:t xml:space="preserve"> 8, table</w:t>
      </w:r>
      <w:r w:rsidR="005E0190">
        <w:rPr>
          <w:lang w:val="fr-FR"/>
        </w:rPr>
        <w:t>au</w:t>
      </w:r>
      <w:r w:rsidR="0030178F" w:rsidRPr="008C7134">
        <w:rPr>
          <w:lang w:val="fr-FR"/>
        </w:rPr>
        <w:t xml:space="preserve">, </w:t>
      </w:r>
      <w:r w:rsidR="00691D88">
        <w:rPr>
          <w:lang w:val="fr-FR"/>
        </w:rPr>
        <w:t>dans la troisième ligne, sous «Douilles», à la fin, après «détonation délibérée</w:t>
      </w:r>
      <w:r w:rsidR="00691D88" w:rsidRPr="00691D88">
        <w:rPr>
          <w:lang w:val="fr-FR"/>
        </w:rPr>
        <w:t>»</w:t>
      </w:r>
    </w:p>
    <w:p w:rsidR="000F5198" w:rsidRPr="00691D88" w:rsidRDefault="00691D88" w:rsidP="00691D88">
      <w:pPr>
        <w:pStyle w:val="SingleTxtG"/>
        <w:rPr>
          <w:i/>
          <w:lang w:val="fr-FR"/>
        </w:rPr>
      </w:pPr>
      <w:r>
        <w:rPr>
          <w:i/>
          <w:lang w:val="fr-FR"/>
        </w:rPr>
        <w:t>I</w:t>
      </w:r>
      <w:r w:rsidR="005E0190" w:rsidRPr="00691D88">
        <w:rPr>
          <w:i/>
          <w:lang w:val="fr-FR"/>
        </w:rPr>
        <w:t xml:space="preserve">nsérer  </w:t>
      </w:r>
      <w:r w:rsidR="0030178F" w:rsidRPr="00691D88">
        <w:rPr>
          <w:i/>
          <w:lang w:val="fr-FR"/>
        </w:rPr>
        <w:t>*</w:t>
      </w:r>
    </w:p>
    <w:p w:rsidR="000F5198" w:rsidRPr="008C7134" w:rsidRDefault="000F5198" w:rsidP="005E0190">
      <w:pPr>
        <w:pStyle w:val="SingleTxtG"/>
        <w:rPr>
          <w:i/>
          <w:iCs/>
          <w:lang w:val="fr-FR"/>
        </w:rPr>
      </w:pPr>
      <w:r w:rsidRPr="008C7134">
        <w:rPr>
          <w:i/>
          <w:iCs/>
          <w:lang w:val="fr-FR"/>
        </w:rPr>
        <w:t>(</w:t>
      </w:r>
      <w:r w:rsidR="005E0190">
        <w:rPr>
          <w:i/>
          <w:iCs/>
          <w:lang w:val="fr-FR"/>
        </w:rPr>
        <w:t>Document de référence</w:t>
      </w:r>
      <w:r w:rsidRPr="008C7134">
        <w:rPr>
          <w:i/>
          <w:iCs/>
          <w:lang w:val="fr-FR"/>
        </w:rPr>
        <w:t>: document</w:t>
      </w:r>
      <w:r w:rsidR="005E0190">
        <w:rPr>
          <w:i/>
          <w:iCs/>
          <w:lang w:val="fr-FR"/>
        </w:rPr>
        <w:t xml:space="preserve"> informel</w:t>
      </w:r>
      <w:r w:rsidRPr="008C7134">
        <w:rPr>
          <w:i/>
          <w:iCs/>
          <w:lang w:val="fr-FR"/>
        </w:rPr>
        <w:t xml:space="preserve"> INF.36)</w:t>
      </w:r>
    </w:p>
    <w:p w:rsidR="00390DDB" w:rsidRPr="008C7134" w:rsidRDefault="00390DDB" w:rsidP="00390DDB">
      <w:pPr>
        <w:rPr>
          <w:lang w:val="fr-FR"/>
        </w:rPr>
      </w:pPr>
    </w:p>
    <w:p w:rsidR="006B5B3C" w:rsidRPr="008C7134" w:rsidRDefault="006B5B3C">
      <w:pPr>
        <w:suppressAutoHyphens w:val="0"/>
        <w:spacing w:line="240" w:lineRule="auto"/>
        <w:rPr>
          <w:b/>
          <w:sz w:val="24"/>
          <w:lang w:val="fr-FR"/>
        </w:rPr>
      </w:pPr>
      <w:r w:rsidRPr="008C7134">
        <w:rPr>
          <w:lang w:val="fr-FR"/>
        </w:rPr>
        <w:br w:type="page"/>
      </w:r>
    </w:p>
    <w:p w:rsidR="00C34528" w:rsidRPr="008C7134" w:rsidRDefault="00C34528" w:rsidP="00C34528">
      <w:pPr>
        <w:pStyle w:val="HChG"/>
        <w:rPr>
          <w:lang w:val="fr-FR"/>
        </w:rPr>
      </w:pPr>
      <w:r w:rsidRPr="008C7134">
        <w:rPr>
          <w:lang w:val="fr-FR"/>
        </w:rPr>
        <w:lastRenderedPageBreak/>
        <w:t>Annexe III</w:t>
      </w:r>
    </w:p>
    <w:p w:rsidR="00CA0680" w:rsidRPr="008C7134" w:rsidRDefault="00B4723B" w:rsidP="008B7863">
      <w:pPr>
        <w:pStyle w:val="H1G"/>
        <w:rPr>
          <w:lang w:val="fr-FR"/>
        </w:rPr>
      </w:pPr>
      <w:r w:rsidRPr="008C7134">
        <w:rPr>
          <w:lang w:val="fr-FR"/>
        </w:rPr>
        <w:tab/>
      </w:r>
      <w:r w:rsidRPr="008C7134">
        <w:rPr>
          <w:lang w:val="fr-FR"/>
        </w:rPr>
        <w:tab/>
      </w:r>
      <w:r w:rsidR="00C34528" w:rsidRPr="008C7134">
        <w:rPr>
          <w:lang w:val="fr-FR"/>
        </w:rPr>
        <w:t>Amendements aux principes directeurs à appliquer pour le développement du Règlement type</w:t>
      </w:r>
    </w:p>
    <w:p w:rsidR="008B7863" w:rsidRPr="008C7134" w:rsidRDefault="00C34528" w:rsidP="00C34528">
      <w:pPr>
        <w:pStyle w:val="H23G"/>
        <w:rPr>
          <w:lang w:val="fr-FR"/>
        </w:rPr>
      </w:pPr>
      <w:r w:rsidRPr="008C7134">
        <w:rPr>
          <w:lang w:val="fr-FR"/>
        </w:rPr>
        <w:tab/>
      </w:r>
      <w:r w:rsidRPr="008C7134">
        <w:rPr>
          <w:lang w:val="fr-FR"/>
        </w:rPr>
        <w:tab/>
      </w:r>
      <w:r w:rsidR="008B7863" w:rsidRPr="008C7134">
        <w:rPr>
          <w:lang w:val="fr-FR"/>
        </w:rPr>
        <w:t>Chapitre 3.</w:t>
      </w:r>
      <w:r w:rsidRPr="008C7134">
        <w:rPr>
          <w:lang w:val="fr-FR"/>
        </w:rPr>
        <w:t>5</w:t>
      </w:r>
    </w:p>
    <w:p w:rsidR="008B7863" w:rsidRPr="008C7134" w:rsidRDefault="008B7863" w:rsidP="0006208C">
      <w:pPr>
        <w:pStyle w:val="SingleTxtG"/>
        <w:rPr>
          <w:lang w:val="fr-FR"/>
        </w:rPr>
      </w:pPr>
      <w:r w:rsidRPr="008C7134">
        <w:rPr>
          <w:lang w:val="fr-FR"/>
        </w:rPr>
        <w:t>Remplacer le tableau</w:t>
      </w:r>
      <w:r w:rsidR="00C34528" w:rsidRPr="008C7134">
        <w:rPr>
          <w:lang w:val="fr-FR"/>
        </w:rPr>
        <w:t xml:space="preserve">, les notes de bas de tableau et la phrase figurant après le tableau </w:t>
      </w:r>
      <w:r w:rsidR="00AE3C86">
        <w:rPr>
          <w:lang w:val="fr-FR"/>
        </w:rPr>
        <w:t>par ce qui suit</w:t>
      </w:r>
      <w:r w:rsidRPr="008C7134">
        <w:rPr>
          <w:lang w:val="fr-FR"/>
        </w:rPr>
        <w:t>:</w:t>
      </w:r>
    </w:p>
    <w:p w:rsidR="006E0C02" w:rsidRPr="008C7134" w:rsidRDefault="006E0C02" w:rsidP="006E0C02">
      <w:pPr>
        <w:pStyle w:val="H23G"/>
        <w:rPr>
          <w:lang w:val="fr-FR"/>
        </w:rPr>
      </w:pPr>
      <w:r w:rsidRPr="008C7134">
        <w:rPr>
          <w:lang w:val="fr-FR"/>
        </w:rPr>
        <w:tab/>
      </w:r>
      <w:r w:rsidRPr="008C7134">
        <w:rPr>
          <w:lang w:val="fr-FR"/>
        </w:rPr>
        <w:tab/>
      </w:r>
      <w:r w:rsidR="00C34528" w:rsidRPr="008C7134">
        <w:rPr>
          <w:lang w:val="fr-FR"/>
        </w:rPr>
        <w:t>«</w:t>
      </w:r>
      <w:r w:rsidRPr="008C7134">
        <w:rPr>
          <w:lang w:val="fr-FR"/>
        </w:rPr>
        <w:t>Méthodologie de détermination des quantités exemptées</w:t>
      </w:r>
    </w:p>
    <w:tbl>
      <w:tblPr>
        <w:tblStyle w:val="TableGrid"/>
        <w:tblW w:w="0" w:type="auto"/>
        <w:tblInd w:w="392" w:type="dxa"/>
        <w:tblLook w:val="04A0" w:firstRow="1" w:lastRow="0" w:firstColumn="1" w:lastColumn="0" w:noHBand="0" w:noVBand="1"/>
      </w:tblPr>
      <w:tblGrid>
        <w:gridCol w:w="1428"/>
        <w:gridCol w:w="990"/>
        <w:gridCol w:w="3150"/>
        <w:gridCol w:w="2617"/>
        <w:gridCol w:w="887"/>
      </w:tblGrid>
      <w:tr w:rsidR="00C34528" w:rsidRPr="00EB7F21" w:rsidTr="00A07C16">
        <w:trPr>
          <w:cantSplit/>
          <w:trHeight w:val="20"/>
          <w:tblHeader/>
        </w:trPr>
        <w:tc>
          <w:tcPr>
            <w:tcW w:w="1428"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b/>
                <w:bCs/>
                <w:sz w:val="18"/>
                <w:szCs w:val="18"/>
                <w:lang w:val="fr-FR"/>
              </w:rPr>
            </w:pPr>
            <w:r w:rsidRPr="00EB7F21">
              <w:rPr>
                <w:b/>
                <w:sz w:val="18"/>
                <w:szCs w:val="18"/>
                <w:lang w:val="fr-FR"/>
              </w:rPr>
              <w:t>Classe/Division</w:t>
            </w:r>
          </w:p>
        </w:tc>
        <w:tc>
          <w:tcPr>
            <w:tcW w:w="990" w:type="dxa"/>
            <w:tcBorders>
              <w:top w:val="single" w:sz="4" w:space="0" w:color="auto"/>
              <w:left w:val="single" w:sz="4" w:space="0" w:color="auto"/>
              <w:bottom w:val="single" w:sz="4" w:space="0" w:color="auto"/>
              <w:right w:val="single" w:sz="4" w:space="0" w:color="auto"/>
            </w:tcBorders>
            <w:hideMark/>
          </w:tcPr>
          <w:p w:rsidR="00C34528" w:rsidRPr="00EB7F21" w:rsidRDefault="00C34528">
            <w:pPr>
              <w:rPr>
                <w:b/>
                <w:bCs/>
                <w:sz w:val="18"/>
                <w:szCs w:val="18"/>
                <w:lang w:val="fr-FR"/>
              </w:rPr>
            </w:pPr>
            <w:r w:rsidRPr="00EB7F21">
              <w:rPr>
                <w:b/>
                <w:sz w:val="18"/>
                <w:szCs w:val="18"/>
                <w:lang w:val="fr-FR"/>
              </w:rPr>
              <w:t>Groupe d’emballage</w:t>
            </w:r>
          </w:p>
        </w:tc>
        <w:tc>
          <w:tcPr>
            <w:tcW w:w="3150" w:type="dxa"/>
            <w:tcBorders>
              <w:top w:val="single" w:sz="4" w:space="0" w:color="auto"/>
              <w:left w:val="single" w:sz="4" w:space="0" w:color="auto"/>
              <w:bottom w:val="single" w:sz="4" w:space="0" w:color="auto"/>
              <w:right w:val="single" w:sz="4" w:space="0" w:color="auto"/>
            </w:tcBorders>
            <w:hideMark/>
          </w:tcPr>
          <w:p w:rsidR="00C34528" w:rsidRPr="00EB7F21" w:rsidRDefault="00C34528">
            <w:pPr>
              <w:rPr>
                <w:sz w:val="18"/>
                <w:szCs w:val="18"/>
                <w:lang w:val="fr-FR"/>
              </w:rPr>
            </w:pPr>
            <w:r w:rsidRPr="00EB7F21">
              <w:rPr>
                <w:b/>
                <w:sz w:val="18"/>
                <w:szCs w:val="18"/>
                <w:lang w:val="fr-FR"/>
              </w:rPr>
              <w:t xml:space="preserve">Quantité nette maximale </w:t>
            </w:r>
            <w:r w:rsidRPr="00EB7F21">
              <w:rPr>
                <w:b/>
                <w:sz w:val="18"/>
                <w:szCs w:val="18"/>
                <w:lang w:val="fr-FR"/>
              </w:rPr>
              <w:br/>
              <w:t>par emballage intérieur</w:t>
            </w:r>
            <w:r w:rsidRPr="00EB7F21">
              <w:rPr>
                <w:sz w:val="18"/>
                <w:szCs w:val="18"/>
                <w:lang w:val="fr-FR"/>
              </w:rPr>
              <w:t xml:space="preserve"> </w:t>
            </w:r>
            <w:r w:rsidRPr="00EB7F21">
              <w:rPr>
                <w:sz w:val="18"/>
                <w:szCs w:val="18"/>
                <w:lang w:val="fr-FR"/>
              </w:rPr>
              <w:br/>
              <w:t xml:space="preserve">(en grammes pour les matières solides et en ml pour les liquides </w:t>
            </w:r>
            <w:r w:rsidRPr="00EB7F21">
              <w:rPr>
                <w:sz w:val="18"/>
                <w:szCs w:val="18"/>
                <w:lang w:val="fr-FR"/>
              </w:rPr>
              <w:br/>
              <w:t>et gaz)</w:t>
            </w:r>
          </w:p>
        </w:tc>
        <w:tc>
          <w:tcPr>
            <w:tcW w:w="2617" w:type="dxa"/>
            <w:tcBorders>
              <w:top w:val="single" w:sz="4" w:space="0" w:color="auto"/>
              <w:left w:val="single" w:sz="4" w:space="0" w:color="auto"/>
              <w:bottom w:val="single" w:sz="4" w:space="0" w:color="auto"/>
              <w:right w:val="single" w:sz="4" w:space="0" w:color="auto"/>
            </w:tcBorders>
            <w:hideMark/>
          </w:tcPr>
          <w:p w:rsidR="00C34528" w:rsidRPr="00EB7F21" w:rsidRDefault="00C34528">
            <w:pPr>
              <w:rPr>
                <w:sz w:val="18"/>
                <w:szCs w:val="18"/>
                <w:lang w:val="fr-FR"/>
              </w:rPr>
            </w:pPr>
            <w:r w:rsidRPr="00EB7F21">
              <w:rPr>
                <w:b/>
                <w:sz w:val="18"/>
                <w:szCs w:val="18"/>
                <w:lang w:val="fr-FR"/>
              </w:rPr>
              <w:t>Quantité nette maximale par emballage extérieur</w:t>
            </w:r>
            <w:r w:rsidRPr="00EB7F21">
              <w:rPr>
                <w:sz w:val="18"/>
                <w:szCs w:val="18"/>
                <w:lang w:val="fr-FR"/>
              </w:rPr>
              <w:t xml:space="preserve"> (en grammes pour les matières solides et en ml pour les liquides et gaz, </w:t>
            </w:r>
            <w:r w:rsidRPr="00EB7F21">
              <w:rPr>
                <w:sz w:val="18"/>
                <w:szCs w:val="18"/>
                <w:lang w:val="fr-FR"/>
              </w:rPr>
              <w:br/>
              <w:t xml:space="preserve">ou somme des grammes </w:t>
            </w:r>
            <w:r w:rsidRPr="00EB7F21">
              <w:rPr>
                <w:sz w:val="18"/>
                <w:szCs w:val="18"/>
                <w:lang w:val="fr-FR"/>
              </w:rPr>
              <w:br/>
              <w:t>et ml dans le cas de de l’emballage en commun)</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b/>
                <w:bCs/>
                <w:sz w:val="18"/>
                <w:szCs w:val="18"/>
                <w:lang w:val="fr-FR"/>
              </w:rPr>
            </w:pPr>
            <w:proofErr w:type="spellStart"/>
            <w:r w:rsidRPr="00EB7F21">
              <w:rPr>
                <w:b/>
                <w:sz w:val="18"/>
                <w:szCs w:val="18"/>
                <w:lang w:val="fr-FR"/>
              </w:rPr>
              <w:t>Code-E</w:t>
            </w:r>
            <w:proofErr w:type="spellEnd"/>
          </w:p>
        </w:tc>
      </w:tr>
      <w:tr w:rsidR="00C34528" w:rsidRPr="00EB7F21" w:rsidTr="00A07C16">
        <w:trPr>
          <w:cantSplit/>
          <w:trHeight w:val="20"/>
        </w:trPr>
        <w:tc>
          <w:tcPr>
            <w:tcW w:w="1428" w:type="dxa"/>
            <w:tcBorders>
              <w:top w:val="single" w:sz="4" w:space="0" w:color="auto"/>
              <w:left w:val="single" w:sz="4" w:space="0" w:color="auto"/>
              <w:bottom w:val="single" w:sz="4" w:space="0" w:color="auto"/>
              <w:right w:val="single" w:sz="4" w:space="0" w:color="auto"/>
            </w:tcBorders>
            <w:hideMark/>
          </w:tcPr>
          <w:p w:rsidR="00C34528" w:rsidRPr="00EB7F21" w:rsidRDefault="00C34528">
            <w:pPr>
              <w:rPr>
                <w:sz w:val="18"/>
                <w:szCs w:val="18"/>
                <w:lang w:val="fr-FR"/>
              </w:rPr>
            </w:pPr>
            <w:r w:rsidRPr="00EB7F21">
              <w:rPr>
                <w:sz w:val="18"/>
                <w:szCs w:val="18"/>
                <w:lang w:val="fr-FR"/>
              </w:rPr>
              <w:t>1</w:t>
            </w: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 </w:t>
            </w:r>
          </w:p>
        </w:tc>
        <w:tc>
          <w:tcPr>
            <w:tcW w:w="5767" w:type="dxa"/>
            <w:gridSpan w:val="2"/>
            <w:tcBorders>
              <w:top w:val="single" w:sz="4" w:space="0" w:color="auto"/>
              <w:left w:val="single" w:sz="4" w:space="0" w:color="auto"/>
              <w:bottom w:val="single" w:sz="4" w:space="0" w:color="auto"/>
              <w:right w:val="single" w:sz="4" w:space="0" w:color="auto"/>
            </w:tcBorders>
            <w:noWrap/>
            <w:hideMark/>
          </w:tcPr>
          <w:p w:rsidR="00C34528" w:rsidRPr="00EB7F21" w:rsidRDefault="00C34528">
            <w:pPr>
              <w:jc w:val="center"/>
              <w:rPr>
                <w:sz w:val="18"/>
                <w:szCs w:val="18"/>
                <w:lang w:val="fr-FR"/>
              </w:rPr>
            </w:pPr>
            <w:r w:rsidRPr="00EB7F21">
              <w:rPr>
                <w:sz w:val="18"/>
                <w:szCs w:val="18"/>
                <w:lang w:val="fr-FR"/>
              </w:rPr>
              <w:t>Non autorisé</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E0</w:t>
            </w:r>
          </w:p>
        </w:tc>
      </w:tr>
      <w:tr w:rsidR="00C34528" w:rsidRPr="00EB7F21" w:rsidTr="00A07C16">
        <w:trPr>
          <w:cantSplit/>
          <w:trHeight w:val="20"/>
        </w:trPr>
        <w:tc>
          <w:tcPr>
            <w:tcW w:w="1428" w:type="dxa"/>
            <w:tcBorders>
              <w:top w:val="single" w:sz="4" w:space="0" w:color="auto"/>
              <w:left w:val="single" w:sz="4" w:space="0" w:color="auto"/>
              <w:bottom w:val="single" w:sz="4" w:space="0" w:color="auto"/>
              <w:right w:val="single" w:sz="4" w:space="0" w:color="auto"/>
            </w:tcBorders>
            <w:hideMark/>
          </w:tcPr>
          <w:p w:rsidR="00C34528" w:rsidRPr="00EB7F21" w:rsidRDefault="00C34528">
            <w:pPr>
              <w:rPr>
                <w:sz w:val="18"/>
                <w:szCs w:val="18"/>
                <w:lang w:val="fr-FR"/>
              </w:rPr>
            </w:pPr>
            <w:r w:rsidRPr="00EB7F21">
              <w:rPr>
                <w:sz w:val="18"/>
                <w:szCs w:val="18"/>
                <w:lang w:val="fr-FR"/>
              </w:rPr>
              <w:t>2.1</w:t>
            </w: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 </w:t>
            </w:r>
          </w:p>
        </w:tc>
        <w:tc>
          <w:tcPr>
            <w:tcW w:w="5767" w:type="dxa"/>
            <w:gridSpan w:val="2"/>
            <w:tcBorders>
              <w:top w:val="single" w:sz="4" w:space="0" w:color="auto"/>
              <w:left w:val="single" w:sz="4" w:space="0" w:color="auto"/>
              <w:bottom w:val="single" w:sz="4" w:space="0" w:color="auto"/>
              <w:right w:val="single" w:sz="4" w:space="0" w:color="auto"/>
            </w:tcBorders>
            <w:noWrap/>
            <w:hideMark/>
          </w:tcPr>
          <w:p w:rsidR="00C34528" w:rsidRPr="00EB7F21" w:rsidRDefault="00C34528">
            <w:pPr>
              <w:jc w:val="center"/>
              <w:rPr>
                <w:sz w:val="18"/>
                <w:szCs w:val="18"/>
                <w:lang w:val="fr-FR"/>
              </w:rPr>
            </w:pPr>
            <w:r w:rsidRPr="00EB7F21">
              <w:rPr>
                <w:sz w:val="18"/>
                <w:szCs w:val="18"/>
                <w:lang w:val="fr-FR"/>
              </w:rPr>
              <w:t>Non autorisé</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E0</w:t>
            </w:r>
          </w:p>
        </w:tc>
      </w:tr>
      <w:tr w:rsidR="00C34528" w:rsidRPr="00EB7F21" w:rsidTr="00A07C16">
        <w:trPr>
          <w:cantSplit/>
          <w:trHeight w:val="20"/>
        </w:trPr>
        <w:tc>
          <w:tcPr>
            <w:tcW w:w="1428" w:type="dxa"/>
            <w:tcBorders>
              <w:top w:val="single" w:sz="4" w:space="0" w:color="auto"/>
              <w:left w:val="single" w:sz="4" w:space="0" w:color="auto"/>
              <w:bottom w:val="single" w:sz="4" w:space="0" w:color="auto"/>
              <w:right w:val="single" w:sz="4" w:space="0" w:color="auto"/>
            </w:tcBorders>
            <w:hideMark/>
          </w:tcPr>
          <w:p w:rsidR="00C34528" w:rsidRPr="00EB7F21" w:rsidRDefault="00C34528">
            <w:pPr>
              <w:rPr>
                <w:sz w:val="18"/>
                <w:szCs w:val="18"/>
                <w:vertAlign w:val="superscript"/>
                <w:lang w:val="fr-FR"/>
              </w:rPr>
            </w:pPr>
            <w:r w:rsidRPr="00EB7F21">
              <w:rPr>
                <w:sz w:val="18"/>
                <w:szCs w:val="18"/>
                <w:lang w:val="fr-FR"/>
              </w:rPr>
              <w:t xml:space="preserve">2.2 sans danger </w:t>
            </w:r>
            <w:proofErr w:type="spellStart"/>
            <w:r w:rsidRPr="00EB7F21">
              <w:rPr>
                <w:sz w:val="18"/>
                <w:szCs w:val="18"/>
                <w:lang w:val="fr-FR"/>
              </w:rPr>
              <w:t>subsidiaire</w:t>
            </w:r>
            <w:r w:rsidRPr="00EB7F21">
              <w:rPr>
                <w:sz w:val="18"/>
                <w:szCs w:val="18"/>
                <w:vertAlign w:val="superscript"/>
                <w:lang w:val="fr-FR"/>
              </w:rPr>
              <w:t>a</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 </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1000 g / 1000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E1</w:t>
            </w:r>
          </w:p>
        </w:tc>
      </w:tr>
      <w:tr w:rsidR="00C34528" w:rsidRPr="00EB7F21" w:rsidTr="00A07C16">
        <w:trPr>
          <w:cantSplit/>
          <w:trHeight w:val="20"/>
        </w:trPr>
        <w:tc>
          <w:tcPr>
            <w:tcW w:w="1428" w:type="dxa"/>
            <w:tcBorders>
              <w:top w:val="single" w:sz="4" w:space="0" w:color="auto"/>
              <w:left w:val="single" w:sz="4" w:space="0" w:color="auto"/>
              <w:bottom w:val="single" w:sz="4" w:space="0" w:color="auto"/>
              <w:right w:val="single" w:sz="4" w:space="0" w:color="auto"/>
            </w:tcBorders>
            <w:hideMark/>
          </w:tcPr>
          <w:p w:rsidR="00C34528" w:rsidRPr="00EB7F21" w:rsidRDefault="00C34528">
            <w:pPr>
              <w:rPr>
                <w:sz w:val="18"/>
                <w:szCs w:val="18"/>
                <w:lang w:val="fr-FR"/>
              </w:rPr>
            </w:pPr>
            <w:r w:rsidRPr="00EB7F21">
              <w:rPr>
                <w:sz w:val="18"/>
                <w:szCs w:val="18"/>
                <w:lang w:val="fr-FR"/>
              </w:rPr>
              <w:t>2.2 avec danger subsidiaire</w:t>
            </w: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 </w:t>
            </w:r>
          </w:p>
        </w:tc>
        <w:tc>
          <w:tcPr>
            <w:tcW w:w="5767" w:type="dxa"/>
            <w:gridSpan w:val="2"/>
            <w:tcBorders>
              <w:top w:val="single" w:sz="4" w:space="0" w:color="auto"/>
              <w:left w:val="single" w:sz="4" w:space="0" w:color="auto"/>
              <w:bottom w:val="single" w:sz="4" w:space="0" w:color="auto"/>
              <w:right w:val="single" w:sz="4" w:space="0" w:color="auto"/>
            </w:tcBorders>
            <w:noWrap/>
            <w:hideMark/>
          </w:tcPr>
          <w:p w:rsidR="00C34528" w:rsidRPr="00EB7F21" w:rsidRDefault="00C34528">
            <w:pPr>
              <w:jc w:val="center"/>
              <w:rPr>
                <w:sz w:val="18"/>
                <w:szCs w:val="18"/>
                <w:lang w:val="fr-FR"/>
              </w:rPr>
            </w:pPr>
            <w:r w:rsidRPr="00EB7F21">
              <w:rPr>
                <w:sz w:val="18"/>
                <w:szCs w:val="18"/>
                <w:lang w:val="fr-FR"/>
              </w:rPr>
              <w:t>Non autorisé</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E0</w:t>
            </w:r>
          </w:p>
        </w:tc>
      </w:tr>
      <w:tr w:rsidR="00C34528" w:rsidRPr="00EB7F21" w:rsidTr="00A07C16">
        <w:trPr>
          <w:cantSplit/>
          <w:trHeight w:val="20"/>
        </w:trPr>
        <w:tc>
          <w:tcPr>
            <w:tcW w:w="1428" w:type="dxa"/>
            <w:tcBorders>
              <w:top w:val="single" w:sz="4" w:space="0" w:color="auto"/>
              <w:left w:val="single" w:sz="4" w:space="0" w:color="auto"/>
              <w:bottom w:val="single" w:sz="4" w:space="0" w:color="auto"/>
              <w:right w:val="single" w:sz="4" w:space="0" w:color="auto"/>
            </w:tcBorders>
            <w:hideMark/>
          </w:tcPr>
          <w:p w:rsidR="00C34528" w:rsidRPr="00EB7F21" w:rsidRDefault="00C34528">
            <w:pPr>
              <w:rPr>
                <w:sz w:val="18"/>
                <w:szCs w:val="18"/>
                <w:lang w:val="fr-FR"/>
              </w:rPr>
            </w:pPr>
            <w:r w:rsidRPr="00EB7F21">
              <w:rPr>
                <w:sz w:val="18"/>
                <w:szCs w:val="18"/>
                <w:lang w:val="fr-FR"/>
              </w:rPr>
              <w:t>2.3</w:t>
            </w: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 </w:t>
            </w:r>
          </w:p>
        </w:tc>
        <w:tc>
          <w:tcPr>
            <w:tcW w:w="5767" w:type="dxa"/>
            <w:gridSpan w:val="2"/>
            <w:tcBorders>
              <w:top w:val="single" w:sz="4" w:space="0" w:color="auto"/>
              <w:left w:val="single" w:sz="4" w:space="0" w:color="auto"/>
              <w:bottom w:val="single" w:sz="4" w:space="0" w:color="auto"/>
              <w:right w:val="single" w:sz="4" w:space="0" w:color="auto"/>
            </w:tcBorders>
            <w:noWrap/>
            <w:hideMark/>
          </w:tcPr>
          <w:p w:rsidR="00C34528" w:rsidRPr="00EB7F21" w:rsidRDefault="00C34528">
            <w:pPr>
              <w:jc w:val="center"/>
              <w:rPr>
                <w:sz w:val="18"/>
                <w:szCs w:val="18"/>
                <w:lang w:val="fr-FR"/>
              </w:rPr>
            </w:pPr>
            <w:r w:rsidRPr="00EB7F21">
              <w:rPr>
                <w:sz w:val="18"/>
                <w:szCs w:val="18"/>
                <w:lang w:val="fr-FR"/>
              </w:rPr>
              <w:t>Non autorisé</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E0</w:t>
            </w:r>
          </w:p>
        </w:tc>
      </w:tr>
      <w:tr w:rsidR="00C34528" w:rsidRPr="00EB7F21" w:rsidTr="00A07C16">
        <w:trPr>
          <w:cantSplit/>
          <w:trHeight w:val="20"/>
        </w:trPr>
        <w:tc>
          <w:tcPr>
            <w:tcW w:w="1428" w:type="dxa"/>
            <w:tcBorders>
              <w:top w:val="single" w:sz="4" w:space="0" w:color="auto"/>
              <w:left w:val="single" w:sz="4" w:space="0" w:color="auto"/>
              <w:bottom w:val="nil"/>
              <w:right w:val="single" w:sz="4" w:space="0" w:color="auto"/>
            </w:tcBorders>
            <w:hideMark/>
          </w:tcPr>
          <w:p w:rsidR="00C34528" w:rsidRPr="00EB7F21" w:rsidRDefault="00C34528">
            <w:pPr>
              <w:rPr>
                <w:sz w:val="18"/>
                <w:szCs w:val="18"/>
                <w:vertAlign w:val="superscript"/>
                <w:lang w:val="fr-FR"/>
              </w:rPr>
            </w:pPr>
            <w:r w:rsidRPr="00EB7F21">
              <w:rPr>
                <w:sz w:val="18"/>
                <w:szCs w:val="18"/>
                <w:lang w:val="fr-FR"/>
              </w:rPr>
              <w:t xml:space="preserve">3 sans danger </w:t>
            </w:r>
            <w:proofErr w:type="spellStart"/>
            <w:r w:rsidRPr="00EB7F21">
              <w:rPr>
                <w:sz w:val="18"/>
                <w:szCs w:val="18"/>
                <w:lang w:val="fr-FR"/>
              </w:rPr>
              <w:t>subsidiaire</w:t>
            </w:r>
            <w:r w:rsidRPr="00EB7F21">
              <w:rPr>
                <w:sz w:val="18"/>
                <w:szCs w:val="18"/>
                <w:vertAlign w:val="superscript"/>
                <w:lang w:val="fr-FR"/>
              </w:rPr>
              <w:t>b</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 xml:space="preserve">300 g / 300 ml </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E3</w:t>
            </w:r>
          </w:p>
        </w:tc>
      </w:tr>
      <w:tr w:rsidR="00C34528" w:rsidRPr="00EB7F21" w:rsidTr="00A07C16">
        <w:trPr>
          <w:cantSplit/>
          <w:trHeight w:val="20"/>
        </w:trPr>
        <w:tc>
          <w:tcPr>
            <w:tcW w:w="1428" w:type="dxa"/>
            <w:tcBorders>
              <w:top w:val="nil"/>
              <w:left w:val="single" w:sz="4" w:space="0" w:color="auto"/>
              <w:bottom w:val="nil"/>
              <w:right w:val="single" w:sz="4" w:space="0" w:color="auto"/>
            </w:tcBorders>
            <w:hideMark/>
          </w:tcPr>
          <w:p w:rsidR="00C34528" w:rsidRPr="00EB7F21" w:rsidRDefault="00C34528">
            <w:pPr>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500 g / 500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E2</w:t>
            </w:r>
          </w:p>
        </w:tc>
      </w:tr>
      <w:tr w:rsidR="00C34528" w:rsidRPr="00EB7F21" w:rsidTr="00A07C16">
        <w:trPr>
          <w:cantSplit/>
          <w:trHeight w:val="20"/>
        </w:trPr>
        <w:tc>
          <w:tcPr>
            <w:tcW w:w="1428" w:type="dxa"/>
            <w:tcBorders>
              <w:top w:val="nil"/>
              <w:left w:val="single" w:sz="4" w:space="0" w:color="auto"/>
              <w:bottom w:val="single" w:sz="4" w:space="0" w:color="auto"/>
              <w:right w:val="single" w:sz="4" w:space="0" w:color="auto"/>
            </w:tcBorders>
            <w:hideMark/>
          </w:tcPr>
          <w:p w:rsidR="00C34528" w:rsidRPr="00EB7F21" w:rsidRDefault="00C34528">
            <w:pPr>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1000 g / 1000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E1</w:t>
            </w:r>
          </w:p>
        </w:tc>
      </w:tr>
      <w:tr w:rsidR="00C34528" w:rsidRPr="00EB7F21" w:rsidTr="00A07C16">
        <w:trPr>
          <w:cantSplit/>
          <w:trHeight w:val="20"/>
        </w:trPr>
        <w:tc>
          <w:tcPr>
            <w:tcW w:w="1428" w:type="dxa"/>
            <w:tcBorders>
              <w:top w:val="single" w:sz="4" w:space="0" w:color="auto"/>
              <w:left w:val="single" w:sz="4" w:space="0" w:color="auto"/>
              <w:bottom w:val="nil"/>
              <w:right w:val="single" w:sz="4" w:space="0" w:color="auto"/>
            </w:tcBorders>
            <w:hideMark/>
          </w:tcPr>
          <w:p w:rsidR="00C34528" w:rsidRPr="00EB7F21" w:rsidRDefault="00C34528">
            <w:pPr>
              <w:rPr>
                <w:sz w:val="18"/>
                <w:szCs w:val="18"/>
                <w:lang w:val="fr-FR"/>
              </w:rPr>
            </w:pPr>
            <w:r w:rsidRPr="00EB7F21">
              <w:rPr>
                <w:sz w:val="18"/>
                <w:szCs w:val="18"/>
                <w:lang w:val="fr-FR"/>
              </w:rPr>
              <w:t xml:space="preserve">3 avec danger </w:t>
            </w:r>
            <w:proofErr w:type="spellStart"/>
            <w:r w:rsidRPr="00EB7F21">
              <w:rPr>
                <w:sz w:val="18"/>
                <w:szCs w:val="18"/>
                <w:lang w:val="fr-FR"/>
              </w:rPr>
              <w:t>subsidiaire</w:t>
            </w:r>
            <w:r w:rsidRPr="00EB7F21">
              <w:rPr>
                <w:sz w:val="18"/>
                <w:szCs w:val="18"/>
                <w:vertAlign w:val="superscript"/>
                <w:lang w:val="fr-FR"/>
              </w:rPr>
              <w:t>c</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w:t>
            </w:r>
          </w:p>
        </w:tc>
        <w:tc>
          <w:tcPr>
            <w:tcW w:w="5767" w:type="dxa"/>
            <w:gridSpan w:val="2"/>
            <w:tcBorders>
              <w:top w:val="single" w:sz="4" w:space="0" w:color="auto"/>
              <w:left w:val="single" w:sz="4" w:space="0" w:color="auto"/>
              <w:bottom w:val="single" w:sz="4" w:space="0" w:color="auto"/>
              <w:right w:val="single" w:sz="4" w:space="0" w:color="auto"/>
            </w:tcBorders>
            <w:noWrap/>
            <w:hideMark/>
          </w:tcPr>
          <w:p w:rsidR="00C34528" w:rsidRPr="00EB7F21" w:rsidRDefault="00C34528">
            <w:pPr>
              <w:jc w:val="center"/>
              <w:rPr>
                <w:sz w:val="18"/>
                <w:szCs w:val="18"/>
                <w:lang w:val="fr-FR"/>
              </w:rPr>
            </w:pPr>
            <w:r w:rsidRPr="00EB7F21">
              <w:rPr>
                <w:sz w:val="18"/>
                <w:szCs w:val="18"/>
                <w:lang w:val="fr-FR"/>
              </w:rPr>
              <w:t>Non autorisé</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E0</w:t>
            </w:r>
          </w:p>
        </w:tc>
      </w:tr>
      <w:tr w:rsidR="00C34528" w:rsidRPr="00EB7F21" w:rsidTr="00A07C16">
        <w:trPr>
          <w:cantSplit/>
          <w:trHeight w:val="20"/>
        </w:trPr>
        <w:tc>
          <w:tcPr>
            <w:tcW w:w="1428" w:type="dxa"/>
            <w:tcBorders>
              <w:top w:val="nil"/>
              <w:left w:val="single" w:sz="4" w:space="0" w:color="auto"/>
              <w:bottom w:val="nil"/>
              <w:right w:val="single" w:sz="4" w:space="0" w:color="auto"/>
            </w:tcBorders>
            <w:hideMark/>
          </w:tcPr>
          <w:p w:rsidR="00C34528" w:rsidRPr="00EB7F21" w:rsidRDefault="00C34528">
            <w:pPr>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500 g / 500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E2</w:t>
            </w:r>
          </w:p>
        </w:tc>
      </w:tr>
      <w:tr w:rsidR="00C34528" w:rsidRPr="00EB7F21" w:rsidTr="00A07C16">
        <w:trPr>
          <w:cantSplit/>
          <w:trHeight w:val="20"/>
        </w:trPr>
        <w:tc>
          <w:tcPr>
            <w:tcW w:w="1428" w:type="dxa"/>
            <w:tcBorders>
              <w:top w:val="nil"/>
              <w:left w:val="single" w:sz="4" w:space="0" w:color="auto"/>
              <w:bottom w:val="single" w:sz="4" w:space="0" w:color="auto"/>
              <w:right w:val="single" w:sz="4" w:space="0" w:color="auto"/>
            </w:tcBorders>
            <w:hideMark/>
          </w:tcPr>
          <w:p w:rsidR="00C34528" w:rsidRPr="00EB7F21" w:rsidRDefault="00C34528">
            <w:pPr>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1000 g / 1000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E1</w:t>
            </w:r>
          </w:p>
        </w:tc>
      </w:tr>
      <w:tr w:rsidR="00C34528" w:rsidRPr="00EB7F21" w:rsidTr="00A07C16">
        <w:trPr>
          <w:cantSplit/>
          <w:trHeight w:val="20"/>
        </w:trPr>
        <w:tc>
          <w:tcPr>
            <w:tcW w:w="1428" w:type="dxa"/>
            <w:tcBorders>
              <w:top w:val="single" w:sz="4" w:space="0" w:color="auto"/>
              <w:left w:val="single" w:sz="4" w:space="0" w:color="auto"/>
              <w:bottom w:val="nil"/>
              <w:right w:val="single" w:sz="4" w:space="0" w:color="auto"/>
            </w:tcBorders>
            <w:hideMark/>
          </w:tcPr>
          <w:p w:rsidR="00C34528" w:rsidRPr="00EB7F21" w:rsidRDefault="00C34528">
            <w:pPr>
              <w:rPr>
                <w:sz w:val="18"/>
                <w:szCs w:val="18"/>
                <w:vertAlign w:val="superscript"/>
                <w:lang w:val="fr-FR"/>
              </w:rPr>
            </w:pPr>
            <w:r w:rsidRPr="00EB7F21">
              <w:rPr>
                <w:sz w:val="18"/>
                <w:szCs w:val="18"/>
                <w:lang w:val="fr-FR"/>
              </w:rPr>
              <w:t>4.1</w:t>
            </w:r>
            <w:r w:rsidRPr="00EB7F21">
              <w:rPr>
                <w:sz w:val="18"/>
                <w:szCs w:val="18"/>
                <w:vertAlign w:val="superscript"/>
                <w:lang w:val="fr-FR"/>
              </w:rPr>
              <w:t>d</w:t>
            </w: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w:t>
            </w:r>
          </w:p>
        </w:tc>
        <w:tc>
          <w:tcPr>
            <w:tcW w:w="5767" w:type="dxa"/>
            <w:gridSpan w:val="2"/>
            <w:tcBorders>
              <w:top w:val="single" w:sz="4" w:space="0" w:color="auto"/>
              <w:left w:val="single" w:sz="4" w:space="0" w:color="auto"/>
              <w:bottom w:val="single" w:sz="4" w:space="0" w:color="auto"/>
              <w:right w:val="single" w:sz="4" w:space="0" w:color="auto"/>
            </w:tcBorders>
            <w:noWrap/>
            <w:hideMark/>
          </w:tcPr>
          <w:p w:rsidR="00C34528" w:rsidRPr="00EB7F21" w:rsidRDefault="00C34528">
            <w:pPr>
              <w:jc w:val="center"/>
              <w:rPr>
                <w:sz w:val="18"/>
                <w:szCs w:val="18"/>
                <w:lang w:val="fr-FR"/>
              </w:rPr>
            </w:pPr>
            <w:r w:rsidRPr="00EB7F21">
              <w:rPr>
                <w:sz w:val="18"/>
                <w:szCs w:val="18"/>
                <w:lang w:val="fr-FR"/>
              </w:rPr>
              <w:t>Non autorisé</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E0</w:t>
            </w:r>
          </w:p>
        </w:tc>
      </w:tr>
      <w:tr w:rsidR="00C34528" w:rsidRPr="00EB7F21" w:rsidTr="00A07C16">
        <w:trPr>
          <w:cantSplit/>
          <w:trHeight w:val="20"/>
        </w:trPr>
        <w:tc>
          <w:tcPr>
            <w:tcW w:w="1428" w:type="dxa"/>
            <w:tcBorders>
              <w:top w:val="nil"/>
              <w:left w:val="single" w:sz="4" w:space="0" w:color="auto"/>
              <w:bottom w:val="nil"/>
              <w:right w:val="single" w:sz="4" w:space="0" w:color="auto"/>
            </w:tcBorders>
            <w:hideMark/>
          </w:tcPr>
          <w:p w:rsidR="00C34528" w:rsidRPr="00EB7F21" w:rsidRDefault="00C34528">
            <w:pPr>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500 g / 500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E2</w:t>
            </w:r>
          </w:p>
        </w:tc>
      </w:tr>
      <w:tr w:rsidR="00C34528" w:rsidRPr="00EB7F21" w:rsidTr="00A07C16">
        <w:trPr>
          <w:cantSplit/>
          <w:trHeight w:val="20"/>
        </w:trPr>
        <w:tc>
          <w:tcPr>
            <w:tcW w:w="1428" w:type="dxa"/>
            <w:tcBorders>
              <w:top w:val="nil"/>
              <w:left w:val="single" w:sz="4" w:space="0" w:color="auto"/>
              <w:bottom w:val="single" w:sz="4" w:space="0" w:color="auto"/>
              <w:right w:val="single" w:sz="4" w:space="0" w:color="auto"/>
            </w:tcBorders>
            <w:hideMark/>
          </w:tcPr>
          <w:p w:rsidR="00C34528" w:rsidRPr="00EB7F21" w:rsidRDefault="00C34528">
            <w:pPr>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1000 g / 1000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E1</w:t>
            </w:r>
          </w:p>
        </w:tc>
      </w:tr>
      <w:tr w:rsidR="00C34528" w:rsidRPr="00EB7F21" w:rsidTr="00A07C16">
        <w:trPr>
          <w:cantSplit/>
          <w:trHeight w:val="20"/>
        </w:trPr>
        <w:tc>
          <w:tcPr>
            <w:tcW w:w="1428" w:type="dxa"/>
            <w:tcBorders>
              <w:top w:val="single" w:sz="4" w:space="0" w:color="auto"/>
              <w:left w:val="single" w:sz="4" w:space="0" w:color="auto"/>
              <w:bottom w:val="nil"/>
              <w:right w:val="single" w:sz="4" w:space="0" w:color="auto"/>
            </w:tcBorders>
            <w:hideMark/>
          </w:tcPr>
          <w:p w:rsidR="00C34528" w:rsidRPr="00EB7F21" w:rsidRDefault="00C34528">
            <w:pPr>
              <w:rPr>
                <w:sz w:val="18"/>
                <w:szCs w:val="18"/>
                <w:lang w:val="fr-FR"/>
              </w:rPr>
            </w:pPr>
            <w:r w:rsidRPr="00EB7F21">
              <w:rPr>
                <w:sz w:val="18"/>
                <w:szCs w:val="18"/>
                <w:lang w:val="fr-FR"/>
              </w:rPr>
              <w:t>4.2</w:t>
            </w: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w:t>
            </w:r>
          </w:p>
        </w:tc>
        <w:tc>
          <w:tcPr>
            <w:tcW w:w="5767" w:type="dxa"/>
            <w:gridSpan w:val="2"/>
            <w:tcBorders>
              <w:top w:val="single" w:sz="4" w:space="0" w:color="auto"/>
              <w:left w:val="single" w:sz="4" w:space="0" w:color="auto"/>
              <w:bottom w:val="single" w:sz="4" w:space="0" w:color="auto"/>
              <w:right w:val="single" w:sz="4" w:space="0" w:color="auto"/>
            </w:tcBorders>
            <w:noWrap/>
            <w:hideMark/>
          </w:tcPr>
          <w:p w:rsidR="00C34528" w:rsidRPr="00EB7F21" w:rsidRDefault="00C34528">
            <w:pPr>
              <w:jc w:val="center"/>
              <w:rPr>
                <w:sz w:val="18"/>
                <w:szCs w:val="18"/>
                <w:lang w:val="fr-FR"/>
              </w:rPr>
            </w:pPr>
            <w:r w:rsidRPr="00EB7F21">
              <w:rPr>
                <w:sz w:val="18"/>
                <w:szCs w:val="18"/>
                <w:lang w:val="fr-FR"/>
              </w:rPr>
              <w:t>Non autorisé</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E0</w:t>
            </w:r>
          </w:p>
        </w:tc>
      </w:tr>
      <w:tr w:rsidR="00C34528" w:rsidRPr="00EB7F21" w:rsidTr="00A07C16">
        <w:trPr>
          <w:cantSplit/>
          <w:trHeight w:val="20"/>
        </w:trPr>
        <w:tc>
          <w:tcPr>
            <w:tcW w:w="1428" w:type="dxa"/>
            <w:tcBorders>
              <w:top w:val="nil"/>
              <w:left w:val="single" w:sz="4" w:space="0" w:color="auto"/>
              <w:bottom w:val="nil"/>
              <w:right w:val="single" w:sz="4" w:space="0" w:color="auto"/>
            </w:tcBorders>
            <w:hideMark/>
          </w:tcPr>
          <w:p w:rsidR="00C34528" w:rsidRPr="00EB7F21" w:rsidRDefault="00C34528">
            <w:pPr>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500 g / 500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E2</w:t>
            </w:r>
          </w:p>
        </w:tc>
      </w:tr>
      <w:tr w:rsidR="00C34528" w:rsidRPr="00EB7F21" w:rsidTr="00A07C16">
        <w:trPr>
          <w:cantSplit/>
          <w:trHeight w:val="20"/>
        </w:trPr>
        <w:tc>
          <w:tcPr>
            <w:tcW w:w="1428" w:type="dxa"/>
            <w:tcBorders>
              <w:top w:val="nil"/>
              <w:left w:val="single" w:sz="4" w:space="0" w:color="auto"/>
              <w:bottom w:val="single" w:sz="4" w:space="0" w:color="auto"/>
              <w:right w:val="single" w:sz="4" w:space="0" w:color="auto"/>
            </w:tcBorders>
            <w:hideMark/>
          </w:tcPr>
          <w:p w:rsidR="00C34528" w:rsidRPr="00EB7F21" w:rsidRDefault="00C34528">
            <w:pPr>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1000 g / 1000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E1</w:t>
            </w:r>
          </w:p>
        </w:tc>
      </w:tr>
      <w:tr w:rsidR="00C34528" w:rsidRPr="00EB7F21" w:rsidTr="00A07C16">
        <w:trPr>
          <w:cantSplit/>
          <w:trHeight w:val="20"/>
        </w:trPr>
        <w:tc>
          <w:tcPr>
            <w:tcW w:w="1428" w:type="dxa"/>
            <w:tcBorders>
              <w:top w:val="single" w:sz="4" w:space="0" w:color="auto"/>
              <w:left w:val="single" w:sz="4" w:space="0" w:color="auto"/>
              <w:bottom w:val="nil"/>
              <w:right w:val="single" w:sz="4" w:space="0" w:color="auto"/>
            </w:tcBorders>
            <w:hideMark/>
          </w:tcPr>
          <w:p w:rsidR="00C34528" w:rsidRPr="00EB7F21" w:rsidRDefault="00C34528">
            <w:pPr>
              <w:rPr>
                <w:sz w:val="18"/>
                <w:szCs w:val="18"/>
                <w:lang w:val="fr-FR"/>
              </w:rPr>
            </w:pPr>
            <w:r w:rsidRPr="00EB7F21">
              <w:rPr>
                <w:sz w:val="18"/>
                <w:szCs w:val="18"/>
                <w:lang w:val="fr-FR"/>
              </w:rPr>
              <w:t>4.3</w:t>
            </w: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w:t>
            </w:r>
          </w:p>
        </w:tc>
        <w:tc>
          <w:tcPr>
            <w:tcW w:w="5767" w:type="dxa"/>
            <w:gridSpan w:val="2"/>
            <w:tcBorders>
              <w:top w:val="single" w:sz="4" w:space="0" w:color="auto"/>
              <w:left w:val="single" w:sz="4" w:space="0" w:color="auto"/>
              <w:bottom w:val="single" w:sz="4" w:space="0" w:color="auto"/>
              <w:right w:val="single" w:sz="4" w:space="0" w:color="auto"/>
            </w:tcBorders>
            <w:noWrap/>
            <w:hideMark/>
          </w:tcPr>
          <w:p w:rsidR="00C34528" w:rsidRPr="00EB7F21" w:rsidRDefault="00C34528">
            <w:pPr>
              <w:jc w:val="center"/>
              <w:rPr>
                <w:sz w:val="18"/>
                <w:szCs w:val="18"/>
                <w:lang w:val="fr-FR"/>
              </w:rPr>
            </w:pPr>
            <w:r w:rsidRPr="00EB7F21">
              <w:rPr>
                <w:sz w:val="18"/>
                <w:szCs w:val="18"/>
                <w:lang w:val="fr-FR"/>
              </w:rPr>
              <w:t>Non autorisé</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E0</w:t>
            </w:r>
          </w:p>
        </w:tc>
      </w:tr>
      <w:tr w:rsidR="00C34528" w:rsidRPr="00EB7F21" w:rsidTr="00A07C16">
        <w:trPr>
          <w:cantSplit/>
          <w:trHeight w:val="20"/>
        </w:trPr>
        <w:tc>
          <w:tcPr>
            <w:tcW w:w="1428" w:type="dxa"/>
            <w:tcBorders>
              <w:top w:val="nil"/>
              <w:left w:val="single" w:sz="4" w:space="0" w:color="auto"/>
              <w:bottom w:val="nil"/>
              <w:right w:val="single" w:sz="4" w:space="0" w:color="auto"/>
            </w:tcBorders>
            <w:hideMark/>
          </w:tcPr>
          <w:p w:rsidR="00C34528" w:rsidRPr="00EB7F21" w:rsidRDefault="00C34528">
            <w:pPr>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500 g / 500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E2</w:t>
            </w:r>
          </w:p>
        </w:tc>
      </w:tr>
      <w:tr w:rsidR="00C34528" w:rsidRPr="00EB7F21" w:rsidTr="00A07C16">
        <w:trPr>
          <w:cantSplit/>
          <w:trHeight w:val="20"/>
        </w:trPr>
        <w:tc>
          <w:tcPr>
            <w:tcW w:w="1428" w:type="dxa"/>
            <w:tcBorders>
              <w:top w:val="nil"/>
              <w:left w:val="single" w:sz="4" w:space="0" w:color="auto"/>
              <w:bottom w:val="single" w:sz="4" w:space="0" w:color="auto"/>
              <w:right w:val="single" w:sz="4" w:space="0" w:color="auto"/>
            </w:tcBorders>
            <w:hideMark/>
          </w:tcPr>
          <w:p w:rsidR="00C34528" w:rsidRPr="00EB7F21" w:rsidRDefault="00C34528">
            <w:pPr>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1000 g / 1000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E1</w:t>
            </w:r>
          </w:p>
        </w:tc>
      </w:tr>
      <w:tr w:rsidR="00C34528" w:rsidRPr="00EB7F21" w:rsidTr="00A07C16">
        <w:trPr>
          <w:cantSplit/>
          <w:trHeight w:val="20"/>
        </w:trPr>
        <w:tc>
          <w:tcPr>
            <w:tcW w:w="1428" w:type="dxa"/>
            <w:tcBorders>
              <w:top w:val="single" w:sz="4" w:space="0" w:color="auto"/>
              <w:left w:val="single" w:sz="4" w:space="0" w:color="auto"/>
              <w:bottom w:val="nil"/>
              <w:right w:val="single" w:sz="4" w:space="0" w:color="auto"/>
            </w:tcBorders>
            <w:hideMark/>
          </w:tcPr>
          <w:p w:rsidR="00C34528" w:rsidRPr="00EB7F21" w:rsidRDefault="00C34528" w:rsidP="00C34528">
            <w:pPr>
              <w:keepNext/>
              <w:keepLines/>
              <w:rPr>
                <w:sz w:val="18"/>
                <w:szCs w:val="18"/>
                <w:lang w:val="fr-FR"/>
              </w:rPr>
            </w:pPr>
            <w:r w:rsidRPr="00EB7F21">
              <w:rPr>
                <w:sz w:val="18"/>
                <w:szCs w:val="18"/>
                <w:lang w:val="fr-FR"/>
              </w:rPr>
              <w:t>5.1</w:t>
            </w: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C34528">
            <w:pPr>
              <w:keepNext/>
              <w:keepLines/>
              <w:rPr>
                <w:sz w:val="18"/>
                <w:szCs w:val="18"/>
                <w:lang w:val="fr-FR"/>
              </w:rPr>
            </w:pPr>
            <w:r w:rsidRPr="00EB7F21">
              <w:rPr>
                <w:sz w:val="18"/>
                <w:szCs w:val="18"/>
                <w:lang w:val="fr-FR"/>
              </w:rPr>
              <w:t>I</w:t>
            </w:r>
          </w:p>
        </w:tc>
        <w:tc>
          <w:tcPr>
            <w:tcW w:w="5767" w:type="dxa"/>
            <w:gridSpan w:val="2"/>
            <w:tcBorders>
              <w:top w:val="single" w:sz="4" w:space="0" w:color="auto"/>
              <w:left w:val="single" w:sz="4" w:space="0" w:color="auto"/>
              <w:bottom w:val="single" w:sz="4" w:space="0" w:color="auto"/>
              <w:right w:val="single" w:sz="4" w:space="0" w:color="auto"/>
            </w:tcBorders>
            <w:noWrap/>
            <w:hideMark/>
          </w:tcPr>
          <w:p w:rsidR="00C34528" w:rsidRPr="00EB7F21" w:rsidRDefault="00C34528" w:rsidP="00C34528">
            <w:pPr>
              <w:keepNext/>
              <w:keepLines/>
              <w:jc w:val="center"/>
              <w:rPr>
                <w:sz w:val="18"/>
                <w:szCs w:val="18"/>
                <w:lang w:val="fr-FR"/>
              </w:rPr>
            </w:pPr>
            <w:r w:rsidRPr="00EB7F21">
              <w:rPr>
                <w:sz w:val="18"/>
                <w:szCs w:val="18"/>
                <w:lang w:val="fr-FR"/>
              </w:rPr>
              <w:t>Non autorisé</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C34528">
            <w:pPr>
              <w:keepNext/>
              <w:keepLines/>
              <w:rPr>
                <w:sz w:val="18"/>
                <w:szCs w:val="18"/>
                <w:lang w:val="fr-FR"/>
              </w:rPr>
            </w:pPr>
            <w:r w:rsidRPr="00EB7F21">
              <w:rPr>
                <w:sz w:val="18"/>
                <w:szCs w:val="18"/>
                <w:lang w:val="fr-FR"/>
              </w:rPr>
              <w:t>E0</w:t>
            </w:r>
          </w:p>
        </w:tc>
      </w:tr>
      <w:tr w:rsidR="00C34528" w:rsidRPr="00EB7F21" w:rsidTr="00A07C16">
        <w:trPr>
          <w:cantSplit/>
          <w:trHeight w:val="20"/>
        </w:trPr>
        <w:tc>
          <w:tcPr>
            <w:tcW w:w="1428" w:type="dxa"/>
            <w:tcBorders>
              <w:top w:val="nil"/>
              <w:left w:val="single" w:sz="4" w:space="0" w:color="auto"/>
              <w:bottom w:val="nil"/>
              <w:right w:val="single" w:sz="4" w:space="0" w:color="auto"/>
            </w:tcBorders>
            <w:hideMark/>
          </w:tcPr>
          <w:p w:rsidR="00C34528" w:rsidRPr="00EB7F21" w:rsidRDefault="00C34528" w:rsidP="00C34528">
            <w:pPr>
              <w:keepNext/>
              <w:keepLines/>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C34528">
            <w:pPr>
              <w:keepNext/>
              <w:keepLines/>
              <w:rPr>
                <w:sz w:val="18"/>
                <w:szCs w:val="18"/>
                <w:lang w:val="fr-FR"/>
              </w:rPr>
            </w:pPr>
            <w:r w:rsidRPr="00EB7F21">
              <w:rPr>
                <w:sz w:val="18"/>
                <w:szCs w:val="18"/>
                <w:lang w:val="fr-FR"/>
              </w:rPr>
              <w:t>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C34528">
            <w:pPr>
              <w:keepNext/>
              <w:keepLines/>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C34528">
            <w:pPr>
              <w:keepNext/>
              <w:keepLines/>
              <w:rPr>
                <w:sz w:val="18"/>
                <w:szCs w:val="18"/>
                <w:lang w:val="fr-FR"/>
              </w:rPr>
            </w:pPr>
            <w:r w:rsidRPr="00EB7F21">
              <w:rPr>
                <w:sz w:val="18"/>
                <w:szCs w:val="18"/>
                <w:lang w:val="fr-FR"/>
              </w:rPr>
              <w:t>500 g / 500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C34528">
            <w:pPr>
              <w:keepNext/>
              <w:keepLines/>
              <w:rPr>
                <w:sz w:val="18"/>
                <w:szCs w:val="18"/>
                <w:lang w:val="fr-FR"/>
              </w:rPr>
            </w:pPr>
            <w:r w:rsidRPr="00EB7F21">
              <w:rPr>
                <w:sz w:val="18"/>
                <w:szCs w:val="18"/>
                <w:lang w:val="fr-FR"/>
              </w:rPr>
              <w:t>E2</w:t>
            </w:r>
          </w:p>
        </w:tc>
      </w:tr>
      <w:tr w:rsidR="00C34528" w:rsidRPr="00EB7F21" w:rsidTr="00A07C16">
        <w:trPr>
          <w:cantSplit/>
          <w:trHeight w:val="20"/>
        </w:trPr>
        <w:tc>
          <w:tcPr>
            <w:tcW w:w="1428" w:type="dxa"/>
            <w:tcBorders>
              <w:top w:val="nil"/>
              <w:left w:val="single" w:sz="4" w:space="0" w:color="auto"/>
              <w:bottom w:val="single" w:sz="4" w:space="0" w:color="auto"/>
              <w:right w:val="single" w:sz="4" w:space="0" w:color="auto"/>
            </w:tcBorders>
            <w:hideMark/>
          </w:tcPr>
          <w:p w:rsidR="00C34528" w:rsidRPr="00EB7F21" w:rsidRDefault="00C34528" w:rsidP="00C34528">
            <w:pPr>
              <w:keepNext/>
              <w:keepLines/>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C34528">
            <w:pPr>
              <w:keepNext/>
              <w:keepLines/>
              <w:rPr>
                <w:sz w:val="18"/>
                <w:szCs w:val="18"/>
                <w:lang w:val="fr-FR"/>
              </w:rPr>
            </w:pPr>
            <w:r w:rsidRPr="00EB7F21">
              <w:rPr>
                <w:sz w:val="18"/>
                <w:szCs w:val="18"/>
                <w:lang w:val="fr-FR"/>
              </w:rPr>
              <w:t>III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C34528">
            <w:pPr>
              <w:keepNext/>
              <w:keepLines/>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C34528">
            <w:pPr>
              <w:keepNext/>
              <w:keepLines/>
              <w:rPr>
                <w:sz w:val="18"/>
                <w:szCs w:val="18"/>
                <w:lang w:val="fr-FR"/>
              </w:rPr>
            </w:pPr>
            <w:r w:rsidRPr="00EB7F21">
              <w:rPr>
                <w:sz w:val="18"/>
                <w:szCs w:val="18"/>
                <w:lang w:val="fr-FR"/>
              </w:rPr>
              <w:t>1000 g / 1000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C34528">
            <w:pPr>
              <w:keepNext/>
              <w:keepLines/>
              <w:rPr>
                <w:sz w:val="18"/>
                <w:szCs w:val="18"/>
                <w:lang w:val="fr-FR"/>
              </w:rPr>
            </w:pPr>
            <w:r w:rsidRPr="00EB7F21">
              <w:rPr>
                <w:sz w:val="18"/>
                <w:szCs w:val="18"/>
                <w:lang w:val="fr-FR"/>
              </w:rPr>
              <w:t>E1</w:t>
            </w:r>
          </w:p>
        </w:tc>
      </w:tr>
      <w:tr w:rsidR="00C34528" w:rsidRPr="00EB7F21" w:rsidTr="00A07C16">
        <w:trPr>
          <w:cantSplit/>
          <w:trHeight w:val="20"/>
        </w:trPr>
        <w:tc>
          <w:tcPr>
            <w:tcW w:w="1428" w:type="dxa"/>
            <w:tcBorders>
              <w:top w:val="single" w:sz="4" w:space="0" w:color="auto"/>
              <w:left w:val="single" w:sz="4" w:space="0" w:color="auto"/>
              <w:bottom w:val="single" w:sz="4" w:space="0" w:color="auto"/>
              <w:right w:val="single" w:sz="4" w:space="0" w:color="auto"/>
            </w:tcBorders>
            <w:hideMark/>
          </w:tcPr>
          <w:p w:rsidR="00C34528" w:rsidRPr="00EB7F21" w:rsidRDefault="00C34528">
            <w:pPr>
              <w:rPr>
                <w:sz w:val="18"/>
                <w:szCs w:val="18"/>
                <w:vertAlign w:val="superscript"/>
                <w:lang w:val="fr-FR"/>
              </w:rPr>
            </w:pPr>
            <w:r w:rsidRPr="00EB7F21">
              <w:rPr>
                <w:sz w:val="18"/>
                <w:szCs w:val="18"/>
                <w:lang w:val="fr-FR"/>
              </w:rPr>
              <w:t>5.2</w:t>
            </w:r>
            <w:r w:rsidRPr="00EB7F21">
              <w:rPr>
                <w:sz w:val="18"/>
                <w:szCs w:val="18"/>
                <w:vertAlign w:val="superscript"/>
                <w:lang w:val="fr-FR"/>
              </w:rPr>
              <w:t>e</w:t>
            </w: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 </w:t>
            </w:r>
          </w:p>
        </w:tc>
        <w:tc>
          <w:tcPr>
            <w:tcW w:w="5767" w:type="dxa"/>
            <w:gridSpan w:val="2"/>
            <w:tcBorders>
              <w:top w:val="single" w:sz="4" w:space="0" w:color="auto"/>
              <w:left w:val="single" w:sz="4" w:space="0" w:color="auto"/>
              <w:bottom w:val="single" w:sz="4" w:space="0" w:color="auto"/>
              <w:right w:val="single" w:sz="4" w:space="0" w:color="auto"/>
            </w:tcBorders>
            <w:noWrap/>
            <w:hideMark/>
          </w:tcPr>
          <w:p w:rsidR="00C34528" w:rsidRPr="00EB7F21" w:rsidRDefault="00C34528">
            <w:pPr>
              <w:jc w:val="center"/>
              <w:rPr>
                <w:sz w:val="18"/>
                <w:szCs w:val="18"/>
                <w:lang w:val="fr-FR"/>
              </w:rPr>
            </w:pPr>
            <w:r w:rsidRPr="00EB7F21">
              <w:rPr>
                <w:sz w:val="18"/>
                <w:szCs w:val="18"/>
                <w:lang w:val="fr-FR"/>
              </w:rPr>
              <w:t>Non autorisé</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E0</w:t>
            </w:r>
          </w:p>
        </w:tc>
      </w:tr>
      <w:tr w:rsidR="00C34528" w:rsidRPr="00EB7F21" w:rsidTr="00A07C16">
        <w:trPr>
          <w:cantSplit/>
          <w:trHeight w:val="20"/>
        </w:trPr>
        <w:tc>
          <w:tcPr>
            <w:tcW w:w="1428" w:type="dxa"/>
            <w:tcBorders>
              <w:top w:val="single" w:sz="4" w:space="0" w:color="auto"/>
              <w:left w:val="single" w:sz="4" w:space="0" w:color="auto"/>
              <w:bottom w:val="single" w:sz="4" w:space="0" w:color="auto"/>
              <w:right w:val="single" w:sz="4" w:space="0" w:color="auto"/>
            </w:tcBorders>
            <w:hideMark/>
          </w:tcPr>
          <w:p w:rsidR="00C34528" w:rsidRPr="00EB7F21" w:rsidRDefault="00C34528" w:rsidP="00C34528">
            <w:pPr>
              <w:rPr>
                <w:sz w:val="18"/>
                <w:szCs w:val="18"/>
                <w:lang w:val="fr-FR"/>
              </w:rPr>
            </w:pPr>
            <w:r w:rsidRPr="00EB7F21">
              <w:rPr>
                <w:sz w:val="18"/>
                <w:szCs w:val="18"/>
                <w:lang w:val="fr-FR"/>
              </w:rPr>
              <w:t xml:space="preserve">6.1 Matières toxiques par </w:t>
            </w:r>
            <w:proofErr w:type="spellStart"/>
            <w:r w:rsidRPr="00EB7F21">
              <w:rPr>
                <w:sz w:val="18"/>
                <w:szCs w:val="18"/>
                <w:lang w:val="fr-FR"/>
              </w:rPr>
              <w:t>inhalation</w:t>
            </w:r>
            <w:r w:rsidRPr="00EB7F21">
              <w:rPr>
                <w:sz w:val="18"/>
                <w:szCs w:val="18"/>
                <w:vertAlign w:val="superscript"/>
                <w:lang w:val="fr-FR"/>
              </w:rPr>
              <w:t>k</w:t>
            </w:r>
            <w:proofErr w:type="spellEnd"/>
            <w:r w:rsidRPr="00EB7F21">
              <w:rPr>
                <w:sz w:val="18"/>
                <w:szCs w:val="18"/>
                <w:lang w:val="fr-FR"/>
              </w:rPr>
              <w:t xml:space="preserve"> </w:t>
            </w: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w:t>
            </w:r>
          </w:p>
        </w:tc>
        <w:tc>
          <w:tcPr>
            <w:tcW w:w="5767" w:type="dxa"/>
            <w:gridSpan w:val="2"/>
            <w:tcBorders>
              <w:top w:val="single" w:sz="4" w:space="0" w:color="auto"/>
              <w:left w:val="single" w:sz="4" w:space="0" w:color="auto"/>
              <w:bottom w:val="single" w:sz="4" w:space="0" w:color="auto"/>
              <w:right w:val="single" w:sz="4" w:space="0" w:color="auto"/>
            </w:tcBorders>
            <w:noWrap/>
            <w:hideMark/>
          </w:tcPr>
          <w:p w:rsidR="00C34528" w:rsidRPr="00EB7F21" w:rsidRDefault="00C34528">
            <w:pPr>
              <w:jc w:val="center"/>
              <w:rPr>
                <w:sz w:val="18"/>
                <w:szCs w:val="18"/>
                <w:lang w:val="fr-FR"/>
              </w:rPr>
            </w:pPr>
            <w:r w:rsidRPr="00EB7F21">
              <w:rPr>
                <w:sz w:val="18"/>
                <w:szCs w:val="18"/>
                <w:lang w:val="fr-FR"/>
              </w:rPr>
              <w:t>Non autorisé</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E0</w:t>
            </w:r>
          </w:p>
        </w:tc>
      </w:tr>
      <w:tr w:rsidR="00C34528" w:rsidRPr="00EB7F21" w:rsidTr="00A07C16">
        <w:trPr>
          <w:cantSplit/>
          <w:trHeight w:val="20"/>
        </w:trPr>
        <w:tc>
          <w:tcPr>
            <w:tcW w:w="1428" w:type="dxa"/>
            <w:tcBorders>
              <w:top w:val="single" w:sz="4" w:space="0" w:color="auto"/>
              <w:left w:val="single" w:sz="4" w:space="0" w:color="auto"/>
              <w:bottom w:val="nil"/>
              <w:right w:val="single" w:sz="4" w:space="0" w:color="auto"/>
            </w:tcBorders>
            <w:hideMark/>
          </w:tcPr>
          <w:p w:rsidR="00C34528" w:rsidRPr="00EB7F21" w:rsidRDefault="00C34528" w:rsidP="00A07C16">
            <w:pPr>
              <w:keepNext/>
              <w:keepLines/>
              <w:rPr>
                <w:sz w:val="18"/>
                <w:szCs w:val="18"/>
                <w:lang w:val="fr-FR"/>
              </w:rPr>
            </w:pPr>
            <w:r w:rsidRPr="00EB7F21">
              <w:rPr>
                <w:sz w:val="18"/>
                <w:szCs w:val="18"/>
                <w:lang w:val="fr-FR"/>
              </w:rPr>
              <w:lastRenderedPageBreak/>
              <w:t>6.1</w:t>
            </w:r>
            <w:r w:rsidRPr="00EB7F21">
              <w:rPr>
                <w:sz w:val="18"/>
                <w:szCs w:val="18"/>
                <w:vertAlign w:val="superscript"/>
                <w:lang w:val="fr-FR"/>
              </w:rPr>
              <w:t>f,g</w:t>
            </w: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A07C16">
            <w:pPr>
              <w:keepNext/>
              <w:keepLines/>
              <w:rPr>
                <w:sz w:val="18"/>
                <w:szCs w:val="18"/>
                <w:lang w:val="fr-FR"/>
              </w:rPr>
            </w:pPr>
            <w:r w:rsidRPr="00EB7F21">
              <w:rPr>
                <w:sz w:val="18"/>
                <w:szCs w:val="18"/>
                <w:lang w:val="fr-FR"/>
              </w:rPr>
              <w:t>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A07C16">
            <w:pPr>
              <w:keepNext/>
              <w:keepLines/>
              <w:rPr>
                <w:sz w:val="18"/>
                <w:szCs w:val="18"/>
                <w:lang w:val="fr-FR"/>
              </w:rPr>
            </w:pPr>
            <w:r w:rsidRPr="00EB7F21">
              <w:rPr>
                <w:sz w:val="18"/>
                <w:szCs w:val="18"/>
                <w:lang w:val="fr-FR"/>
              </w:rPr>
              <w:t>1 g / 1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A07C16">
            <w:pPr>
              <w:keepNext/>
              <w:keepLines/>
              <w:rPr>
                <w:sz w:val="18"/>
                <w:szCs w:val="18"/>
                <w:lang w:val="fr-FR"/>
              </w:rPr>
            </w:pPr>
            <w:r w:rsidRPr="00EB7F21">
              <w:rPr>
                <w:sz w:val="18"/>
                <w:szCs w:val="18"/>
                <w:lang w:val="fr-FR"/>
              </w:rPr>
              <w:t>300 g / 300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A07C16">
            <w:pPr>
              <w:keepNext/>
              <w:keepLines/>
              <w:rPr>
                <w:sz w:val="18"/>
                <w:szCs w:val="18"/>
                <w:lang w:val="fr-FR"/>
              </w:rPr>
            </w:pPr>
            <w:r w:rsidRPr="00EB7F21">
              <w:rPr>
                <w:sz w:val="18"/>
                <w:szCs w:val="18"/>
                <w:lang w:val="fr-FR"/>
              </w:rPr>
              <w:t>E5</w:t>
            </w:r>
          </w:p>
        </w:tc>
      </w:tr>
      <w:tr w:rsidR="00C34528" w:rsidRPr="00EB7F21" w:rsidTr="00A07C16">
        <w:trPr>
          <w:cantSplit/>
          <w:trHeight w:val="20"/>
        </w:trPr>
        <w:tc>
          <w:tcPr>
            <w:tcW w:w="1428" w:type="dxa"/>
            <w:tcBorders>
              <w:top w:val="nil"/>
              <w:left w:val="single" w:sz="4" w:space="0" w:color="auto"/>
              <w:bottom w:val="nil"/>
              <w:right w:val="single" w:sz="4" w:space="0" w:color="auto"/>
            </w:tcBorders>
            <w:hideMark/>
          </w:tcPr>
          <w:p w:rsidR="00C34528" w:rsidRPr="00EB7F21" w:rsidRDefault="00C34528" w:rsidP="00A07C16">
            <w:pPr>
              <w:keepNext/>
              <w:keepLines/>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A07C16">
            <w:pPr>
              <w:keepNext/>
              <w:keepLines/>
              <w:rPr>
                <w:sz w:val="18"/>
                <w:szCs w:val="18"/>
                <w:lang w:val="fr-FR"/>
              </w:rPr>
            </w:pPr>
            <w:r w:rsidRPr="00EB7F21">
              <w:rPr>
                <w:sz w:val="18"/>
                <w:szCs w:val="18"/>
                <w:lang w:val="fr-FR"/>
              </w:rPr>
              <w:t>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A07C16">
            <w:pPr>
              <w:keepNext/>
              <w:keepLines/>
              <w:rPr>
                <w:sz w:val="18"/>
                <w:szCs w:val="18"/>
                <w:lang w:val="fr-FR"/>
              </w:rPr>
            </w:pPr>
            <w:r w:rsidRPr="00EB7F21">
              <w:rPr>
                <w:sz w:val="18"/>
                <w:szCs w:val="18"/>
                <w:lang w:val="fr-FR"/>
              </w:rPr>
              <w:t>1 g / 1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A07C16">
            <w:pPr>
              <w:keepNext/>
              <w:keepLines/>
              <w:rPr>
                <w:sz w:val="18"/>
                <w:szCs w:val="18"/>
                <w:lang w:val="fr-FR"/>
              </w:rPr>
            </w:pPr>
            <w:r w:rsidRPr="00EB7F21">
              <w:rPr>
                <w:sz w:val="18"/>
                <w:szCs w:val="18"/>
                <w:lang w:val="fr-FR"/>
              </w:rPr>
              <w:t>500 g / 500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A07C16">
            <w:pPr>
              <w:keepNext/>
              <w:keepLines/>
              <w:rPr>
                <w:sz w:val="18"/>
                <w:szCs w:val="18"/>
                <w:lang w:val="fr-FR"/>
              </w:rPr>
            </w:pPr>
            <w:r w:rsidRPr="00EB7F21">
              <w:rPr>
                <w:sz w:val="18"/>
                <w:szCs w:val="18"/>
                <w:lang w:val="fr-FR"/>
              </w:rPr>
              <w:t>E4</w:t>
            </w:r>
          </w:p>
        </w:tc>
      </w:tr>
      <w:tr w:rsidR="00C34528" w:rsidRPr="00EB7F21" w:rsidTr="00A07C16">
        <w:trPr>
          <w:cantSplit/>
          <w:trHeight w:val="20"/>
        </w:trPr>
        <w:tc>
          <w:tcPr>
            <w:tcW w:w="1428" w:type="dxa"/>
            <w:tcBorders>
              <w:top w:val="nil"/>
              <w:left w:val="single" w:sz="4" w:space="0" w:color="auto"/>
              <w:bottom w:val="single" w:sz="4" w:space="0" w:color="auto"/>
              <w:right w:val="single" w:sz="4" w:space="0" w:color="auto"/>
            </w:tcBorders>
            <w:hideMark/>
          </w:tcPr>
          <w:p w:rsidR="00C34528" w:rsidRPr="00EB7F21" w:rsidRDefault="00C34528" w:rsidP="00A07C16">
            <w:pPr>
              <w:keepNext/>
              <w:keepLines/>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A07C16">
            <w:pPr>
              <w:keepNext/>
              <w:keepLines/>
              <w:rPr>
                <w:sz w:val="18"/>
                <w:szCs w:val="18"/>
                <w:lang w:val="fr-FR"/>
              </w:rPr>
            </w:pPr>
            <w:r w:rsidRPr="00EB7F21">
              <w:rPr>
                <w:sz w:val="18"/>
                <w:szCs w:val="18"/>
                <w:lang w:val="fr-FR"/>
              </w:rPr>
              <w:t>III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A07C16">
            <w:pPr>
              <w:keepNext/>
              <w:keepLines/>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A07C16">
            <w:pPr>
              <w:keepNext/>
              <w:keepLines/>
              <w:rPr>
                <w:sz w:val="18"/>
                <w:szCs w:val="18"/>
                <w:lang w:val="fr-FR"/>
              </w:rPr>
            </w:pPr>
            <w:r w:rsidRPr="00EB7F21">
              <w:rPr>
                <w:sz w:val="18"/>
                <w:szCs w:val="18"/>
                <w:lang w:val="fr-FR"/>
              </w:rPr>
              <w:t>1000 g / 1000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rsidP="00A07C16">
            <w:pPr>
              <w:keepNext/>
              <w:keepLines/>
              <w:rPr>
                <w:sz w:val="18"/>
                <w:szCs w:val="18"/>
                <w:lang w:val="fr-FR"/>
              </w:rPr>
            </w:pPr>
            <w:r w:rsidRPr="00EB7F21">
              <w:rPr>
                <w:sz w:val="18"/>
                <w:szCs w:val="18"/>
                <w:lang w:val="fr-FR"/>
              </w:rPr>
              <w:t>E1</w:t>
            </w:r>
          </w:p>
        </w:tc>
      </w:tr>
      <w:tr w:rsidR="00C34528" w:rsidRPr="00EB7F21" w:rsidTr="00A07C16">
        <w:trPr>
          <w:cantSplit/>
          <w:trHeight w:val="20"/>
        </w:trPr>
        <w:tc>
          <w:tcPr>
            <w:tcW w:w="1428" w:type="dxa"/>
            <w:tcBorders>
              <w:top w:val="single" w:sz="4" w:space="0" w:color="auto"/>
              <w:left w:val="single" w:sz="4" w:space="0" w:color="auto"/>
              <w:bottom w:val="single" w:sz="4" w:space="0" w:color="auto"/>
              <w:right w:val="single" w:sz="4" w:space="0" w:color="auto"/>
            </w:tcBorders>
            <w:hideMark/>
          </w:tcPr>
          <w:p w:rsidR="00C34528" w:rsidRPr="00EB7F21" w:rsidRDefault="00C34528">
            <w:pPr>
              <w:rPr>
                <w:sz w:val="18"/>
                <w:szCs w:val="18"/>
                <w:lang w:val="fr-FR"/>
              </w:rPr>
            </w:pPr>
            <w:r w:rsidRPr="00EB7F21">
              <w:rPr>
                <w:sz w:val="18"/>
                <w:szCs w:val="18"/>
                <w:lang w:val="fr-FR"/>
              </w:rPr>
              <w:t>6.2</w:t>
            </w: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 </w:t>
            </w:r>
          </w:p>
        </w:tc>
        <w:tc>
          <w:tcPr>
            <w:tcW w:w="5767" w:type="dxa"/>
            <w:gridSpan w:val="2"/>
            <w:tcBorders>
              <w:top w:val="single" w:sz="4" w:space="0" w:color="auto"/>
              <w:left w:val="single" w:sz="4" w:space="0" w:color="auto"/>
              <w:bottom w:val="single" w:sz="4" w:space="0" w:color="auto"/>
              <w:right w:val="single" w:sz="4" w:space="0" w:color="auto"/>
            </w:tcBorders>
            <w:noWrap/>
            <w:hideMark/>
          </w:tcPr>
          <w:p w:rsidR="00C34528" w:rsidRPr="00EB7F21" w:rsidRDefault="00C34528">
            <w:pPr>
              <w:jc w:val="center"/>
              <w:rPr>
                <w:sz w:val="18"/>
                <w:szCs w:val="18"/>
                <w:lang w:val="fr-FR"/>
              </w:rPr>
            </w:pPr>
            <w:r w:rsidRPr="00EB7F21">
              <w:rPr>
                <w:sz w:val="18"/>
                <w:szCs w:val="18"/>
                <w:lang w:val="fr-FR"/>
              </w:rPr>
              <w:t>Non autorisé</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E0</w:t>
            </w:r>
          </w:p>
        </w:tc>
      </w:tr>
      <w:tr w:rsidR="00C34528" w:rsidRPr="00EB7F21" w:rsidTr="00A07C16">
        <w:trPr>
          <w:cantSplit/>
          <w:trHeight w:val="20"/>
        </w:trPr>
        <w:tc>
          <w:tcPr>
            <w:tcW w:w="1428" w:type="dxa"/>
            <w:tcBorders>
              <w:top w:val="single" w:sz="4" w:space="0" w:color="auto"/>
              <w:left w:val="single" w:sz="4" w:space="0" w:color="auto"/>
              <w:bottom w:val="single" w:sz="4" w:space="0" w:color="auto"/>
              <w:right w:val="single" w:sz="4" w:space="0" w:color="auto"/>
            </w:tcBorders>
            <w:hideMark/>
          </w:tcPr>
          <w:p w:rsidR="00C34528" w:rsidRPr="00EB7F21" w:rsidRDefault="00C34528">
            <w:pPr>
              <w:rPr>
                <w:sz w:val="18"/>
                <w:szCs w:val="18"/>
                <w:lang w:val="fr-FR"/>
              </w:rPr>
            </w:pPr>
            <w:r w:rsidRPr="00EB7F21">
              <w:rPr>
                <w:sz w:val="18"/>
                <w:szCs w:val="18"/>
                <w:lang w:val="fr-FR"/>
              </w:rPr>
              <w:t>7</w:t>
            </w: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 </w:t>
            </w:r>
          </w:p>
        </w:tc>
        <w:tc>
          <w:tcPr>
            <w:tcW w:w="5767" w:type="dxa"/>
            <w:gridSpan w:val="2"/>
            <w:tcBorders>
              <w:top w:val="single" w:sz="4" w:space="0" w:color="auto"/>
              <w:left w:val="single" w:sz="4" w:space="0" w:color="auto"/>
              <w:bottom w:val="single" w:sz="4" w:space="0" w:color="auto"/>
              <w:right w:val="single" w:sz="4" w:space="0" w:color="auto"/>
            </w:tcBorders>
            <w:noWrap/>
            <w:hideMark/>
          </w:tcPr>
          <w:p w:rsidR="00C34528" w:rsidRPr="00EB7F21" w:rsidRDefault="00C34528">
            <w:pPr>
              <w:jc w:val="center"/>
              <w:rPr>
                <w:sz w:val="18"/>
                <w:szCs w:val="18"/>
                <w:lang w:val="fr-FR"/>
              </w:rPr>
            </w:pPr>
            <w:r w:rsidRPr="00EB7F21">
              <w:rPr>
                <w:sz w:val="18"/>
                <w:szCs w:val="18"/>
                <w:lang w:val="fr-FR"/>
              </w:rPr>
              <w:t>Non autorisé</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E0</w:t>
            </w:r>
          </w:p>
        </w:tc>
      </w:tr>
      <w:tr w:rsidR="00C34528" w:rsidRPr="00EB7F21" w:rsidTr="00A07C16">
        <w:trPr>
          <w:cantSplit/>
          <w:trHeight w:val="20"/>
        </w:trPr>
        <w:tc>
          <w:tcPr>
            <w:tcW w:w="1428" w:type="dxa"/>
            <w:tcBorders>
              <w:top w:val="single" w:sz="4" w:space="0" w:color="auto"/>
              <w:left w:val="single" w:sz="4" w:space="0" w:color="auto"/>
              <w:bottom w:val="nil"/>
              <w:right w:val="single" w:sz="4" w:space="0" w:color="auto"/>
            </w:tcBorders>
            <w:hideMark/>
          </w:tcPr>
          <w:p w:rsidR="00C34528" w:rsidRPr="00EB7F21" w:rsidRDefault="00C34528">
            <w:pPr>
              <w:rPr>
                <w:sz w:val="18"/>
                <w:szCs w:val="18"/>
                <w:vertAlign w:val="superscript"/>
                <w:lang w:val="fr-FR"/>
              </w:rPr>
            </w:pPr>
            <w:r w:rsidRPr="00EB7F21">
              <w:rPr>
                <w:sz w:val="18"/>
                <w:szCs w:val="18"/>
                <w:lang w:val="fr-FR"/>
              </w:rPr>
              <w:t>8</w:t>
            </w:r>
            <w:r w:rsidRPr="00EB7F21">
              <w:rPr>
                <w:sz w:val="18"/>
                <w:szCs w:val="18"/>
                <w:vertAlign w:val="superscript"/>
                <w:lang w:val="fr-FR"/>
              </w:rPr>
              <w:t>h, i</w:t>
            </w: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w:t>
            </w:r>
          </w:p>
        </w:tc>
        <w:tc>
          <w:tcPr>
            <w:tcW w:w="5767" w:type="dxa"/>
            <w:gridSpan w:val="2"/>
            <w:tcBorders>
              <w:top w:val="single" w:sz="4" w:space="0" w:color="auto"/>
              <w:left w:val="single" w:sz="4" w:space="0" w:color="auto"/>
              <w:bottom w:val="single" w:sz="4" w:space="0" w:color="auto"/>
              <w:right w:val="single" w:sz="4" w:space="0" w:color="auto"/>
            </w:tcBorders>
            <w:noWrap/>
            <w:hideMark/>
          </w:tcPr>
          <w:p w:rsidR="00C34528" w:rsidRPr="00EB7F21" w:rsidRDefault="00C34528">
            <w:pPr>
              <w:jc w:val="center"/>
              <w:rPr>
                <w:sz w:val="18"/>
                <w:szCs w:val="18"/>
                <w:lang w:val="fr-FR"/>
              </w:rPr>
            </w:pPr>
            <w:r w:rsidRPr="00EB7F21">
              <w:rPr>
                <w:sz w:val="18"/>
                <w:szCs w:val="18"/>
                <w:lang w:val="fr-FR"/>
              </w:rPr>
              <w:t>Non autorisé</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E0</w:t>
            </w:r>
          </w:p>
        </w:tc>
      </w:tr>
      <w:tr w:rsidR="00C34528" w:rsidRPr="00EB7F21" w:rsidTr="00A07C16">
        <w:trPr>
          <w:cantSplit/>
          <w:trHeight w:val="20"/>
        </w:trPr>
        <w:tc>
          <w:tcPr>
            <w:tcW w:w="1428" w:type="dxa"/>
            <w:tcBorders>
              <w:top w:val="nil"/>
              <w:left w:val="single" w:sz="4" w:space="0" w:color="auto"/>
              <w:bottom w:val="nil"/>
              <w:right w:val="single" w:sz="4" w:space="0" w:color="auto"/>
            </w:tcBorders>
            <w:hideMark/>
          </w:tcPr>
          <w:p w:rsidR="00C34528" w:rsidRPr="00EB7F21" w:rsidRDefault="00C34528">
            <w:pPr>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500 g / 500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E2</w:t>
            </w:r>
          </w:p>
        </w:tc>
      </w:tr>
      <w:tr w:rsidR="00C34528" w:rsidRPr="00EB7F21" w:rsidTr="00A07C16">
        <w:trPr>
          <w:cantSplit/>
          <w:trHeight w:val="20"/>
        </w:trPr>
        <w:tc>
          <w:tcPr>
            <w:tcW w:w="1428" w:type="dxa"/>
            <w:tcBorders>
              <w:top w:val="nil"/>
              <w:left w:val="single" w:sz="4" w:space="0" w:color="auto"/>
              <w:bottom w:val="single" w:sz="4" w:space="0" w:color="auto"/>
              <w:right w:val="single" w:sz="4" w:space="0" w:color="auto"/>
            </w:tcBorders>
            <w:hideMark/>
          </w:tcPr>
          <w:p w:rsidR="00C34528" w:rsidRPr="00EB7F21" w:rsidRDefault="00C34528">
            <w:pPr>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1000 g / 1000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E1</w:t>
            </w:r>
          </w:p>
        </w:tc>
      </w:tr>
      <w:tr w:rsidR="00C34528" w:rsidRPr="00EB7F21" w:rsidTr="00A07C16">
        <w:trPr>
          <w:cantSplit/>
          <w:trHeight w:val="20"/>
        </w:trPr>
        <w:tc>
          <w:tcPr>
            <w:tcW w:w="1428" w:type="dxa"/>
            <w:tcBorders>
              <w:top w:val="single" w:sz="4" w:space="0" w:color="auto"/>
              <w:left w:val="single" w:sz="4" w:space="0" w:color="auto"/>
              <w:bottom w:val="nil"/>
              <w:right w:val="single" w:sz="4" w:space="0" w:color="auto"/>
            </w:tcBorders>
            <w:hideMark/>
          </w:tcPr>
          <w:p w:rsidR="00C34528" w:rsidRPr="00EB7F21" w:rsidRDefault="00C34528">
            <w:pPr>
              <w:rPr>
                <w:sz w:val="18"/>
                <w:szCs w:val="18"/>
                <w:vertAlign w:val="superscript"/>
                <w:lang w:val="fr-FR"/>
              </w:rPr>
            </w:pPr>
            <w:r w:rsidRPr="00EB7F21">
              <w:rPr>
                <w:sz w:val="18"/>
                <w:szCs w:val="18"/>
                <w:lang w:val="fr-FR"/>
              </w:rPr>
              <w:t>9</w:t>
            </w:r>
            <w:r w:rsidRPr="00EB7F21">
              <w:rPr>
                <w:sz w:val="18"/>
                <w:szCs w:val="18"/>
                <w:vertAlign w:val="superscript"/>
                <w:lang w:val="fr-FR"/>
              </w:rPr>
              <w:t>j</w:t>
            </w: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500 g / 500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E2</w:t>
            </w:r>
          </w:p>
        </w:tc>
      </w:tr>
      <w:tr w:rsidR="00C34528" w:rsidRPr="00EB7F21" w:rsidTr="00A07C16">
        <w:trPr>
          <w:cantSplit/>
          <w:trHeight w:val="20"/>
        </w:trPr>
        <w:tc>
          <w:tcPr>
            <w:tcW w:w="1428" w:type="dxa"/>
            <w:tcBorders>
              <w:top w:val="nil"/>
              <w:left w:val="single" w:sz="4" w:space="0" w:color="auto"/>
              <w:bottom w:val="single" w:sz="4" w:space="0" w:color="auto"/>
              <w:right w:val="single" w:sz="4" w:space="0" w:color="auto"/>
            </w:tcBorders>
            <w:hideMark/>
          </w:tcPr>
          <w:p w:rsidR="00C34528" w:rsidRPr="00EB7F21" w:rsidRDefault="00C34528">
            <w:pPr>
              <w:rPr>
                <w:sz w:val="18"/>
                <w:szCs w:val="18"/>
                <w:lang w:val="fr-FR"/>
              </w:rPr>
            </w:pPr>
          </w:p>
        </w:tc>
        <w:tc>
          <w:tcPr>
            <w:tcW w:w="99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III</w:t>
            </w:r>
          </w:p>
        </w:tc>
        <w:tc>
          <w:tcPr>
            <w:tcW w:w="3150"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30 g / 30 ml</w:t>
            </w:r>
          </w:p>
        </w:tc>
        <w:tc>
          <w:tcPr>
            <w:tcW w:w="261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1000 g / 1000 ml</w:t>
            </w:r>
          </w:p>
        </w:tc>
        <w:tc>
          <w:tcPr>
            <w:tcW w:w="887" w:type="dxa"/>
            <w:tcBorders>
              <w:top w:val="single" w:sz="4" w:space="0" w:color="auto"/>
              <w:left w:val="single" w:sz="4" w:space="0" w:color="auto"/>
              <w:bottom w:val="single" w:sz="4" w:space="0" w:color="auto"/>
              <w:right w:val="single" w:sz="4" w:space="0" w:color="auto"/>
            </w:tcBorders>
            <w:noWrap/>
            <w:hideMark/>
          </w:tcPr>
          <w:p w:rsidR="00C34528" w:rsidRPr="00EB7F21" w:rsidRDefault="00C34528">
            <w:pPr>
              <w:rPr>
                <w:sz w:val="18"/>
                <w:szCs w:val="18"/>
                <w:lang w:val="fr-FR"/>
              </w:rPr>
            </w:pPr>
            <w:r w:rsidRPr="00EB7F21">
              <w:rPr>
                <w:sz w:val="18"/>
                <w:szCs w:val="18"/>
                <w:lang w:val="fr-FR"/>
              </w:rPr>
              <w:t>E1</w:t>
            </w:r>
          </w:p>
        </w:tc>
      </w:tr>
    </w:tbl>
    <w:p w:rsidR="00C34528" w:rsidRPr="008C7134" w:rsidRDefault="00C34528" w:rsidP="00C34528">
      <w:pPr>
        <w:rPr>
          <w:lang w:val="fr-FR"/>
        </w:rPr>
      </w:pPr>
    </w:p>
    <w:p w:rsidR="006E0C02" w:rsidRPr="008C7134" w:rsidRDefault="006E0C02" w:rsidP="006E0C02">
      <w:pPr>
        <w:pStyle w:val="SingleTxtG"/>
        <w:rPr>
          <w:i/>
          <w:lang w:val="fr-FR"/>
        </w:rPr>
      </w:pPr>
      <w:r w:rsidRPr="008C7134">
        <w:rPr>
          <w:b/>
          <w:vertAlign w:val="superscript"/>
          <w:lang w:val="fr-FR"/>
        </w:rPr>
        <w:t>a</w:t>
      </w:r>
      <w:r w:rsidR="00A07C16" w:rsidRPr="008C7134">
        <w:rPr>
          <w:lang w:val="fr-FR"/>
        </w:rPr>
        <w:tab/>
      </w:r>
      <w:r w:rsidRPr="008C7134">
        <w:rPr>
          <w:i/>
          <w:lang w:val="fr-FR"/>
        </w:rPr>
        <w:t>Dans le cas des gaz, le volume indiqué pour l’emballage intérieur représente la contenance en eau du récipient intérieur alors que le volume indiqué pour l’emballage extérieur représente la contenance globale en eau de tous les emballages intérieurs contenus dans un s</w:t>
      </w:r>
      <w:r w:rsidR="00A07C16" w:rsidRPr="008C7134">
        <w:rPr>
          <w:i/>
          <w:lang w:val="fr-FR"/>
        </w:rPr>
        <w:t>eul et même emballage extérieur</w:t>
      </w:r>
      <w:r w:rsidRPr="008C7134">
        <w:rPr>
          <w:i/>
          <w:lang w:val="fr-FR"/>
        </w:rPr>
        <w:t xml:space="preserve">; </w:t>
      </w:r>
    </w:p>
    <w:p w:rsidR="006E0C02" w:rsidRPr="008C7134" w:rsidRDefault="006E0C02" w:rsidP="006E0C02">
      <w:pPr>
        <w:pStyle w:val="SingleTxtG"/>
        <w:rPr>
          <w:i/>
          <w:lang w:val="fr-FR"/>
        </w:rPr>
      </w:pPr>
      <w:r w:rsidRPr="008C7134">
        <w:rPr>
          <w:b/>
          <w:vertAlign w:val="superscript"/>
          <w:lang w:val="fr-FR"/>
        </w:rPr>
        <w:t>b</w:t>
      </w:r>
      <w:r w:rsidR="00A07C16" w:rsidRPr="008C7134">
        <w:rPr>
          <w:lang w:val="fr-FR"/>
        </w:rPr>
        <w:tab/>
      </w:r>
      <w:r w:rsidRPr="008C7134">
        <w:rPr>
          <w:i/>
          <w:lang w:val="fr-FR"/>
        </w:rPr>
        <w:t xml:space="preserve">Les explosifs désensibilisés et le numéro ONU 3256 ne doivent pas être transportés en quantités exemptées; </w:t>
      </w:r>
    </w:p>
    <w:p w:rsidR="006E0C02" w:rsidRPr="008C7134" w:rsidRDefault="006E0C02" w:rsidP="006E0C02">
      <w:pPr>
        <w:pStyle w:val="SingleTxtG"/>
        <w:rPr>
          <w:i/>
          <w:lang w:val="fr-FR"/>
        </w:rPr>
      </w:pPr>
      <w:r w:rsidRPr="008C7134">
        <w:rPr>
          <w:b/>
          <w:vertAlign w:val="superscript"/>
          <w:lang w:val="fr-FR"/>
        </w:rPr>
        <w:t>c</w:t>
      </w:r>
      <w:r w:rsidR="00A07C16" w:rsidRPr="008C7134">
        <w:rPr>
          <w:lang w:val="fr-FR"/>
        </w:rPr>
        <w:tab/>
      </w:r>
      <w:r w:rsidRPr="008C7134">
        <w:rPr>
          <w:i/>
          <w:lang w:val="fr-FR"/>
        </w:rPr>
        <w:t xml:space="preserve">Les </w:t>
      </w:r>
      <w:proofErr w:type="spellStart"/>
      <w:r w:rsidRPr="008C7134">
        <w:rPr>
          <w:i/>
          <w:lang w:val="fr-FR"/>
        </w:rPr>
        <w:t>chlorosilanes</w:t>
      </w:r>
      <w:proofErr w:type="spellEnd"/>
      <w:r w:rsidRPr="008C7134">
        <w:rPr>
          <w:i/>
          <w:lang w:val="fr-FR"/>
        </w:rPr>
        <w:t xml:space="preserve"> (</w:t>
      </w:r>
      <w:r w:rsidR="00926B28" w:rsidRPr="008C7134">
        <w:rPr>
          <w:i/>
          <w:lang w:val="fr-FR"/>
        </w:rPr>
        <w:t>Nos</w:t>
      </w:r>
      <w:r w:rsidRPr="008C7134">
        <w:rPr>
          <w:i/>
          <w:lang w:val="fr-FR"/>
        </w:rPr>
        <w:t> ONU 1162, 1196, 1250, 1298, 1305, 2985) ne doivent pas être transportés en quantités exemptées;</w:t>
      </w:r>
    </w:p>
    <w:p w:rsidR="006E0C02" w:rsidRPr="008C7134" w:rsidRDefault="006E0C02" w:rsidP="006E0C02">
      <w:pPr>
        <w:pStyle w:val="SingleTxtG"/>
        <w:rPr>
          <w:i/>
          <w:lang w:val="fr-FR"/>
        </w:rPr>
      </w:pPr>
      <w:r w:rsidRPr="008C7134">
        <w:rPr>
          <w:b/>
          <w:vertAlign w:val="superscript"/>
          <w:lang w:val="fr-FR"/>
        </w:rPr>
        <w:t>d</w:t>
      </w:r>
      <w:r w:rsidR="00A07C16" w:rsidRPr="008C7134">
        <w:rPr>
          <w:lang w:val="fr-FR"/>
        </w:rPr>
        <w:tab/>
      </w:r>
      <w:r w:rsidRPr="008C7134">
        <w:rPr>
          <w:i/>
          <w:lang w:val="fr-FR"/>
        </w:rPr>
        <w:t xml:space="preserve">Les matières </w:t>
      </w:r>
      <w:proofErr w:type="spellStart"/>
      <w:r w:rsidRPr="008C7134">
        <w:rPr>
          <w:i/>
          <w:lang w:val="fr-FR"/>
        </w:rPr>
        <w:t>autoréactives</w:t>
      </w:r>
      <w:proofErr w:type="spellEnd"/>
      <w:r w:rsidRPr="008C7134">
        <w:rPr>
          <w:i/>
          <w:lang w:val="fr-FR"/>
        </w:rPr>
        <w:t xml:space="preserve">, les matières polymérisables, les explosifs désensibilisés, les numéros ONU 2304, 2448, 3176 (matières en fusion), 3360 et 3527 ne doivent pas être transportés en quantités exemptées; </w:t>
      </w:r>
    </w:p>
    <w:p w:rsidR="006E0C02" w:rsidRPr="008C7134" w:rsidRDefault="006E0C02" w:rsidP="006E0C02">
      <w:pPr>
        <w:pStyle w:val="SingleTxtG"/>
        <w:rPr>
          <w:i/>
          <w:lang w:val="fr-FR"/>
        </w:rPr>
      </w:pPr>
      <w:r w:rsidRPr="008C7134">
        <w:rPr>
          <w:b/>
          <w:vertAlign w:val="superscript"/>
          <w:lang w:val="fr-FR"/>
        </w:rPr>
        <w:t>e</w:t>
      </w:r>
      <w:r w:rsidR="00A07C16" w:rsidRPr="008C7134">
        <w:rPr>
          <w:lang w:val="fr-FR"/>
        </w:rPr>
        <w:tab/>
      </w:r>
      <w:r w:rsidRPr="008C7134">
        <w:rPr>
          <w:lang w:val="fr-FR"/>
        </w:rPr>
        <w:t xml:space="preserve"> </w:t>
      </w:r>
      <w:r w:rsidRPr="008C7134">
        <w:rPr>
          <w:i/>
          <w:lang w:val="fr-FR"/>
        </w:rPr>
        <w:t xml:space="preserve">Les marchandises dangereuses de la division 5.2 doivent être transportées SEULEMENT en quantités exemptées sous la forme du numéro ONU 3316, kit chimique ou trousse de premiers soins; </w:t>
      </w:r>
    </w:p>
    <w:p w:rsidR="006E0C02" w:rsidRPr="008C7134" w:rsidRDefault="006E0C02" w:rsidP="006E0C02">
      <w:pPr>
        <w:pStyle w:val="SingleTxtG"/>
        <w:rPr>
          <w:i/>
          <w:lang w:val="fr-FR"/>
        </w:rPr>
      </w:pPr>
      <w:r w:rsidRPr="008C7134">
        <w:rPr>
          <w:b/>
          <w:vertAlign w:val="superscript"/>
          <w:lang w:val="fr-FR"/>
        </w:rPr>
        <w:t>f</w:t>
      </w:r>
      <w:r w:rsidR="00A07C16" w:rsidRPr="008C7134">
        <w:rPr>
          <w:lang w:val="fr-FR"/>
        </w:rPr>
        <w:tab/>
      </w:r>
      <w:r w:rsidRPr="008C7134">
        <w:rPr>
          <w:i/>
          <w:lang w:val="fr-FR"/>
        </w:rPr>
        <w:t xml:space="preserve">Les numéros ONU 1600, 2312 et 3250 (matières en fusion) ne doivent pas être transportés en quantités exemptées; </w:t>
      </w:r>
    </w:p>
    <w:p w:rsidR="006E0C02" w:rsidRPr="008C7134" w:rsidRDefault="006E0C02" w:rsidP="006E0C02">
      <w:pPr>
        <w:pStyle w:val="SingleTxtG"/>
        <w:rPr>
          <w:i/>
          <w:lang w:val="fr-FR"/>
        </w:rPr>
      </w:pPr>
      <w:r w:rsidRPr="008C7134">
        <w:rPr>
          <w:b/>
          <w:vertAlign w:val="superscript"/>
          <w:lang w:val="fr-FR"/>
        </w:rPr>
        <w:t>g</w:t>
      </w:r>
      <w:r w:rsidR="00A07C16" w:rsidRPr="008C7134">
        <w:rPr>
          <w:lang w:val="fr-FR"/>
        </w:rPr>
        <w:tab/>
      </w:r>
      <w:r w:rsidRPr="008C7134">
        <w:rPr>
          <w:i/>
          <w:lang w:val="fr-FR"/>
        </w:rPr>
        <w:t xml:space="preserve">Les </w:t>
      </w:r>
      <w:proofErr w:type="spellStart"/>
      <w:r w:rsidRPr="008C7134">
        <w:rPr>
          <w:i/>
          <w:lang w:val="fr-FR"/>
        </w:rPr>
        <w:t>chlorosilanes</w:t>
      </w:r>
      <w:proofErr w:type="spellEnd"/>
      <w:r w:rsidRPr="008C7134">
        <w:rPr>
          <w:i/>
          <w:lang w:val="fr-FR"/>
        </w:rPr>
        <w:t xml:space="preserve"> (</w:t>
      </w:r>
      <w:r w:rsidR="00926B28" w:rsidRPr="008C7134">
        <w:rPr>
          <w:i/>
          <w:lang w:val="fr-FR"/>
        </w:rPr>
        <w:t>Nos</w:t>
      </w:r>
      <w:r w:rsidRPr="008C7134">
        <w:rPr>
          <w:i/>
          <w:lang w:val="fr-FR"/>
        </w:rPr>
        <w:t xml:space="preserve"> ONU 3361, 3362) ne doivent pas être transportés en quantités exemptées; </w:t>
      </w:r>
    </w:p>
    <w:p w:rsidR="006E0C02" w:rsidRPr="008C7134" w:rsidRDefault="006E0C02" w:rsidP="006E0C02">
      <w:pPr>
        <w:pStyle w:val="SingleTxtG"/>
        <w:rPr>
          <w:lang w:val="fr-FR"/>
        </w:rPr>
      </w:pPr>
      <w:r w:rsidRPr="008C7134">
        <w:rPr>
          <w:b/>
          <w:vertAlign w:val="superscript"/>
          <w:lang w:val="fr-FR"/>
        </w:rPr>
        <w:t>h</w:t>
      </w:r>
      <w:r w:rsidR="00A07C16" w:rsidRPr="008C7134">
        <w:rPr>
          <w:lang w:val="fr-FR"/>
        </w:rPr>
        <w:tab/>
      </w:r>
      <w:r w:rsidRPr="008C7134">
        <w:rPr>
          <w:i/>
          <w:lang w:val="fr-FR"/>
        </w:rPr>
        <w:t>Les numéros ONU 2215 (fondu), 2576, 2803 et 2809 ne doivent pas être transportés en quantités exemptées;</w:t>
      </w:r>
      <w:r w:rsidRPr="008C7134">
        <w:rPr>
          <w:lang w:val="fr-FR"/>
        </w:rPr>
        <w:t xml:space="preserve"> </w:t>
      </w:r>
    </w:p>
    <w:p w:rsidR="006E0C02" w:rsidRPr="008C7134" w:rsidRDefault="006E0C02" w:rsidP="006E0C02">
      <w:pPr>
        <w:pStyle w:val="SingleTxtG"/>
        <w:rPr>
          <w:i/>
          <w:lang w:val="fr-FR"/>
        </w:rPr>
      </w:pPr>
      <w:r w:rsidRPr="008C7134">
        <w:rPr>
          <w:b/>
          <w:vertAlign w:val="superscript"/>
          <w:lang w:val="fr-FR"/>
        </w:rPr>
        <w:t>i</w:t>
      </w:r>
      <w:r w:rsidR="00A07C16" w:rsidRPr="008C7134">
        <w:rPr>
          <w:lang w:val="fr-FR"/>
        </w:rPr>
        <w:tab/>
      </w:r>
      <w:r w:rsidRPr="008C7134">
        <w:rPr>
          <w:i/>
          <w:lang w:val="fr-FR"/>
        </w:rPr>
        <w:t xml:space="preserve">Les </w:t>
      </w:r>
      <w:proofErr w:type="spellStart"/>
      <w:r w:rsidRPr="008C7134">
        <w:rPr>
          <w:i/>
          <w:lang w:val="fr-FR"/>
        </w:rPr>
        <w:t>chlorosilanes</w:t>
      </w:r>
      <w:proofErr w:type="spellEnd"/>
      <w:r w:rsidRPr="008C7134">
        <w:rPr>
          <w:i/>
          <w:lang w:val="fr-FR"/>
        </w:rPr>
        <w:t xml:space="preserve"> (</w:t>
      </w:r>
      <w:r w:rsidR="00926B28" w:rsidRPr="008C7134">
        <w:rPr>
          <w:i/>
          <w:lang w:val="fr-FR"/>
        </w:rPr>
        <w:t>Nos</w:t>
      </w:r>
      <w:r w:rsidRPr="008C7134">
        <w:rPr>
          <w:i/>
          <w:lang w:val="fr-FR"/>
        </w:rPr>
        <w:t> ONU 1724, 1728, 1747, 1753, 1762, 1763, 1766, 1767, 1769, 1771, 1781, 1784, 1799, 1800, 1801, 1804, 1816, 1818, 2434, 2435, 2437, 2986, 2987ne doivent pas être transportés en quantités exemptées;</w:t>
      </w:r>
    </w:p>
    <w:p w:rsidR="006E0C02" w:rsidRPr="008C7134" w:rsidRDefault="006E0C02" w:rsidP="00FF4D44">
      <w:pPr>
        <w:pStyle w:val="SingleTxtG"/>
        <w:rPr>
          <w:i/>
          <w:lang w:val="fr-FR"/>
        </w:rPr>
      </w:pPr>
      <w:proofErr w:type="spellStart"/>
      <w:r w:rsidRPr="008C7134">
        <w:rPr>
          <w:b/>
          <w:vertAlign w:val="superscript"/>
          <w:lang w:val="fr-FR"/>
        </w:rPr>
        <w:t>j</w:t>
      </w:r>
      <w:proofErr w:type="spellEnd"/>
      <w:r w:rsidR="00A07C16" w:rsidRPr="008C7134">
        <w:rPr>
          <w:lang w:val="fr-FR"/>
        </w:rPr>
        <w:tab/>
      </w:r>
      <w:r w:rsidRPr="008C7134">
        <w:rPr>
          <w:i/>
          <w:lang w:val="fr-FR"/>
        </w:rPr>
        <w:t xml:space="preserve">Le </w:t>
      </w:r>
      <w:r w:rsidR="00FF4D44">
        <w:rPr>
          <w:i/>
          <w:lang w:val="fr-FR"/>
        </w:rPr>
        <w:t>c</w:t>
      </w:r>
      <w:r w:rsidRPr="008C7134">
        <w:rPr>
          <w:i/>
          <w:lang w:val="fr-FR"/>
        </w:rPr>
        <w:t xml:space="preserve">ode E1 s’applique aux numéros ONU 3334 et 3335. Les numéros ONU 1845, 2807, 3245, 3257 et 3258 ne doivent pas être transportés en quantités exemptées; </w:t>
      </w:r>
    </w:p>
    <w:p w:rsidR="006E0C02" w:rsidRPr="008C7134" w:rsidRDefault="006E0C02" w:rsidP="006E0C02">
      <w:pPr>
        <w:pStyle w:val="SingleTxtG"/>
        <w:rPr>
          <w:i/>
          <w:lang w:val="fr-FR"/>
        </w:rPr>
      </w:pPr>
      <w:r w:rsidRPr="008C7134">
        <w:rPr>
          <w:b/>
          <w:vertAlign w:val="superscript"/>
          <w:lang w:val="fr-FR"/>
        </w:rPr>
        <w:t>k</w:t>
      </w:r>
      <w:r w:rsidR="00A07C16" w:rsidRPr="008C7134">
        <w:rPr>
          <w:b/>
          <w:lang w:val="fr-FR"/>
        </w:rPr>
        <w:tab/>
      </w:r>
      <w:r w:rsidRPr="008C7134">
        <w:rPr>
          <w:i/>
          <w:lang w:val="fr-FR"/>
        </w:rPr>
        <w:t>Il s’agit de matières auxquelles s’applique la Disposition spéciale 354 dans la colonne (6) Liste des marchandises dangereu</w:t>
      </w:r>
      <w:r w:rsidR="00926B28" w:rsidRPr="008C7134">
        <w:rPr>
          <w:i/>
          <w:lang w:val="fr-FR"/>
        </w:rPr>
        <w:t>ses, pour les matières «TOXIQUES PAR INHALATION</w:t>
      </w:r>
      <w:r w:rsidRPr="008C7134">
        <w:rPr>
          <w:i/>
          <w:lang w:val="fr-FR"/>
        </w:rPr>
        <w:t>», N.S.A.</w:t>
      </w:r>
    </w:p>
    <w:p w:rsidR="006E0C02" w:rsidRPr="008C7134" w:rsidRDefault="006E0C02" w:rsidP="006E0C02">
      <w:pPr>
        <w:pStyle w:val="SingleTxtG"/>
        <w:rPr>
          <w:lang w:val="fr-FR"/>
        </w:rPr>
      </w:pPr>
      <w:r w:rsidRPr="008C7134">
        <w:rPr>
          <w:lang w:val="fr-FR"/>
        </w:rPr>
        <w:lastRenderedPageBreak/>
        <w:t>La signification des codes dans le tableau ci-dessus est expliquée à la section 3.5.1 du Règlement type.</w:t>
      </w:r>
    </w:p>
    <w:p w:rsidR="008B7863" w:rsidRPr="008C7134" w:rsidRDefault="00A07C16" w:rsidP="006E0C02">
      <w:pPr>
        <w:pStyle w:val="SingleTxtG"/>
        <w:rPr>
          <w:rFonts w:eastAsia="MS Mincho"/>
          <w:i/>
          <w:lang w:val="fr-FR"/>
        </w:rPr>
      </w:pPr>
      <w:r w:rsidRPr="008C7134">
        <w:rPr>
          <w:rFonts w:eastAsia="MS Mincho"/>
          <w:i/>
          <w:lang w:val="fr-FR"/>
        </w:rPr>
        <w:t>(Document de référence</w:t>
      </w:r>
      <w:r w:rsidR="008B7863" w:rsidRPr="008C7134">
        <w:rPr>
          <w:rFonts w:eastAsia="MS Mincho"/>
          <w:i/>
          <w:lang w:val="fr-FR"/>
        </w:rPr>
        <w:t>: ST/SG/AC.10/C.3/2016/78)</w:t>
      </w:r>
    </w:p>
    <w:p w:rsidR="006E0C02" w:rsidRPr="008C7134" w:rsidRDefault="006E0C02">
      <w:pPr>
        <w:suppressAutoHyphens w:val="0"/>
        <w:spacing w:line="240" w:lineRule="auto"/>
        <w:rPr>
          <w:b/>
          <w:sz w:val="24"/>
          <w:lang w:val="fr-FR"/>
        </w:rPr>
      </w:pPr>
      <w:r w:rsidRPr="008C7134">
        <w:rPr>
          <w:lang w:val="fr-FR"/>
        </w:rPr>
        <w:br w:type="page"/>
      </w:r>
    </w:p>
    <w:p w:rsidR="008B7315" w:rsidRPr="008C7134" w:rsidRDefault="008B7315" w:rsidP="008B7315">
      <w:pPr>
        <w:pStyle w:val="HChG"/>
        <w:rPr>
          <w:lang w:val="fr-FR"/>
        </w:rPr>
      </w:pPr>
      <w:r w:rsidRPr="008C7134">
        <w:rPr>
          <w:lang w:val="fr-FR"/>
        </w:rPr>
        <w:lastRenderedPageBreak/>
        <w:t>Annexe IV</w:t>
      </w:r>
    </w:p>
    <w:p w:rsidR="00B4723B" w:rsidRPr="008C7134" w:rsidRDefault="006E0C02" w:rsidP="008B7315">
      <w:pPr>
        <w:pStyle w:val="H1G"/>
        <w:rPr>
          <w:lang w:val="fr-FR"/>
        </w:rPr>
      </w:pPr>
      <w:r w:rsidRPr="008C7134">
        <w:rPr>
          <w:lang w:val="fr-FR"/>
        </w:rPr>
        <w:tab/>
      </w:r>
      <w:r w:rsidRPr="008C7134">
        <w:rPr>
          <w:lang w:val="fr-FR"/>
        </w:rPr>
        <w:tab/>
      </w:r>
      <w:r w:rsidR="00B4723B" w:rsidRPr="008C7134">
        <w:rPr>
          <w:lang w:val="fr-FR"/>
        </w:rPr>
        <w:t>Corrections à la dix-neuvième édition révisée des Recommandations relatives au transport des marchandises dangereuses, Règlement type (ST/SG/AC.10/1/Rev.19)</w:t>
      </w:r>
    </w:p>
    <w:p w:rsidR="008B7315" w:rsidRPr="008C7134" w:rsidRDefault="008B7315" w:rsidP="008B7315">
      <w:pPr>
        <w:pStyle w:val="SingleTxtG"/>
        <w:rPr>
          <w:i/>
          <w:lang w:val="fr-FR"/>
        </w:rPr>
      </w:pPr>
      <w:r w:rsidRPr="008C7134">
        <w:rPr>
          <w:i/>
          <w:lang w:val="fr-FR"/>
        </w:rPr>
        <w:t>(Document de référence: document informel INF.28)</w:t>
      </w:r>
    </w:p>
    <w:p w:rsidR="00B1211C" w:rsidRPr="008C7134" w:rsidRDefault="00B1211C" w:rsidP="00B1211C">
      <w:pPr>
        <w:pStyle w:val="H23G"/>
        <w:rPr>
          <w:lang w:val="fr-FR"/>
        </w:rPr>
      </w:pPr>
      <w:r w:rsidRPr="008C7134">
        <w:rPr>
          <w:lang w:val="fr-FR"/>
        </w:rPr>
        <w:tab/>
      </w:r>
      <w:r w:rsidR="00D32E7E">
        <w:rPr>
          <w:lang w:val="fr-FR"/>
        </w:rPr>
        <w:t>1.</w:t>
      </w:r>
      <w:r w:rsidRPr="008C7134">
        <w:rPr>
          <w:lang w:val="fr-FR"/>
        </w:rPr>
        <w:tab/>
        <w:t>Chapitre 2.7, 2.7.2.3.2 a) ii) et 2.7.2.3.2 b) ii), à la fin des alinéas</w:t>
      </w:r>
    </w:p>
    <w:p w:rsidR="00F44D49" w:rsidRPr="008C7134" w:rsidRDefault="00B1211C" w:rsidP="00B1211C">
      <w:pPr>
        <w:pStyle w:val="SingleTxtG"/>
        <w:rPr>
          <w:lang w:val="fr-FR"/>
        </w:rPr>
      </w:pPr>
      <w:r w:rsidRPr="008C7134">
        <w:rPr>
          <w:i/>
          <w:lang w:val="fr-FR"/>
        </w:rPr>
        <w:t>Au lieu de</w:t>
      </w:r>
      <w:r w:rsidR="00F44D49" w:rsidRPr="008C7134">
        <w:rPr>
          <w:lang w:val="fr-FR"/>
        </w:rPr>
        <w:t xml:space="preserve"> </w:t>
      </w:r>
      <w:r w:rsidRPr="008C7134">
        <w:rPr>
          <w:lang w:val="fr-FR"/>
        </w:rPr>
        <w:t>ou</w:t>
      </w:r>
      <w:r w:rsidR="00F44D49" w:rsidRPr="008C7134">
        <w:rPr>
          <w:lang w:val="fr-FR"/>
        </w:rPr>
        <w:t xml:space="preserve"> </w:t>
      </w:r>
      <w:r w:rsidRPr="008C7134">
        <w:rPr>
          <w:i/>
          <w:lang w:val="fr-FR"/>
        </w:rPr>
        <w:t>lire</w:t>
      </w:r>
      <w:r w:rsidRPr="008C7134">
        <w:rPr>
          <w:lang w:val="fr-FR"/>
        </w:rPr>
        <w:t xml:space="preserve"> et</w:t>
      </w:r>
    </w:p>
    <w:p w:rsidR="0006208C" w:rsidRPr="008C7134" w:rsidRDefault="00487C9E" w:rsidP="00487C9E">
      <w:pPr>
        <w:pStyle w:val="H23G"/>
        <w:rPr>
          <w:lang w:val="fr-FR"/>
        </w:rPr>
      </w:pPr>
      <w:r w:rsidRPr="008C7134">
        <w:rPr>
          <w:lang w:val="fr-FR"/>
        </w:rPr>
        <w:tab/>
      </w:r>
      <w:r w:rsidR="00D32E7E">
        <w:rPr>
          <w:lang w:val="fr-FR"/>
        </w:rPr>
        <w:t>2.</w:t>
      </w:r>
      <w:r w:rsidRPr="008C7134">
        <w:rPr>
          <w:lang w:val="fr-FR"/>
        </w:rPr>
        <w:tab/>
      </w:r>
      <w:r w:rsidR="0006208C" w:rsidRPr="008C7134">
        <w:rPr>
          <w:lang w:val="fr-FR"/>
        </w:rPr>
        <w:t>Chapitre 3.2</w:t>
      </w:r>
      <w:r w:rsidRPr="008C7134">
        <w:rPr>
          <w:lang w:val="fr-FR"/>
        </w:rPr>
        <w:t xml:space="preserve">, </w:t>
      </w:r>
      <w:r w:rsidRPr="008C7134">
        <w:rPr>
          <w:bCs/>
          <w:lang w:val="fr-FR"/>
        </w:rPr>
        <w:t xml:space="preserve">Liste des marchandises dangereuses, No ONU </w:t>
      </w:r>
      <w:r w:rsidRPr="008C7134">
        <w:rPr>
          <w:lang w:val="fr-FR"/>
        </w:rPr>
        <w:t>2908, colonne (6)</w:t>
      </w:r>
    </w:p>
    <w:p w:rsidR="0006208C" w:rsidRPr="008C7134" w:rsidRDefault="00487C9E" w:rsidP="00F44D49">
      <w:pPr>
        <w:pStyle w:val="SingleTxtG"/>
        <w:rPr>
          <w:lang w:val="fr-FR"/>
        </w:rPr>
      </w:pPr>
      <w:r w:rsidRPr="008C7134">
        <w:rPr>
          <w:i/>
          <w:lang w:val="fr-FR"/>
        </w:rPr>
        <w:t>I</w:t>
      </w:r>
      <w:r w:rsidR="000E0539" w:rsidRPr="008C7134">
        <w:rPr>
          <w:i/>
          <w:lang w:val="fr-FR"/>
        </w:rPr>
        <w:t>nsérer</w:t>
      </w:r>
      <w:r w:rsidR="000E0539" w:rsidRPr="008C7134">
        <w:rPr>
          <w:lang w:val="fr-FR"/>
        </w:rPr>
        <w:t xml:space="preserve"> 368</w:t>
      </w:r>
    </w:p>
    <w:p w:rsidR="00487C9E" w:rsidRPr="008C7134" w:rsidRDefault="00487C9E" w:rsidP="00487C9E">
      <w:pPr>
        <w:pStyle w:val="H23G"/>
        <w:rPr>
          <w:lang w:val="fr-FR"/>
        </w:rPr>
      </w:pPr>
      <w:r w:rsidRPr="008C7134">
        <w:rPr>
          <w:lang w:val="fr-FR"/>
        </w:rPr>
        <w:tab/>
      </w:r>
      <w:r w:rsidR="00D32E7E">
        <w:rPr>
          <w:lang w:val="fr-FR"/>
        </w:rPr>
        <w:t>3.</w:t>
      </w:r>
      <w:r w:rsidRPr="008C7134">
        <w:rPr>
          <w:lang w:val="fr-FR"/>
        </w:rPr>
        <w:tab/>
        <w:t xml:space="preserve">Chapitre 3.2, </w:t>
      </w:r>
      <w:r w:rsidRPr="008C7134">
        <w:rPr>
          <w:bCs/>
          <w:lang w:val="fr-FR"/>
        </w:rPr>
        <w:t xml:space="preserve">Liste des marchandises dangereuses, No ONU </w:t>
      </w:r>
      <w:r w:rsidRPr="008C7134">
        <w:rPr>
          <w:lang w:val="fr-FR"/>
        </w:rPr>
        <w:t>2913, colonne (6)</w:t>
      </w:r>
    </w:p>
    <w:p w:rsidR="000E0539" w:rsidRPr="008C7134" w:rsidRDefault="00487C9E" w:rsidP="00F44D49">
      <w:pPr>
        <w:pStyle w:val="SingleTxtG"/>
        <w:rPr>
          <w:lang w:val="fr-FR"/>
        </w:rPr>
      </w:pPr>
      <w:r w:rsidRPr="008C7134">
        <w:rPr>
          <w:i/>
          <w:lang w:val="fr-FR"/>
        </w:rPr>
        <w:t>I</w:t>
      </w:r>
      <w:r w:rsidR="000E0539" w:rsidRPr="008C7134">
        <w:rPr>
          <w:i/>
          <w:lang w:val="fr-FR"/>
        </w:rPr>
        <w:t>nsérer</w:t>
      </w:r>
      <w:r w:rsidR="000E0539" w:rsidRPr="008C7134">
        <w:rPr>
          <w:lang w:val="fr-FR"/>
        </w:rPr>
        <w:t xml:space="preserve"> 325</w:t>
      </w:r>
    </w:p>
    <w:p w:rsidR="00487C9E" w:rsidRPr="008C7134" w:rsidRDefault="00487C9E" w:rsidP="00487C9E">
      <w:pPr>
        <w:pStyle w:val="H23G"/>
        <w:rPr>
          <w:lang w:val="fr-FR"/>
        </w:rPr>
      </w:pPr>
      <w:r w:rsidRPr="008C7134">
        <w:rPr>
          <w:lang w:val="fr-FR"/>
        </w:rPr>
        <w:tab/>
      </w:r>
      <w:r w:rsidR="00D32E7E">
        <w:rPr>
          <w:lang w:val="fr-FR"/>
        </w:rPr>
        <w:t>4.</w:t>
      </w:r>
      <w:r w:rsidRPr="008C7134">
        <w:rPr>
          <w:lang w:val="fr-FR"/>
        </w:rPr>
        <w:tab/>
        <w:t xml:space="preserve">Chapitre 3.2, </w:t>
      </w:r>
      <w:r w:rsidRPr="008C7134">
        <w:rPr>
          <w:bCs/>
          <w:lang w:val="fr-FR"/>
        </w:rPr>
        <w:t xml:space="preserve">Liste des marchandises dangereuses, No ONU </w:t>
      </w:r>
      <w:r w:rsidRPr="008C7134">
        <w:rPr>
          <w:lang w:val="fr-FR"/>
        </w:rPr>
        <w:t>2913, colonne (6)</w:t>
      </w:r>
    </w:p>
    <w:p w:rsidR="000E0539" w:rsidRPr="008C7134" w:rsidRDefault="00487C9E" w:rsidP="00F44D49">
      <w:pPr>
        <w:pStyle w:val="SingleTxtG"/>
        <w:rPr>
          <w:lang w:val="fr-FR"/>
        </w:rPr>
      </w:pPr>
      <w:r w:rsidRPr="008C7134">
        <w:rPr>
          <w:i/>
          <w:lang w:val="fr-FR"/>
        </w:rPr>
        <w:t>S</w:t>
      </w:r>
      <w:r w:rsidR="000E0539" w:rsidRPr="008C7134">
        <w:rPr>
          <w:i/>
          <w:lang w:val="fr-FR"/>
        </w:rPr>
        <w:t>upprimer</w:t>
      </w:r>
      <w:r w:rsidR="000E0539" w:rsidRPr="008C7134">
        <w:rPr>
          <w:lang w:val="fr-FR"/>
        </w:rPr>
        <w:t xml:space="preserve"> 336</w:t>
      </w:r>
    </w:p>
    <w:p w:rsidR="00860446" w:rsidRPr="008C7134" w:rsidRDefault="00860446" w:rsidP="00860446">
      <w:pPr>
        <w:pStyle w:val="H23G"/>
        <w:rPr>
          <w:lang w:val="fr-FR"/>
        </w:rPr>
      </w:pPr>
      <w:r w:rsidRPr="008C7134">
        <w:rPr>
          <w:lang w:val="fr-FR"/>
        </w:rPr>
        <w:tab/>
      </w:r>
      <w:r w:rsidR="00D32E7E">
        <w:rPr>
          <w:lang w:val="fr-FR"/>
        </w:rPr>
        <w:t>5.</w:t>
      </w:r>
      <w:r w:rsidRPr="008C7134">
        <w:rPr>
          <w:lang w:val="fr-FR"/>
        </w:rPr>
        <w:tab/>
        <w:t xml:space="preserve">Chapitre 3.2, </w:t>
      </w:r>
      <w:r w:rsidRPr="008C7134">
        <w:rPr>
          <w:bCs/>
          <w:lang w:val="fr-FR"/>
        </w:rPr>
        <w:t xml:space="preserve">Liste des marchandises dangereuses, No ONU </w:t>
      </w:r>
      <w:r w:rsidRPr="008C7134">
        <w:rPr>
          <w:lang w:val="fr-FR"/>
        </w:rPr>
        <w:t>3326, colonne (6)</w:t>
      </w:r>
    </w:p>
    <w:p w:rsidR="000E0539" w:rsidRPr="008C7134" w:rsidRDefault="00860446" w:rsidP="00F44D49">
      <w:pPr>
        <w:pStyle w:val="SingleTxtG"/>
        <w:rPr>
          <w:lang w:val="fr-FR"/>
        </w:rPr>
      </w:pPr>
      <w:r w:rsidRPr="008C7134">
        <w:rPr>
          <w:i/>
          <w:lang w:val="fr-FR"/>
        </w:rPr>
        <w:t>I</w:t>
      </w:r>
      <w:r w:rsidR="000E0539" w:rsidRPr="008C7134">
        <w:rPr>
          <w:i/>
          <w:lang w:val="fr-FR"/>
        </w:rPr>
        <w:t>nsérer</w:t>
      </w:r>
      <w:r w:rsidR="000E0539" w:rsidRPr="008C7134">
        <w:rPr>
          <w:lang w:val="fr-FR"/>
        </w:rPr>
        <w:t xml:space="preserve"> 326</w:t>
      </w:r>
    </w:p>
    <w:p w:rsidR="00860446" w:rsidRPr="008C7134" w:rsidRDefault="00860446" w:rsidP="00860446">
      <w:pPr>
        <w:pStyle w:val="H23G"/>
        <w:rPr>
          <w:lang w:val="fr-FR"/>
        </w:rPr>
      </w:pPr>
      <w:r w:rsidRPr="008C7134">
        <w:rPr>
          <w:lang w:val="fr-FR"/>
        </w:rPr>
        <w:tab/>
      </w:r>
      <w:r w:rsidR="00D32E7E">
        <w:rPr>
          <w:lang w:val="fr-FR"/>
        </w:rPr>
        <w:t>6.</w:t>
      </w:r>
      <w:r w:rsidRPr="008C7134">
        <w:rPr>
          <w:lang w:val="fr-FR"/>
        </w:rPr>
        <w:tab/>
        <w:t xml:space="preserve">Chapitre 3.2, </w:t>
      </w:r>
      <w:r w:rsidRPr="008C7134">
        <w:rPr>
          <w:bCs/>
          <w:lang w:val="fr-FR"/>
        </w:rPr>
        <w:t xml:space="preserve">Liste des marchandises dangereuses, No ONU </w:t>
      </w:r>
      <w:r w:rsidRPr="008C7134">
        <w:rPr>
          <w:lang w:val="fr-FR"/>
        </w:rPr>
        <w:t>3326, colonne (6)</w:t>
      </w:r>
    </w:p>
    <w:p w:rsidR="000E0539" w:rsidRPr="008C7134" w:rsidRDefault="00860446" w:rsidP="00F44D49">
      <w:pPr>
        <w:pStyle w:val="SingleTxtG"/>
        <w:rPr>
          <w:lang w:val="fr-FR"/>
        </w:rPr>
      </w:pPr>
      <w:r w:rsidRPr="008C7134">
        <w:rPr>
          <w:i/>
          <w:lang w:val="fr-FR"/>
        </w:rPr>
        <w:t>S</w:t>
      </w:r>
      <w:r w:rsidR="000E0539" w:rsidRPr="008C7134">
        <w:rPr>
          <w:i/>
          <w:lang w:val="fr-FR"/>
        </w:rPr>
        <w:t>upprimer</w:t>
      </w:r>
      <w:r w:rsidR="000E0539" w:rsidRPr="008C7134">
        <w:rPr>
          <w:lang w:val="fr-FR"/>
        </w:rPr>
        <w:t xml:space="preserve"> 336</w:t>
      </w:r>
    </w:p>
    <w:p w:rsidR="00860446" w:rsidRPr="008C7134" w:rsidRDefault="00860446" w:rsidP="00860446">
      <w:pPr>
        <w:pStyle w:val="H23G"/>
        <w:rPr>
          <w:lang w:val="fr-FR"/>
        </w:rPr>
      </w:pPr>
      <w:r w:rsidRPr="008C7134">
        <w:rPr>
          <w:lang w:val="fr-FR"/>
        </w:rPr>
        <w:tab/>
      </w:r>
      <w:r w:rsidR="00D32E7E">
        <w:rPr>
          <w:lang w:val="fr-FR"/>
        </w:rPr>
        <w:t>7.</w:t>
      </w:r>
      <w:r w:rsidRPr="008C7134">
        <w:rPr>
          <w:lang w:val="fr-FR"/>
        </w:rPr>
        <w:tab/>
        <w:t>Chapitre 3.3, disposition spéciale 369, deuxième paragraphe, à la fin</w:t>
      </w:r>
    </w:p>
    <w:p w:rsidR="00860446" w:rsidRPr="008C7134" w:rsidRDefault="00860446" w:rsidP="00860446">
      <w:pPr>
        <w:pStyle w:val="SingleTxtG"/>
        <w:rPr>
          <w:lang w:val="fr-FR"/>
        </w:rPr>
      </w:pPr>
      <w:r w:rsidRPr="008C7134">
        <w:rPr>
          <w:i/>
          <w:lang w:val="fr-FR"/>
        </w:rPr>
        <w:t>Au lieu de</w:t>
      </w:r>
      <w:r w:rsidRPr="008C7134">
        <w:rPr>
          <w:lang w:val="fr-FR"/>
        </w:rPr>
        <w:t xml:space="preserve"> 2.7.2.3.6 </w:t>
      </w:r>
      <w:r w:rsidRPr="008C7134">
        <w:rPr>
          <w:i/>
          <w:lang w:val="fr-FR"/>
        </w:rPr>
        <w:t>lire</w:t>
      </w:r>
      <w:r w:rsidRPr="008C7134">
        <w:rPr>
          <w:lang w:val="fr-FR"/>
        </w:rPr>
        <w:t xml:space="preserve"> 2.7.2.3.5</w:t>
      </w:r>
    </w:p>
    <w:p w:rsidR="0006208C" w:rsidRPr="008C7134" w:rsidRDefault="00860446" w:rsidP="00860446">
      <w:pPr>
        <w:pStyle w:val="H23G"/>
        <w:rPr>
          <w:lang w:val="fr-FR"/>
        </w:rPr>
      </w:pPr>
      <w:r w:rsidRPr="008C7134">
        <w:rPr>
          <w:lang w:val="fr-FR"/>
        </w:rPr>
        <w:tab/>
      </w:r>
      <w:r w:rsidR="00D32E7E">
        <w:rPr>
          <w:lang w:val="fr-FR"/>
        </w:rPr>
        <w:t>8.</w:t>
      </w:r>
      <w:r w:rsidRPr="008C7134">
        <w:rPr>
          <w:lang w:val="fr-FR"/>
        </w:rPr>
        <w:tab/>
      </w:r>
      <w:r w:rsidR="0006208C" w:rsidRPr="008C7134">
        <w:rPr>
          <w:lang w:val="fr-FR"/>
        </w:rPr>
        <w:t>Chapitre 4.1</w:t>
      </w:r>
      <w:r w:rsidRPr="008C7134">
        <w:rPr>
          <w:lang w:val="fr-FR"/>
        </w:rPr>
        <w:t>, instruction d’emballage P603, dans la disposition spéciale d’emballage</w:t>
      </w:r>
    </w:p>
    <w:p w:rsidR="0006208C" w:rsidRPr="008C7134" w:rsidRDefault="00860446" w:rsidP="00F44D49">
      <w:pPr>
        <w:pStyle w:val="SingleTxtG"/>
        <w:rPr>
          <w:lang w:val="fr-FR"/>
        </w:rPr>
      </w:pPr>
      <w:r w:rsidRPr="008C7134">
        <w:rPr>
          <w:i/>
          <w:lang w:val="fr-FR"/>
        </w:rPr>
        <w:t>S</w:t>
      </w:r>
      <w:r w:rsidR="00547FD7" w:rsidRPr="008C7134">
        <w:rPr>
          <w:i/>
          <w:lang w:val="fr-FR"/>
        </w:rPr>
        <w:t>upprimer</w:t>
      </w:r>
      <w:r w:rsidR="00547FD7" w:rsidRPr="008C7134">
        <w:rPr>
          <w:lang w:val="fr-FR"/>
        </w:rPr>
        <w:t xml:space="preserve"> </w:t>
      </w:r>
      <w:r w:rsidRPr="008C7134">
        <w:rPr>
          <w:iCs/>
          <w:lang w:val="fr-FR"/>
        </w:rPr>
        <w:t>et 6.4.11.2</w:t>
      </w:r>
    </w:p>
    <w:p w:rsidR="0006208C" w:rsidRPr="008C7134" w:rsidRDefault="008C7134" w:rsidP="008C7134">
      <w:pPr>
        <w:pStyle w:val="H23G"/>
        <w:rPr>
          <w:lang w:val="fr-FR"/>
        </w:rPr>
      </w:pPr>
      <w:r w:rsidRPr="008C7134">
        <w:rPr>
          <w:lang w:val="fr-FR"/>
        </w:rPr>
        <w:tab/>
      </w:r>
      <w:r w:rsidR="00D32E7E">
        <w:rPr>
          <w:lang w:val="fr-FR"/>
        </w:rPr>
        <w:t>9.</w:t>
      </w:r>
      <w:r w:rsidRPr="008C7134">
        <w:rPr>
          <w:lang w:val="fr-FR"/>
        </w:rPr>
        <w:tab/>
      </w:r>
      <w:r w:rsidR="0006208C" w:rsidRPr="008C7134">
        <w:rPr>
          <w:lang w:val="fr-FR"/>
        </w:rPr>
        <w:t>Chapitre 6.4</w:t>
      </w:r>
      <w:r w:rsidRPr="008C7134">
        <w:rPr>
          <w:lang w:val="fr-FR"/>
        </w:rPr>
        <w:t>, 6.4.2.11, dans la quatrième ligne</w:t>
      </w:r>
    </w:p>
    <w:p w:rsidR="0006208C" w:rsidRPr="008C7134" w:rsidRDefault="008C7134" w:rsidP="005E0C01">
      <w:pPr>
        <w:pStyle w:val="SingleTxtG"/>
        <w:rPr>
          <w:lang w:val="fr-FR"/>
        </w:rPr>
      </w:pPr>
      <w:r w:rsidRPr="008C7134">
        <w:rPr>
          <w:i/>
          <w:lang w:val="fr-FR"/>
        </w:rPr>
        <w:t>Au lieu de</w:t>
      </w:r>
      <w:r w:rsidR="006313E1" w:rsidRPr="008C7134">
        <w:rPr>
          <w:lang w:val="fr-FR"/>
        </w:rPr>
        <w:t xml:space="preserve"> </w:t>
      </w:r>
      <w:r w:rsidR="005E0C01" w:rsidRPr="008C7134">
        <w:rPr>
          <w:iCs/>
          <w:lang w:val="fr-FR"/>
        </w:rPr>
        <w:t>4.1.9.1.10 et 4.1.9.1.11</w:t>
      </w:r>
      <w:r w:rsidR="006313E1" w:rsidRPr="008C7134">
        <w:rPr>
          <w:iCs/>
          <w:lang w:val="fr-FR"/>
        </w:rPr>
        <w:t xml:space="preserve"> </w:t>
      </w:r>
      <w:r w:rsidRPr="008C7134">
        <w:rPr>
          <w:i/>
          <w:iCs/>
          <w:lang w:val="fr-FR"/>
        </w:rPr>
        <w:t>lire</w:t>
      </w:r>
      <w:r>
        <w:rPr>
          <w:iCs/>
          <w:lang w:val="fr-FR"/>
        </w:rPr>
        <w:t xml:space="preserve"> 4.1.9.1.11 et 4.1.9.1.12</w:t>
      </w:r>
    </w:p>
    <w:p w:rsidR="008C7134" w:rsidRPr="008C7134" w:rsidRDefault="008C7134" w:rsidP="008C7134">
      <w:pPr>
        <w:pStyle w:val="H23G"/>
        <w:rPr>
          <w:lang w:val="fr-FR"/>
        </w:rPr>
      </w:pPr>
      <w:r w:rsidRPr="008C7134">
        <w:rPr>
          <w:lang w:val="fr-FR"/>
        </w:rPr>
        <w:tab/>
      </w:r>
      <w:r w:rsidR="00D32E7E">
        <w:rPr>
          <w:lang w:val="fr-FR"/>
        </w:rPr>
        <w:t>10.</w:t>
      </w:r>
      <w:r w:rsidRPr="008C7134">
        <w:rPr>
          <w:lang w:val="fr-FR"/>
        </w:rPr>
        <w:tab/>
        <w:t xml:space="preserve">Chapitre 6.4, </w:t>
      </w:r>
      <w:r w:rsidRPr="008C7134">
        <w:rPr>
          <w:iCs/>
          <w:lang w:val="fr-FR"/>
        </w:rPr>
        <w:t>6.4.23.19</w:t>
      </w:r>
    </w:p>
    <w:p w:rsidR="006313E1" w:rsidRPr="008C7134" w:rsidRDefault="008C7134" w:rsidP="006313E1">
      <w:pPr>
        <w:pStyle w:val="SingleTxtG"/>
        <w:rPr>
          <w:lang w:val="fr-FR"/>
        </w:rPr>
      </w:pPr>
      <w:r w:rsidRPr="008C7134">
        <w:rPr>
          <w:i/>
          <w:lang w:val="fr-FR"/>
        </w:rPr>
        <w:t>Au lieu de</w:t>
      </w:r>
      <w:r>
        <w:rPr>
          <w:iCs/>
          <w:lang w:val="fr-FR"/>
        </w:rPr>
        <w:t xml:space="preserve"> </w:t>
      </w:r>
      <w:r w:rsidR="006313E1" w:rsidRPr="008C7134">
        <w:rPr>
          <w:iCs/>
          <w:lang w:val="fr-FR"/>
        </w:rPr>
        <w:t xml:space="preserve">sous 6.4.22.2, </w:t>
      </w:r>
      <w:r>
        <w:rPr>
          <w:iCs/>
          <w:lang w:val="fr-FR"/>
        </w:rPr>
        <w:t>6.4.22.4, 6.4.25.2 et 6.4.24.3</w:t>
      </w:r>
      <w:r w:rsidR="006313E1" w:rsidRPr="008C7134">
        <w:rPr>
          <w:iCs/>
          <w:lang w:val="fr-FR"/>
        </w:rPr>
        <w:t xml:space="preserve"> </w:t>
      </w:r>
      <w:r w:rsidRPr="008C7134">
        <w:rPr>
          <w:i/>
          <w:iCs/>
          <w:lang w:val="fr-FR"/>
        </w:rPr>
        <w:t>lire</w:t>
      </w:r>
      <w:r>
        <w:rPr>
          <w:iCs/>
          <w:lang w:val="fr-FR"/>
        </w:rPr>
        <w:t xml:space="preserve"> </w:t>
      </w:r>
      <w:r w:rsidR="006313E1" w:rsidRPr="008C7134">
        <w:rPr>
          <w:iCs/>
          <w:lang w:val="fr-FR"/>
        </w:rPr>
        <w:t xml:space="preserve">sous </w:t>
      </w:r>
      <w:r w:rsidR="006313E1" w:rsidRPr="008C7134">
        <w:rPr>
          <w:lang w:val="fr-FR"/>
        </w:rPr>
        <w:t>6.4.22.2,</w:t>
      </w:r>
      <w:r>
        <w:rPr>
          <w:lang w:val="fr-FR"/>
        </w:rPr>
        <w:t xml:space="preserve"> 6.4.22.3, 6.4.22.4 et 6.4.24.2</w:t>
      </w:r>
    </w:p>
    <w:p w:rsidR="000A060B" w:rsidRPr="004965E5" w:rsidRDefault="004965E5" w:rsidP="004965E5">
      <w:pPr>
        <w:pStyle w:val="SingleTxtG"/>
        <w:spacing w:before="240" w:after="0"/>
        <w:jc w:val="center"/>
        <w:rPr>
          <w:iCs/>
          <w:u w:val="single"/>
          <w:lang w:val="fr-FR"/>
        </w:rPr>
      </w:pPr>
      <w:r>
        <w:rPr>
          <w:iCs/>
          <w:u w:val="single"/>
          <w:lang w:val="fr-FR"/>
        </w:rPr>
        <w:tab/>
      </w:r>
      <w:r>
        <w:rPr>
          <w:iCs/>
          <w:u w:val="single"/>
          <w:lang w:val="fr-FR"/>
        </w:rPr>
        <w:tab/>
      </w:r>
      <w:r>
        <w:rPr>
          <w:iCs/>
          <w:u w:val="single"/>
          <w:lang w:val="fr-FR"/>
        </w:rPr>
        <w:tab/>
      </w:r>
    </w:p>
    <w:sectPr w:rsidR="000A060B" w:rsidRPr="004965E5" w:rsidSect="00FB7D96">
      <w:headerReference w:type="even" r:id="rId11"/>
      <w:headerReference w:type="default" r:id="rId12"/>
      <w:footerReference w:type="even" r:id="rId13"/>
      <w:footerReference w:type="defaul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44C" w:rsidRDefault="00B5244C"/>
  </w:endnote>
  <w:endnote w:type="continuationSeparator" w:id="0">
    <w:p w:rsidR="00B5244C" w:rsidRDefault="00B5244C"/>
  </w:endnote>
  <w:endnote w:type="continuationNotice" w:id="1">
    <w:p w:rsidR="00B5244C" w:rsidRDefault="00B52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4C" w:rsidRPr="00FB7D96" w:rsidRDefault="00B5244C" w:rsidP="00FB7D96">
    <w:pPr>
      <w:pStyle w:val="Footer"/>
      <w:tabs>
        <w:tab w:val="right" w:pos="9638"/>
      </w:tabs>
      <w:rPr>
        <w:sz w:val="18"/>
      </w:rPr>
    </w:pPr>
    <w:r w:rsidRPr="00FB7D96">
      <w:rPr>
        <w:b/>
        <w:sz w:val="18"/>
      </w:rPr>
      <w:fldChar w:fldCharType="begin"/>
    </w:r>
    <w:r w:rsidRPr="00FB7D96">
      <w:rPr>
        <w:b/>
        <w:sz w:val="18"/>
      </w:rPr>
      <w:instrText xml:space="preserve"> PAGE  \* MERGEFORMAT </w:instrText>
    </w:r>
    <w:r w:rsidRPr="00FB7D96">
      <w:rPr>
        <w:b/>
        <w:sz w:val="18"/>
      </w:rPr>
      <w:fldChar w:fldCharType="separate"/>
    </w:r>
    <w:r w:rsidR="00D07F48">
      <w:rPr>
        <w:b/>
        <w:noProof/>
        <w:sz w:val="18"/>
      </w:rPr>
      <w:t>8</w:t>
    </w:r>
    <w:r w:rsidRPr="00FB7D96">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4C" w:rsidRPr="00FB7D96" w:rsidRDefault="00B5244C" w:rsidP="00FB7D96">
    <w:pPr>
      <w:pStyle w:val="Footer"/>
      <w:tabs>
        <w:tab w:val="right" w:pos="9638"/>
      </w:tabs>
      <w:rPr>
        <w:b/>
        <w:sz w:val="18"/>
      </w:rPr>
    </w:pPr>
    <w:r>
      <w:tab/>
    </w:r>
    <w:r w:rsidRPr="00FB7D96">
      <w:rPr>
        <w:b/>
        <w:sz w:val="18"/>
      </w:rPr>
      <w:fldChar w:fldCharType="begin"/>
    </w:r>
    <w:r w:rsidRPr="00FB7D96">
      <w:rPr>
        <w:b/>
        <w:sz w:val="18"/>
      </w:rPr>
      <w:instrText xml:space="preserve"> PAGE  \* MERGEFORMAT </w:instrText>
    </w:r>
    <w:r w:rsidRPr="00FB7D96">
      <w:rPr>
        <w:b/>
        <w:sz w:val="18"/>
      </w:rPr>
      <w:fldChar w:fldCharType="separate"/>
    </w:r>
    <w:r w:rsidR="00D07F48">
      <w:rPr>
        <w:b/>
        <w:noProof/>
        <w:sz w:val="18"/>
      </w:rPr>
      <w:t>9</w:t>
    </w:r>
    <w:r w:rsidRPr="00FB7D96">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44C" w:rsidRPr="00D27D5E" w:rsidRDefault="00B5244C" w:rsidP="00D27D5E">
      <w:pPr>
        <w:tabs>
          <w:tab w:val="right" w:pos="2155"/>
        </w:tabs>
        <w:spacing w:after="80"/>
        <w:ind w:left="680"/>
        <w:rPr>
          <w:u w:val="single"/>
        </w:rPr>
      </w:pPr>
      <w:r>
        <w:rPr>
          <w:u w:val="single"/>
        </w:rPr>
        <w:tab/>
      </w:r>
    </w:p>
  </w:footnote>
  <w:footnote w:type="continuationSeparator" w:id="0">
    <w:p w:rsidR="00B5244C" w:rsidRPr="00A40B11" w:rsidRDefault="00B5244C" w:rsidP="00A40B11">
      <w:pPr>
        <w:tabs>
          <w:tab w:val="right" w:pos="2155"/>
        </w:tabs>
        <w:spacing w:after="80"/>
        <w:ind w:left="680"/>
        <w:rPr>
          <w:u w:val="single"/>
        </w:rPr>
      </w:pPr>
      <w:r w:rsidRPr="00A40B11">
        <w:rPr>
          <w:u w:val="single"/>
        </w:rPr>
        <w:tab/>
      </w:r>
    </w:p>
  </w:footnote>
  <w:footnote w:type="continuationNotice" w:id="1">
    <w:p w:rsidR="00B5244C" w:rsidRDefault="00B524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4C" w:rsidRPr="00FB7D96" w:rsidRDefault="00B5244C" w:rsidP="004917B3">
    <w:pPr>
      <w:pStyle w:val="Header"/>
    </w:pPr>
    <w:r>
      <w:t>ST/SG/AC.10/C.3/100/Add.1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4C" w:rsidRPr="00FB7D96" w:rsidRDefault="00B5244C" w:rsidP="005E0190">
    <w:pPr>
      <w:pStyle w:val="Header"/>
      <w:jc w:val="right"/>
    </w:pPr>
    <w:r>
      <w:t>ST/SG/AC.10/C.3/100/Add.1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fr-CH" w:vendorID="64" w:dllVersion="131078" w:nlCheck="1" w:checkStyle="1"/>
  <w:activeWritingStyle w:appName="MSWord" w:lang="fr-FR" w:vendorID="64" w:dllVersion="131078" w:nlCheck="1" w:checkStyle="0"/>
  <w:activeWritingStyle w:appName="MSWord" w:lang="de-CH" w:vendorID="64" w:dllVersion="131078" w:nlCheck="1" w:checkStyle="1"/>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D96"/>
    <w:rsid w:val="00016AC5"/>
    <w:rsid w:val="0006208C"/>
    <w:rsid w:val="00072E7B"/>
    <w:rsid w:val="00073282"/>
    <w:rsid w:val="000A060B"/>
    <w:rsid w:val="000B3711"/>
    <w:rsid w:val="000E0539"/>
    <w:rsid w:val="000F41F2"/>
    <w:rsid w:val="000F5198"/>
    <w:rsid w:val="00154CB9"/>
    <w:rsid w:val="00160540"/>
    <w:rsid w:val="00192EEB"/>
    <w:rsid w:val="001A20FB"/>
    <w:rsid w:val="001D44B7"/>
    <w:rsid w:val="001D7F8A"/>
    <w:rsid w:val="001E3FEB"/>
    <w:rsid w:val="001E4A02"/>
    <w:rsid w:val="001E68C9"/>
    <w:rsid w:val="001F0E00"/>
    <w:rsid w:val="002156CB"/>
    <w:rsid w:val="00220B3D"/>
    <w:rsid w:val="00225914"/>
    <w:rsid w:val="00225A8C"/>
    <w:rsid w:val="002659F1"/>
    <w:rsid w:val="00287E79"/>
    <w:rsid w:val="002928F9"/>
    <w:rsid w:val="002A5D07"/>
    <w:rsid w:val="002E71C6"/>
    <w:rsid w:val="003016B7"/>
    <w:rsid w:val="0030178F"/>
    <w:rsid w:val="0034591A"/>
    <w:rsid w:val="003515AA"/>
    <w:rsid w:val="00353080"/>
    <w:rsid w:val="00374106"/>
    <w:rsid w:val="00390DDB"/>
    <w:rsid w:val="003976D5"/>
    <w:rsid w:val="003D3BED"/>
    <w:rsid w:val="003D6C68"/>
    <w:rsid w:val="003F5B56"/>
    <w:rsid w:val="00403A12"/>
    <w:rsid w:val="004159D0"/>
    <w:rsid w:val="00421F7A"/>
    <w:rsid w:val="004520A3"/>
    <w:rsid w:val="0046126F"/>
    <w:rsid w:val="00482AF2"/>
    <w:rsid w:val="00487C9E"/>
    <w:rsid w:val="004917B3"/>
    <w:rsid w:val="004965E5"/>
    <w:rsid w:val="004A0F69"/>
    <w:rsid w:val="004A7A09"/>
    <w:rsid w:val="004B41A4"/>
    <w:rsid w:val="00503148"/>
    <w:rsid w:val="00524945"/>
    <w:rsid w:val="00533EAF"/>
    <w:rsid w:val="00543D5E"/>
    <w:rsid w:val="00547FD7"/>
    <w:rsid w:val="00571F41"/>
    <w:rsid w:val="0058132F"/>
    <w:rsid w:val="005A2336"/>
    <w:rsid w:val="005C64B6"/>
    <w:rsid w:val="005E0190"/>
    <w:rsid w:val="005E0C01"/>
    <w:rsid w:val="005E5D1F"/>
    <w:rsid w:val="00603122"/>
    <w:rsid w:val="00604F4E"/>
    <w:rsid w:val="00611D43"/>
    <w:rsid w:val="00612D48"/>
    <w:rsid w:val="00616B45"/>
    <w:rsid w:val="00630D9B"/>
    <w:rsid w:val="006313E1"/>
    <w:rsid w:val="00631953"/>
    <w:rsid w:val="006439EC"/>
    <w:rsid w:val="006679FB"/>
    <w:rsid w:val="00691D88"/>
    <w:rsid w:val="006924C3"/>
    <w:rsid w:val="006A1C49"/>
    <w:rsid w:val="006B4590"/>
    <w:rsid w:val="006B5B3C"/>
    <w:rsid w:val="006C340C"/>
    <w:rsid w:val="006E0C02"/>
    <w:rsid w:val="0070347C"/>
    <w:rsid w:val="00703DCC"/>
    <w:rsid w:val="007176C1"/>
    <w:rsid w:val="007677F4"/>
    <w:rsid w:val="007D2993"/>
    <w:rsid w:val="007D64AA"/>
    <w:rsid w:val="007E5EC4"/>
    <w:rsid w:val="007F55CB"/>
    <w:rsid w:val="00844750"/>
    <w:rsid w:val="00850A60"/>
    <w:rsid w:val="00851BA3"/>
    <w:rsid w:val="00860446"/>
    <w:rsid w:val="0086254F"/>
    <w:rsid w:val="00866D64"/>
    <w:rsid w:val="008A56E7"/>
    <w:rsid w:val="008B44C4"/>
    <w:rsid w:val="008B66E8"/>
    <w:rsid w:val="008B7315"/>
    <w:rsid w:val="008B7863"/>
    <w:rsid w:val="008C7134"/>
    <w:rsid w:val="008E12DE"/>
    <w:rsid w:val="008E7FAE"/>
    <w:rsid w:val="00911BF7"/>
    <w:rsid w:val="00915B41"/>
    <w:rsid w:val="00926B28"/>
    <w:rsid w:val="00931BEB"/>
    <w:rsid w:val="00937E6A"/>
    <w:rsid w:val="0094723C"/>
    <w:rsid w:val="00951BBA"/>
    <w:rsid w:val="00977EC8"/>
    <w:rsid w:val="009B614C"/>
    <w:rsid w:val="009C74D5"/>
    <w:rsid w:val="009D3A8C"/>
    <w:rsid w:val="009E7956"/>
    <w:rsid w:val="009E79B0"/>
    <w:rsid w:val="00A07C16"/>
    <w:rsid w:val="00A1534D"/>
    <w:rsid w:val="00A2492E"/>
    <w:rsid w:val="00A40B11"/>
    <w:rsid w:val="00A40F0E"/>
    <w:rsid w:val="00A4581E"/>
    <w:rsid w:val="00A659F1"/>
    <w:rsid w:val="00AC67A1"/>
    <w:rsid w:val="00AC7977"/>
    <w:rsid w:val="00AE352C"/>
    <w:rsid w:val="00AE3C86"/>
    <w:rsid w:val="00B10104"/>
    <w:rsid w:val="00B1211C"/>
    <w:rsid w:val="00B15353"/>
    <w:rsid w:val="00B32E2D"/>
    <w:rsid w:val="00B4723B"/>
    <w:rsid w:val="00B5244C"/>
    <w:rsid w:val="00B61990"/>
    <w:rsid w:val="00B81A16"/>
    <w:rsid w:val="00B82ADB"/>
    <w:rsid w:val="00BF0556"/>
    <w:rsid w:val="00BF1492"/>
    <w:rsid w:val="00C056B2"/>
    <w:rsid w:val="00C261F8"/>
    <w:rsid w:val="00C33100"/>
    <w:rsid w:val="00C34528"/>
    <w:rsid w:val="00C465B8"/>
    <w:rsid w:val="00C51287"/>
    <w:rsid w:val="00C6589F"/>
    <w:rsid w:val="00C816E0"/>
    <w:rsid w:val="00CA0680"/>
    <w:rsid w:val="00CD1A71"/>
    <w:rsid w:val="00CD1FBB"/>
    <w:rsid w:val="00CD2641"/>
    <w:rsid w:val="00D016B5"/>
    <w:rsid w:val="00D034F1"/>
    <w:rsid w:val="00D07AB0"/>
    <w:rsid w:val="00D07F48"/>
    <w:rsid w:val="00D22423"/>
    <w:rsid w:val="00D27D5E"/>
    <w:rsid w:val="00D32E7E"/>
    <w:rsid w:val="00D470E4"/>
    <w:rsid w:val="00D6337E"/>
    <w:rsid w:val="00D85FB8"/>
    <w:rsid w:val="00DA7CBB"/>
    <w:rsid w:val="00DC00BE"/>
    <w:rsid w:val="00DE6D90"/>
    <w:rsid w:val="00DF002F"/>
    <w:rsid w:val="00E0244D"/>
    <w:rsid w:val="00E81E94"/>
    <w:rsid w:val="00E82607"/>
    <w:rsid w:val="00EB7F21"/>
    <w:rsid w:val="00EC5AFA"/>
    <w:rsid w:val="00ED0E8F"/>
    <w:rsid w:val="00ED181A"/>
    <w:rsid w:val="00F443E1"/>
    <w:rsid w:val="00F44D49"/>
    <w:rsid w:val="00F60AD8"/>
    <w:rsid w:val="00F73CDF"/>
    <w:rsid w:val="00FA3B28"/>
    <w:rsid w:val="00FA5A79"/>
    <w:rsid w:val="00FB0BFE"/>
    <w:rsid w:val="00FB4C51"/>
    <w:rsid w:val="00FB7D96"/>
    <w:rsid w:val="00FD4586"/>
    <w:rsid w:val="00FF1DBD"/>
    <w:rsid w:val="00FF4D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41"/>
    <w:pPr>
      <w:suppressAutoHyphens/>
      <w:spacing w:line="240" w:lineRule="atLeast"/>
    </w:pPr>
    <w:rPr>
      <w:lang w:val="fr-CH" w:eastAsia="en-US"/>
    </w:rPr>
  </w:style>
  <w:style w:type="paragraph" w:styleId="Heading1">
    <w:name w:val="heading 1"/>
    <w:aliases w:val="Table_G"/>
    <w:basedOn w:val="SingleTxtG"/>
    <w:next w:val="SingleTxtG"/>
    <w:qFormat/>
    <w:rsid w:val="00CD2641"/>
    <w:pPr>
      <w:keepNext/>
      <w:keepLines/>
      <w:spacing w:after="0" w:line="240" w:lineRule="auto"/>
      <w:ind w:right="0"/>
      <w:jc w:val="left"/>
      <w:outlineLvl w:val="0"/>
    </w:pPr>
  </w:style>
  <w:style w:type="paragraph" w:styleId="Heading2">
    <w:name w:val="heading 2"/>
    <w:basedOn w:val="Normal"/>
    <w:next w:val="Normal"/>
    <w:qFormat/>
    <w:rsid w:val="00CD2641"/>
    <w:pPr>
      <w:outlineLvl w:val="1"/>
    </w:pPr>
  </w:style>
  <w:style w:type="paragraph" w:styleId="Heading3">
    <w:name w:val="heading 3"/>
    <w:basedOn w:val="Normal"/>
    <w:next w:val="Normal"/>
    <w:qFormat/>
    <w:rsid w:val="00CD2641"/>
    <w:pPr>
      <w:outlineLvl w:val="2"/>
    </w:pPr>
  </w:style>
  <w:style w:type="paragraph" w:styleId="Heading4">
    <w:name w:val="heading 4"/>
    <w:basedOn w:val="Normal"/>
    <w:next w:val="Normal"/>
    <w:qFormat/>
    <w:rsid w:val="00CD2641"/>
    <w:pPr>
      <w:outlineLvl w:val="3"/>
    </w:pPr>
  </w:style>
  <w:style w:type="paragraph" w:styleId="Heading5">
    <w:name w:val="heading 5"/>
    <w:basedOn w:val="Normal"/>
    <w:next w:val="Normal"/>
    <w:qFormat/>
    <w:rsid w:val="00CD2641"/>
    <w:pPr>
      <w:outlineLvl w:val="4"/>
    </w:pPr>
  </w:style>
  <w:style w:type="paragraph" w:styleId="Heading6">
    <w:name w:val="heading 6"/>
    <w:basedOn w:val="Normal"/>
    <w:next w:val="Normal"/>
    <w:qFormat/>
    <w:rsid w:val="00CD2641"/>
    <w:pPr>
      <w:outlineLvl w:val="5"/>
    </w:pPr>
  </w:style>
  <w:style w:type="paragraph" w:styleId="Heading7">
    <w:name w:val="heading 7"/>
    <w:basedOn w:val="Normal"/>
    <w:next w:val="Normal"/>
    <w:qFormat/>
    <w:rsid w:val="00CD2641"/>
    <w:pPr>
      <w:outlineLvl w:val="6"/>
    </w:pPr>
  </w:style>
  <w:style w:type="paragraph" w:styleId="Heading8">
    <w:name w:val="heading 8"/>
    <w:basedOn w:val="Normal"/>
    <w:next w:val="Normal"/>
    <w:qFormat/>
    <w:rsid w:val="00CD2641"/>
    <w:pPr>
      <w:outlineLvl w:val="7"/>
    </w:pPr>
  </w:style>
  <w:style w:type="paragraph" w:styleId="Heading9">
    <w:name w:val="heading 9"/>
    <w:basedOn w:val="Normal"/>
    <w:next w:val="Normal"/>
    <w:qFormat/>
    <w:rsid w:val="00CD26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CD264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D2641"/>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ar"/>
    <w:rsid w:val="00CD2641"/>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CD264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D264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D2641"/>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CD2641"/>
    <w:pPr>
      <w:spacing w:after="120"/>
      <w:ind w:left="1134" w:right="1134"/>
      <w:jc w:val="both"/>
    </w:pPr>
  </w:style>
  <w:style w:type="paragraph" w:customStyle="1" w:styleId="SLG">
    <w:name w:val="__S_L_G"/>
    <w:basedOn w:val="Normal"/>
    <w:next w:val="Normal"/>
    <w:rsid w:val="00CD2641"/>
    <w:pPr>
      <w:keepNext/>
      <w:keepLines/>
      <w:spacing w:before="240" w:after="240" w:line="580" w:lineRule="exact"/>
      <w:ind w:left="1134" w:right="1134"/>
    </w:pPr>
    <w:rPr>
      <w:b/>
      <w:sz w:val="56"/>
    </w:rPr>
  </w:style>
  <w:style w:type="paragraph" w:customStyle="1" w:styleId="SMG">
    <w:name w:val="__S_M_G"/>
    <w:basedOn w:val="Normal"/>
    <w:next w:val="Normal"/>
    <w:rsid w:val="00CD2641"/>
    <w:pPr>
      <w:keepNext/>
      <w:keepLines/>
      <w:spacing w:before="240" w:after="240" w:line="420" w:lineRule="exact"/>
      <w:ind w:left="1134" w:right="1134"/>
    </w:pPr>
    <w:rPr>
      <w:b/>
      <w:sz w:val="40"/>
    </w:rPr>
  </w:style>
  <w:style w:type="paragraph" w:customStyle="1" w:styleId="SSG">
    <w:name w:val="__S_S_G"/>
    <w:basedOn w:val="Normal"/>
    <w:next w:val="Normal"/>
    <w:rsid w:val="00CD2641"/>
    <w:pPr>
      <w:keepNext/>
      <w:keepLines/>
      <w:spacing w:before="240" w:after="240" w:line="300" w:lineRule="exact"/>
      <w:ind w:left="1134" w:right="1134"/>
    </w:pPr>
    <w:rPr>
      <w:b/>
      <w:sz w:val="28"/>
    </w:rPr>
  </w:style>
  <w:style w:type="paragraph" w:customStyle="1" w:styleId="XLargeG">
    <w:name w:val="__XLarge_G"/>
    <w:basedOn w:val="Normal"/>
    <w:next w:val="Normal"/>
    <w:rsid w:val="00CD2641"/>
    <w:pPr>
      <w:keepNext/>
      <w:keepLines/>
      <w:spacing w:before="240" w:after="240" w:line="420" w:lineRule="exact"/>
      <w:ind w:left="1134" w:right="1134"/>
    </w:pPr>
    <w:rPr>
      <w:b/>
      <w:sz w:val="40"/>
    </w:rPr>
  </w:style>
  <w:style w:type="paragraph" w:customStyle="1" w:styleId="Bullet1G">
    <w:name w:val="_Bullet 1_G"/>
    <w:basedOn w:val="Normal"/>
    <w:rsid w:val="00CD2641"/>
    <w:pPr>
      <w:numPr>
        <w:numId w:val="1"/>
      </w:numPr>
      <w:spacing w:after="120"/>
      <w:ind w:right="1134"/>
      <w:jc w:val="both"/>
    </w:pPr>
  </w:style>
  <w:style w:type="paragraph" w:customStyle="1" w:styleId="Bullet2G">
    <w:name w:val="_Bullet 2_G"/>
    <w:basedOn w:val="Normal"/>
    <w:rsid w:val="00CD2641"/>
    <w:pPr>
      <w:numPr>
        <w:numId w:val="2"/>
      </w:numPr>
      <w:spacing w:after="120"/>
      <w:ind w:right="1134"/>
      <w:jc w:val="both"/>
    </w:pPr>
  </w:style>
  <w:style w:type="character" w:styleId="FootnoteReference">
    <w:name w:val="footnote reference"/>
    <w:aliases w:val="4_G"/>
    <w:basedOn w:val="DefaultParagraphFont"/>
    <w:rsid w:val="00CD2641"/>
    <w:rPr>
      <w:rFonts w:ascii="Times New Roman" w:hAnsi="Times New Roman"/>
      <w:sz w:val="18"/>
      <w:vertAlign w:val="superscript"/>
      <w:lang w:val="fr-CH"/>
    </w:rPr>
  </w:style>
  <w:style w:type="character" w:styleId="EndnoteReference">
    <w:name w:val="endnote reference"/>
    <w:aliases w:val="1_G"/>
    <w:basedOn w:val="FootnoteReference"/>
    <w:rsid w:val="00CD2641"/>
    <w:rPr>
      <w:rFonts w:ascii="Times New Roman" w:hAnsi="Times New Roman"/>
      <w:sz w:val="18"/>
      <w:vertAlign w:val="superscript"/>
      <w:lang w:val="fr-CH"/>
    </w:rPr>
  </w:style>
  <w:style w:type="paragraph" w:styleId="Header">
    <w:name w:val="header"/>
    <w:aliases w:val="6_G"/>
    <w:basedOn w:val="Normal"/>
    <w:next w:val="Normal"/>
    <w:rsid w:val="00CD2641"/>
    <w:pPr>
      <w:pBdr>
        <w:bottom w:val="single" w:sz="4" w:space="4" w:color="auto"/>
      </w:pBdr>
      <w:spacing w:line="240" w:lineRule="auto"/>
    </w:pPr>
    <w:rPr>
      <w:b/>
      <w:sz w:val="18"/>
    </w:rPr>
  </w:style>
  <w:style w:type="paragraph" w:styleId="FootnoteText">
    <w:name w:val="footnote text"/>
    <w:aliases w:val="5_G"/>
    <w:basedOn w:val="Normal"/>
    <w:rsid w:val="00CD2641"/>
    <w:pPr>
      <w:tabs>
        <w:tab w:val="right" w:pos="1021"/>
      </w:tabs>
      <w:spacing w:line="220" w:lineRule="exact"/>
      <w:ind w:left="1134" w:right="1134" w:hanging="1134"/>
    </w:pPr>
    <w:rPr>
      <w:sz w:val="18"/>
    </w:rPr>
  </w:style>
  <w:style w:type="paragraph" w:styleId="EndnoteText">
    <w:name w:val="endnote text"/>
    <w:aliases w:val="2_G"/>
    <w:basedOn w:val="FootnoteText"/>
    <w:rsid w:val="00CD2641"/>
  </w:style>
  <w:style w:type="character" w:styleId="PageNumber">
    <w:name w:val="page number"/>
    <w:aliases w:val="7_G"/>
    <w:basedOn w:val="DefaultParagraphFont"/>
    <w:rsid w:val="00CD2641"/>
    <w:rPr>
      <w:rFonts w:ascii="Times New Roman" w:hAnsi="Times New Roman"/>
      <w:b/>
      <w:sz w:val="18"/>
      <w:lang w:val="fr-CH"/>
    </w:rPr>
  </w:style>
  <w:style w:type="paragraph" w:styleId="Footer">
    <w:name w:val="footer"/>
    <w:aliases w:val="3_G"/>
    <w:basedOn w:val="Normal"/>
    <w:next w:val="Normal"/>
    <w:rsid w:val="00CD2641"/>
    <w:pPr>
      <w:spacing w:line="240" w:lineRule="auto"/>
    </w:pPr>
    <w:rPr>
      <w:sz w:val="16"/>
    </w:rPr>
  </w:style>
  <w:style w:type="character" w:styleId="Hyperlink">
    <w:name w:val="Hyperlink"/>
    <w:basedOn w:val="DefaultParagraphFont"/>
    <w:semiHidden/>
    <w:rsid w:val="00CD2641"/>
    <w:rPr>
      <w:color w:val="auto"/>
      <w:u w:val="none"/>
    </w:rPr>
  </w:style>
  <w:style w:type="character" w:styleId="FollowedHyperlink">
    <w:name w:val="FollowedHyperlink"/>
    <w:basedOn w:val="DefaultParagraphFont"/>
    <w:semiHidden/>
    <w:rsid w:val="00CD2641"/>
    <w:rPr>
      <w:color w:val="auto"/>
      <w:u w:val="none"/>
    </w:rPr>
  </w:style>
  <w:style w:type="table" w:styleId="TableGrid1">
    <w:name w:val="Table Grid 1"/>
    <w:basedOn w:val="TableNormal"/>
    <w:semiHidden/>
    <w:rsid w:val="00CD2641"/>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113"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CD2641"/>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1GCar">
    <w:name w:val="_ H_1_G Car"/>
    <w:link w:val="H1G"/>
    <w:locked/>
    <w:rsid w:val="008B7863"/>
    <w:rPr>
      <w:b/>
      <w:sz w:val="24"/>
      <w:lang w:val="fr-CH" w:eastAsia="en-US"/>
    </w:rPr>
  </w:style>
  <w:style w:type="paragraph" w:styleId="BodyText">
    <w:name w:val="Body Text"/>
    <w:basedOn w:val="Normal"/>
    <w:link w:val="BodyTextChar"/>
    <w:rsid w:val="008B7863"/>
    <w:pPr>
      <w:suppressAutoHyphens w:val="0"/>
      <w:spacing w:line="240" w:lineRule="auto"/>
    </w:pPr>
    <w:rPr>
      <w:b/>
      <w:bCs/>
      <w:sz w:val="24"/>
      <w:szCs w:val="24"/>
    </w:rPr>
  </w:style>
  <w:style w:type="character" w:customStyle="1" w:styleId="BodyTextChar">
    <w:name w:val="Body Text Char"/>
    <w:basedOn w:val="DefaultParagraphFont"/>
    <w:link w:val="BodyText"/>
    <w:rsid w:val="008B7863"/>
    <w:rPr>
      <w:b/>
      <w:bCs/>
      <w:sz w:val="24"/>
      <w:szCs w:val="24"/>
      <w:lang w:val="fr-CH" w:eastAsia="en-US"/>
    </w:rPr>
  </w:style>
  <w:style w:type="paragraph" w:styleId="BodyText2">
    <w:name w:val="Body Text 2"/>
    <w:basedOn w:val="Normal"/>
    <w:link w:val="BodyText2Char"/>
    <w:rsid w:val="008B7863"/>
    <w:pPr>
      <w:spacing w:after="120" w:line="480" w:lineRule="auto"/>
    </w:pPr>
  </w:style>
  <w:style w:type="character" w:customStyle="1" w:styleId="BodyText2Char">
    <w:name w:val="Body Text 2 Char"/>
    <w:basedOn w:val="DefaultParagraphFont"/>
    <w:link w:val="BodyText2"/>
    <w:rsid w:val="008B7863"/>
    <w:rPr>
      <w:lang w:val="fr-CH" w:eastAsia="en-US"/>
    </w:rPr>
  </w:style>
  <w:style w:type="character" w:customStyle="1" w:styleId="H1GChar">
    <w:name w:val="_ H_1_G Char"/>
    <w:rsid w:val="00B4723B"/>
    <w:rPr>
      <w:b/>
      <w:sz w:val="24"/>
      <w:lang w:eastAsia="en-US"/>
    </w:rPr>
  </w:style>
  <w:style w:type="character" w:customStyle="1" w:styleId="SingleTxtGChar">
    <w:name w:val="_ Single Txt_G Char"/>
    <w:link w:val="SingleTxtG"/>
    <w:qFormat/>
    <w:rsid w:val="00F44D49"/>
    <w:rPr>
      <w:lang w:val="fr-CH" w:eastAsia="en-US"/>
    </w:rPr>
  </w:style>
  <w:style w:type="character" w:styleId="CommentReference">
    <w:name w:val="annotation reference"/>
    <w:basedOn w:val="DefaultParagraphFont"/>
    <w:rsid w:val="00D07AB0"/>
    <w:rPr>
      <w:sz w:val="16"/>
      <w:szCs w:val="16"/>
    </w:rPr>
  </w:style>
  <w:style w:type="paragraph" w:styleId="CommentText">
    <w:name w:val="annotation text"/>
    <w:basedOn w:val="Normal"/>
    <w:link w:val="CommentTextChar"/>
    <w:rsid w:val="00D07AB0"/>
    <w:pPr>
      <w:spacing w:line="240" w:lineRule="auto"/>
    </w:pPr>
  </w:style>
  <w:style w:type="character" w:customStyle="1" w:styleId="CommentTextChar">
    <w:name w:val="Comment Text Char"/>
    <w:basedOn w:val="DefaultParagraphFont"/>
    <w:link w:val="CommentText"/>
    <w:rsid w:val="00D07AB0"/>
    <w:rPr>
      <w:lang w:val="fr-CH" w:eastAsia="en-US"/>
    </w:rPr>
  </w:style>
  <w:style w:type="paragraph" w:styleId="CommentSubject">
    <w:name w:val="annotation subject"/>
    <w:basedOn w:val="CommentText"/>
    <w:next w:val="CommentText"/>
    <w:link w:val="CommentSubjectChar"/>
    <w:rsid w:val="00D07AB0"/>
    <w:rPr>
      <w:b/>
      <w:bCs/>
    </w:rPr>
  </w:style>
  <w:style w:type="character" w:customStyle="1" w:styleId="CommentSubjectChar">
    <w:name w:val="Comment Subject Char"/>
    <w:basedOn w:val="CommentTextChar"/>
    <w:link w:val="CommentSubject"/>
    <w:rsid w:val="00D07AB0"/>
    <w:rPr>
      <w:b/>
      <w:bCs/>
      <w:lang w:val="fr-CH" w:eastAsia="en-US"/>
    </w:rPr>
  </w:style>
  <w:style w:type="paragraph" w:styleId="Revision">
    <w:name w:val="Revision"/>
    <w:hidden/>
    <w:uiPriority w:val="99"/>
    <w:semiHidden/>
    <w:rsid w:val="00D07AB0"/>
    <w:rPr>
      <w:lang w:val="fr-CH" w:eastAsia="en-US"/>
    </w:rPr>
  </w:style>
  <w:style w:type="paragraph" w:styleId="BalloonText">
    <w:name w:val="Balloon Text"/>
    <w:basedOn w:val="Normal"/>
    <w:link w:val="BalloonTextChar"/>
    <w:rsid w:val="00D07AB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07AB0"/>
    <w:rPr>
      <w:rFonts w:ascii="Tahoma" w:hAnsi="Tahoma" w:cs="Tahoma"/>
      <w:sz w:val="16"/>
      <w:szCs w:val="16"/>
      <w:lang w:val="fr-CH" w:eastAsia="en-US"/>
    </w:rPr>
  </w:style>
  <w:style w:type="character" w:customStyle="1" w:styleId="H23GChar">
    <w:name w:val="_ H_2/3_G Char"/>
    <w:link w:val="H23G"/>
    <w:rsid w:val="00B82ADB"/>
    <w:rPr>
      <w:b/>
      <w:lang w:val="fr-CH" w:eastAsia="en-US"/>
    </w:rPr>
  </w:style>
  <w:style w:type="character" w:customStyle="1" w:styleId="HChGChar">
    <w:name w:val="_ H _Ch_G Char"/>
    <w:link w:val="HChG"/>
    <w:rsid w:val="00B82ADB"/>
    <w:rPr>
      <w:b/>
      <w:sz w:val="28"/>
      <w:lang w:val="fr-CH" w:eastAsia="en-US"/>
    </w:rPr>
  </w:style>
  <w:style w:type="character" w:customStyle="1" w:styleId="SingleTxtGCar">
    <w:name w:val="_ Single Txt_G Car"/>
    <w:rsid w:val="000F5198"/>
    <w:rPr>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41"/>
    <w:pPr>
      <w:suppressAutoHyphens/>
      <w:spacing w:line="240" w:lineRule="atLeast"/>
    </w:pPr>
    <w:rPr>
      <w:lang w:val="fr-CH" w:eastAsia="en-US"/>
    </w:rPr>
  </w:style>
  <w:style w:type="paragraph" w:styleId="Heading1">
    <w:name w:val="heading 1"/>
    <w:aliases w:val="Table_G"/>
    <w:basedOn w:val="SingleTxtG"/>
    <w:next w:val="SingleTxtG"/>
    <w:qFormat/>
    <w:rsid w:val="00CD2641"/>
    <w:pPr>
      <w:keepNext/>
      <w:keepLines/>
      <w:spacing w:after="0" w:line="240" w:lineRule="auto"/>
      <w:ind w:right="0"/>
      <w:jc w:val="left"/>
      <w:outlineLvl w:val="0"/>
    </w:pPr>
  </w:style>
  <w:style w:type="paragraph" w:styleId="Heading2">
    <w:name w:val="heading 2"/>
    <w:basedOn w:val="Normal"/>
    <w:next w:val="Normal"/>
    <w:qFormat/>
    <w:rsid w:val="00CD2641"/>
    <w:pPr>
      <w:outlineLvl w:val="1"/>
    </w:pPr>
  </w:style>
  <w:style w:type="paragraph" w:styleId="Heading3">
    <w:name w:val="heading 3"/>
    <w:basedOn w:val="Normal"/>
    <w:next w:val="Normal"/>
    <w:qFormat/>
    <w:rsid w:val="00CD2641"/>
    <w:pPr>
      <w:outlineLvl w:val="2"/>
    </w:pPr>
  </w:style>
  <w:style w:type="paragraph" w:styleId="Heading4">
    <w:name w:val="heading 4"/>
    <w:basedOn w:val="Normal"/>
    <w:next w:val="Normal"/>
    <w:qFormat/>
    <w:rsid w:val="00CD2641"/>
    <w:pPr>
      <w:outlineLvl w:val="3"/>
    </w:pPr>
  </w:style>
  <w:style w:type="paragraph" w:styleId="Heading5">
    <w:name w:val="heading 5"/>
    <w:basedOn w:val="Normal"/>
    <w:next w:val="Normal"/>
    <w:qFormat/>
    <w:rsid w:val="00CD2641"/>
    <w:pPr>
      <w:outlineLvl w:val="4"/>
    </w:pPr>
  </w:style>
  <w:style w:type="paragraph" w:styleId="Heading6">
    <w:name w:val="heading 6"/>
    <w:basedOn w:val="Normal"/>
    <w:next w:val="Normal"/>
    <w:qFormat/>
    <w:rsid w:val="00CD2641"/>
    <w:pPr>
      <w:outlineLvl w:val="5"/>
    </w:pPr>
  </w:style>
  <w:style w:type="paragraph" w:styleId="Heading7">
    <w:name w:val="heading 7"/>
    <w:basedOn w:val="Normal"/>
    <w:next w:val="Normal"/>
    <w:qFormat/>
    <w:rsid w:val="00CD2641"/>
    <w:pPr>
      <w:outlineLvl w:val="6"/>
    </w:pPr>
  </w:style>
  <w:style w:type="paragraph" w:styleId="Heading8">
    <w:name w:val="heading 8"/>
    <w:basedOn w:val="Normal"/>
    <w:next w:val="Normal"/>
    <w:qFormat/>
    <w:rsid w:val="00CD2641"/>
    <w:pPr>
      <w:outlineLvl w:val="7"/>
    </w:pPr>
  </w:style>
  <w:style w:type="paragraph" w:styleId="Heading9">
    <w:name w:val="heading 9"/>
    <w:basedOn w:val="Normal"/>
    <w:next w:val="Normal"/>
    <w:qFormat/>
    <w:rsid w:val="00CD26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CD264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D2641"/>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ar"/>
    <w:rsid w:val="00CD2641"/>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CD264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D264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D2641"/>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CD2641"/>
    <w:pPr>
      <w:spacing w:after="120"/>
      <w:ind w:left="1134" w:right="1134"/>
      <w:jc w:val="both"/>
    </w:pPr>
  </w:style>
  <w:style w:type="paragraph" w:customStyle="1" w:styleId="SLG">
    <w:name w:val="__S_L_G"/>
    <w:basedOn w:val="Normal"/>
    <w:next w:val="Normal"/>
    <w:rsid w:val="00CD2641"/>
    <w:pPr>
      <w:keepNext/>
      <w:keepLines/>
      <w:spacing w:before="240" w:after="240" w:line="580" w:lineRule="exact"/>
      <w:ind w:left="1134" w:right="1134"/>
    </w:pPr>
    <w:rPr>
      <w:b/>
      <w:sz w:val="56"/>
    </w:rPr>
  </w:style>
  <w:style w:type="paragraph" w:customStyle="1" w:styleId="SMG">
    <w:name w:val="__S_M_G"/>
    <w:basedOn w:val="Normal"/>
    <w:next w:val="Normal"/>
    <w:rsid w:val="00CD2641"/>
    <w:pPr>
      <w:keepNext/>
      <w:keepLines/>
      <w:spacing w:before="240" w:after="240" w:line="420" w:lineRule="exact"/>
      <w:ind w:left="1134" w:right="1134"/>
    </w:pPr>
    <w:rPr>
      <w:b/>
      <w:sz w:val="40"/>
    </w:rPr>
  </w:style>
  <w:style w:type="paragraph" w:customStyle="1" w:styleId="SSG">
    <w:name w:val="__S_S_G"/>
    <w:basedOn w:val="Normal"/>
    <w:next w:val="Normal"/>
    <w:rsid w:val="00CD2641"/>
    <w:pPr>
      <w:keepNext/>
      <w:keepLines/>
      <w:spacing w:before="240" w:after="240" w:line="300" w:lineRule="exact"/>
      <w:ind w:left="1134" w:right="1134"/>
    </w:pPr>
    <w:rPr>
      <w:b/>
      <w:sz w:val="28"/>
    </w:rPr>
  </w:style>
  <w:style w:type="paragraph" w:customStyle="1" w:styleId="XLargeG">
    <w:name w:val="__XLarge_G"/>
    <w:basedOn w:val="Normal"/>
    <w:next w:val="Normal"/>
    <w:rsid w:val="00CD2641"/>
    <w:pPr>
      <w:keepNext/>
      <w:keepLines/>
      <w:spacing w:before="240" w:after="240" w:line="420" w:lineRule="exact"/>
      <w:ind w:left="1134" w:right="1134"/>
    </w:pPr>
    <w:rPr>
      <w:b/>
      <w:sz w:val="40"/>
    </w:rPr>
  </w:style>
  <w:style w:type="paragraph" w:customStyle="1" w:styleId="Bullet1G">
    <w:name w:val="_Bullet 1_G"/>
    <w:basedOn w:val="Normal"/>
    <w:rsid w:val="00CD2641"/>
    <w:pPr>
      <w:numPr>
        <w:numId w:val="1"/>
      </w:numPr>
      <w:spacing w:after="120"/>
      <w:ind w:right="1134"/>
      <w:jc w:val="both"/>
    </w:pPr>
  </w:style>
  <w:style w:type="paragraph" w:customStyle="1" w:styleId="Bullet2G">
    <w:name w:val="_Bullet 2_G"/>
    <w:basedOn w:val="Normal"/>
    <w:rsid w:val="00CD2641"/>
    <w:pPr>
      <w:numPr>
        <w:numId w:val="2"/>
      </w:numPr>
      <w:spacing w:after="120"/>
      <w:ind w:right="1134"/>
      <w:jc w:val="both"/>
    </w:pPr>
  </w:style>
  <w:style w:type="character" w:styleId="FootnoteReference">
    <w:name w:val="footnote reference"/>
    <w:aliases w:val="4_G"/>
    <w:basedOn w:val="DefaultParagraphFont"/>
    <w:rsid w:val="00CD2641"/>
    <w:rPr>
      <w:rFonts w:ascii="Times New Roman" w:hAnsi="Times New Roman"/>
      <w:sz w:val="18"/>
      <w:vertAlign w:val="superscript"/>
      <w:lang w:val="fr-CH"/>
    </w:rPr>
  </w:style>
  <w:style w:type="character" w:styleId="EndnoteReference">
    <w:name w:val="endnote reference"/>
    <w:aliases w:val="1_G"/>
    <w:basedOn w:val="FootnoteReference"/>
    <w:rsid w:val="00CD2641"/>
    <w:rPr>
      <w:rFonts w:ascii="Times New Roman" w:hAnsi="Times New Roman"/>
      <w:sz w:val="18"/>
      <w:vertAlign w:val="superscript"/>
      <w:lang w:val="fr-CH"/>
    </w:rPr>
  </w:style>
  <w:style w:type="paragraph" w:styleId="Header">
    <w:name w:val="header"/>
    <w:aliases w:val="6_G"/>
    <w:basedOn w:val="Normal"/>
    <w:next w:val="Normal"/>
    <w:rsid w:val="00CD2641"/>
    <w:pPr>
      <w:pBdr>
        <w:bottom w:val="single" w:sz="4" w:space="4" w:color="auto"/>
      </w:pBdr>
      <w:spacing w:line="240" w:lineRule="auto"/>
    </w:pPr>
    <w:rPr>
      <w:b/>
      <w:sz w:val="18"/>
    </w:rPr>
  </w:style>
  <w:style w:type="paragraph" w:styleId="FootnoteText">
    <w:name w:val="footnote text"/>
    <w:aliases w:val="5_G"/>
    <w:basedOn w:val="Normal"/>
    <w:rsid w:val="00CD2641"/>
    <w:pPr>
      <w:tabs>
        <w:tab w:val="right" w:pos="1021"/>
      </w:tabs>
      <w:spacing w:line="220" w:lineRule="exact"/>
      <w:ind w:left="1134" w:right="1134" w:hanging="1134"/>
    </w:pPr>
    <w:rPr>
      <w:sz w:val="18"/>
    </w:rPr>
  </w:style>
  <w:style w:type="paragraph" w:styleId="EndnoteText">
    <w:name w:val="endnote text"/>
    <w:aliases w:val="2_G"/>
    <w:basedOn w:val="FootnoteText"/>
    <w:rsid w:val="00CD2641"/>
  </w:style>
  <w:style w:type="character" w:styleId="PageNumber">
    <w:name w:val="page number"/>
    <w:aliases w:val="7_G"/>
    <w:basedOn w:val="DefaultParagraphFont"/>
    <w:rsid w:val="00CD2641"/>
    <w:rPr>
      <w:rFonts w:ascii="Times New Roman" w:hAnsi="Times New Roman"/>
      <w:b/>
      <w:sz w:val="18"/>
      <w:lang w:val="fr-CH"/>
    </w:rPr>
  </w:style>
  <w:style w:type="paragraph" w:styleId="Footer">
    <w:name w:val="footer"/>
    <w:aliases w:val="3_G"/>
    <w:basedOn w:val="Normal"/>
    <w:next w:val="Normal"/>
    <w:rsid w:val="00CD2641"/>
    <w:pPr>
      <w:spacing w:line="240" w:lineRule="auto"/>
    </w:pPr>
    <w:rPr>
      <w:sz w:val="16"/>
    </w:rPr>
  </w:style>
  <w:style w:type="character" w:styleId="Hyperlink">
    <w:name w:val="Hyperlink"/>
    <w:basedOn w:val="DefaultParagraphFont"/>
    <w:semiHidden/>
    <w:rsid w:val="00CD2641"/>
    <w:rPr>
      <w:color w:val="auto"/>
      <w:u w:val="none"/>
    </w:rPr>
  </w:style>
  <w:style w:type="character" w:styleId="FollowedHyperlink">
    <w:name w:val="FollowedHyperlink"/>
    <w:basedOn w:val="DefaultParagraphFont"/>
    <w:semiHidden/>
    <w:rsid w:val="00CD2641"/>
    <w:rPr>
      <w:color w:val="auto"/>
      <w:u w:val="none"/>
    </w:rPr>
  </w:style>
  <w:style w:type="table" w:styleId="TableGrid1">
    <w:name w:val="Table Grid 1"/>
    <w:basedOn w:val="TableNormal"/>
    <w:semiHidden/>
    <w:rsid w:val="00CD2641"/>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113"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CD2641"/>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1GCar">
    <w:name w:val="_ H_1_G Car"/>
    <w:link w:val="H1G"/>
    <w:locked/>
    <w:rsid w:val="008B7863"/>
    <w:rPr>
      <w:b/>
      <w:sz w:val="24"/>
      <w:lang w:val="fr-CH" w:eastAsia="en-US"/>
    </w:rPr>
  </w:style>
  <w:style w:type="paragraph" w:styleId="BodyText">
    <w:name w:val="Body Text"/>
    <w:basedOn w:val="Normal"/>
    <w:link w:val="BodyTextChar"/>
    <w:rsid w:val="008B7863"/>
    <w:pPr>
      <w:suppressAutoHyphens w:val="0"/>
      <w:spacing w:line="240" w:lineRule="auto"/>
    </w:pPr>
    <w:rPr>
      <w:b/>
      <w:bCs/>
      <w:sz w:val="24"/>
      <w:szCs w:val="24"/>
    </w:rPr>
  </w:style>
  <w:style w:type="character" w:customStyle="1" w:styleId="BodyTextChar">
    <w:name w:val="Body Text Char"/>
    <w:basedOn w:val="DefaultParagraphFont"/>
    <w:link w:val="BodyText"/>
    <w:rsid w:val="008B7863"/>
    <w:rPr>
      <w:b/>
      <w:bCs/>
      <w:sz w:val="24"/>
      <w:szCs w:val="24"/>
      <w:lang w:val="fr-CH" w:eastAsia="en-US"/>
    </w:rPr>
  </w:style>
  <w:style w:type="paragraph" w:styleId="BodyText2">
    <w:name w:val="Body Text 2"/>
    <w:basedOn w:val="Normal"/>
    <w:link w:val="BodyText2Char"/>
    <w:rsid w:val="008B7863"/>
    <w:pPr>
      <w:spacing w:after="120" w:line="480" w:lineRule="auto"/>
    </w:pPr>
  </w:style>
  <w:style w:type="character" w:customStyle="1" w:styleId="BodyText2Char">
    <w:name w:val="Body Text 2 Char"/>
    <w:basedOn w:val="DefaultParagraphFont"/>
    <w:link w:val="BodyText2"/>
    <w:rsid w:val="008B7863"/>
    <w:rPr>
      <w:lang w:val="fr-CH" w:eastAsia="en-US"/>
    </w:rPr>
  </w:style>
  <w:style w:type="character" w:customStyle="1" w:styleId="H1GChar">
    <w:name w:val="_ H_1_G Char"/>
    <w:rsid w:val="00B4723B"/>
    <w:rPr>
      <w:b/>
      <w:sz w:val="24"/>
      <w:lang w:eastAsia="en-US"/>
    </w:rPr>
  </w:style>
  <w:style w:type="character" w:customStyle="1" w:styleId="SingleTxtGChar">
    <w:name w:val="_ Single Txt_G Char"/>
    <w:link w:val="SingleTxtG"/>
    <w:qFormat/>
    <w:rsid w:val="00F44D49"/>
    <w:rPr>
      <w:lang w:val="fr-CH" w:eastAsia="en-US"/>
    </w:rPr>
  </w:style>
  <w:style w:type="character" w:styleId="CommentReference">
    <w:name w:val="annotation reference"/>
    <w:basedOn w:val="DefaultParagraphFont"/>
    <w:rsid w:val="00D07AB0"/>
    <w:rPr>
      <w:sz w:val="16"/>
      <w:szCs w:val="16"/>
    </w:rPr>
  </w:style>
  <w:style w:type="paragraph" w:styleId="CommentText">
    <w:name w:val="annotation text"/>
    <w:basedOn w:val="Normal"/>
    <w:link w:val="CommentTextChar"/>
    <w:rsid w:val="00D07AB0"/>
    <w:pPr>
      <w:spacing w:line="240" w:lineRule="auto"/>
    </w:pPr>
  </w:style>
  <w:style w:type="character" w:customStyle="1" w:styleId="CommentTextChar">
    <w:name w:val="Comment Text Char"/>
    <w:basedOn w:val="DefaultParagraphFont"/>
    <w:link w:val="CommentText"/>
    <w:rsid w:val="00D07AB0"/>
    <w:rPr>
      <w:lang w:val="fr-CH" w:eastAsia="en-US"/>
    </w:rPr>
  </w:style>
  <w:style w:type="paragraph" w:styleId="CommentSubject">
    <w:name w:val="annotation subject"/>
    <w:basedOn w:val="CommentText"/>
    <w:next w:val="CommentText"/>
    <w:link w:val="CommentSubjectChar"/>
    <w:rsid w:val="00D07AB0"/>
    <w:rPr>
      <w:b/>
      <w:bCs/>
    </w:rPr>
  </w:style>
  <w:style w:type="character" w:customStyle="1" w:styleId="CommentSubjectChar">
    <w:name w:val="Comment Subject Char"/>
    <w:basedOn w:val="CommentTextChar"/>
    <w:link w:val="CommentSubject"/>
    <w:rsid w:val="00D07AB0"/>
    <w:rPr>
      <w:b/>
      <w:bCs/>
      <w:lang w:val="fr-CH" w:eastAsia="en-US"/>
    </w:rPr>
  </w:style>
  <w:style w:type="paragraph" w:styleId="Revision">
    <w:name w:val="Revision"/>
    <w:hidden/>
    <w:uiPriority w:val="99"/>
    <w:semiHidden/>
    <w:rsid w:val="00D07AB0"/>
    <w:rPr>
      <w:lang w:val="fr-CH" w:eastAsia="en-US"/>
    </w:rPr>
  </w:style>
  <w:style w:type="paragraph" w:styleId="BalloonText">
    <w:name w:val="Balloon Text"/>
    <w:basedOn w:val="Normal"/>
    <w:link w:val="BalloonTextChar"/>
    <w:rsid w:val="00D07AB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07AB0"/>
    <w:rPr>
      <w:rFonts w:ascii="Tahoma" w:hAnsi="Tahoma" w:cs="Tahoma"/>
      <w:sz w:val="16"/>
      <w:szCs w:val="16"/>
      <w:lang w:val="fr-CH" w:eastAsia="en-US"/>
    </w:rPr>
  </w:style>
  <w:style w:type="character" w:customStyle="1" w:styleId="H23GChar">
    <w:name w:val="_ H_2/3_G Char"/>
    <w:link w:val="H23G"/>
    <w:rsid w:val="00B82ADB"/>
    <w:rPr>
      <w:b/>
      <w:lang w:val="fr-CH" w:eastAsia="en-US"/>
    </w:rPr>
  </w:style>
  <w:style w:type="character" w:customStyle="1" w:styleId="HChGChar">
    <w:name w:val="_ H _Ch_G Char"/>
    <w:link w:val="HChG"/>
    <w:rsid w:val="00B82ADB"/>
    <w:rPr>
      <w:b/>
      <w:sz w:val="28"/>
      <w:lang w:val="fr-CH" w:eastAsia="en-US"/>
    </w:rPr>
  </w:style>
  <w:style w:type="character" w:customStyle="1" w:styleId="SingleTxtGCar">
    <w:name w:val="_ Single Txt_G Car"/>
    <w:rsid w:val="000F5198"/>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2737">
      <w:bodyDiv w:val="1"/>
      <w:marLeft w:val="0"/>
      <w:marRight w:val="0"/>
      <w:marTop w:val="0"/>
      <w:marBottom w:val="0"/>
      <w:divBdr>
        <w:top w:val="none" w:sz="0" w:space="0" w:color="auto"/>
        <w:left w:val="none" w:sz="0" w:space="0" w:color="auto"/>
        <w:bottom w:val="none" w:sz="0" w:space="0" w:color="auto"/>
        <w:right w:val="none" w:sz="0" w:space="0" w:color="auto"/>
      </w:divBdr>
    </w:div>
    <w:div w:id="301271011">
      <w:bodyDiv w:val="1"/>
      <w:marLeft w:val="0"/>
      <w:marRight w:val="0"/>
      <w:marTop w:val="0"/>
      <w:marBottom w:val="0"/>
      <w:divBdr>
        <w:top w:val="none" w:sz="0" w:space="0" w:color="auto"/>
        <w:left w:val="none" w:sz="0" w:space="0" w:color="auto"/>
        <w:bottom w:val="none" w:sz="0" w:space="0" w:color="auto"/>
        <w:right w:val="none" w:sz="0" w:space="0" w:color="auto"/>
      </w:divBdr>
    </w:div>
    <w:div w:id="304044074">
      <w:bodyDiv w:val="1"/>
      <w:marLeft w:val="0"/>
      <w:marRight w:val="0"/>
      <w:marTop w:val="0"/>
      <w:marBottom w:val="0"/>
      <w:divBdr>
        <w:top w:val="none" w:sz="0" w:space="0" w:color="auto"/>
        <w:left w:val="none" w:sz="0" w:space="0" w:color="auto"/>
        <w:bottom w:val="none" w:sz="0" w:space="0" w:color="auto"/>
        <w:right w:val="none" w:sz="0" w:space="0" w:color="auto"/>
      </w:divBdr>
    </w:div>
    <w:div w:id="1434588149">
      <w:bodyDiv w:val="1"/>
      <w:marLeft w:val="0"/>
      <w:marRight w:val="0"/>
      <w:marTop w:val="0"/>
      <w:marBottom w:val="0"/>
      <w:divBdr>
        <w:top w:val="none" w:sz="0" w:space="0" w:color="auto"/>
        <w:left w:val="none" w:sz="0" w:space="0" w:color="auto"/>
        <w:bottom w:val="none" w:sz="0" w:space="0" w:color="auto"/>
        <w:right w:val="none" w:sz="0" w:space="0" w:color="auto"/>
      </w:divBdr>
    </w:div>
    <w:div w:id="1481190783">
      <w:bodyDiv w:val="1"/>
      <w:marLeft w:val="0"/>
      <w:marRight w:val="0"/>
      <w:marTop w:val="0"/>
      <w:marBottom w:val="0"/>
      <w:divBdr>
        <w:top w:val="none" w:sz="0" w:space="0" w:color="auto"/>
        <w:left w:val="none" w:sz="0" w:space="0" w:color="auto"/>
        <w:bottom w:val="none" w:sz="0" w:space="0" w:color="auto"/>
        <w:right w:val="none" w:sz="0" w:space="0" w:color="auto"/>
      </w:divBdr>
    </w:div>
    <w:div w:id="191655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ri\AppData\Roaming\Microsoft\Templates\ST_SG\AC10_C3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59F1E-EC16-48EF-9EA9-FA6BFA12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AC10_C3_F.dotm</Template>
  <TotalTime>236</TotalTime>
  <Pages>9</Pages>
  <Words>1846</Words>
  <Characters>9214</Characters>
  <Application>Microsoft Office Word</Application>
  <DocSecurity>0</DocSecurity>
  <Lines>400</Lines>
  <Paragraphs>345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ST/SG/AC.10/C.3/</vt:lpstr>
      <vt:lpstr>ST/SG/AC.10/C.3/</vt:lpstr>
    </vt:vector>
  </TitlesOfParts>
  <Company>Corinne</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dc:title>
  <dc:creator>50th session UNSCETDG</dc:creator>
  <cp:lastModifiedBy>Laurence Berthet</cp:lastModifiedBy>
  <cp:revision>63</cp:revision>
  <cp:lastPrinted>2017-02-02T09:37:00Z</cp:lastPrinted>
  <dcterms:created xsi:type="dcterms:W3CDTF">2017-01-05T12:36:00Z</dcterms:created>
  <dcterms:modified xsi:type="dcterms:W3CDTF">2017-02-02T09:41:00Z</dcterms:modified>
</cp:coreProperties>
</file>