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AB0793"/>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AB0793" w:rsidP="00605F86">
            <w:pPr>
              <w:jc w:val="right"/>
            </w:pPr>
            <w:r w:rsidRPr="00AB0793">
              <w:rPr>
                <w:sz w:val="40"/>
              </w:rPr>
              <w:t>ST</w:t>
            </w:r>
            <w:r>
              <w:t>/SG/AC.10/C.3/2016/</w:t>
            </w:r>
            <w:r w:rsidR="00605F86">
              <w:t>84</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AB0793" w:rsidP="009C3129">
            <w:pPr>
              <w:spacing w:before="240"/>
            </w:pPr>
            <w:proofErr w:type="spellStart"/>
            <w:r>
              <w:t>Distr</w:t>
            </w:r>
            <w:proofErr w:type="spellEnd"/>
            <w:r>
              <w:t>. générale</w:t>
            </w:r>
          </w:p>
          <w:p w:rsidR="00AB0793" w:rsidRDefault="00605F86" w:rsidP="00AB0793">
            <w:pPr>
              <w:spacing w:line="240" w:lineRule="exact"/>
            </w:pPr>
            <w:r>
              <w:t>17 octobre</w:t>
            </w:r>
            <w:r w:rsidR="00AB0793">
              <w:t xml:space="preserve"> 2016</w:t>
            </w:r>
          </w:p>
          <w:p w:rsidR="00AB0793" w:rsidRDefault="00AB0793" w:rsidP="00AB0793">
            <w:pPr>
              <w:spacing w:line="240" w:lineRule="exact"/>
            </w:pPr>
            <w:r>
              <w:t>Français</w:t>
            </w:r>
          </w:p>
          <w:p w:rsidR="00AB0793" w:rsidRPr="00DB58B5" w:rsidRDefault="00AB0793" w:rsidP="00AB0793">
            <w:pPr>
              <w:spacing w:line="240" w:lineRule="exact"/>
            </w:pPr>
            <w:r>
              <w:t>Original : anglais</w:t>
            </w:r>
            <w:r w:rsidR="00942AD8">
              <w:t xml:space="preserve"> et français</w:t>
            </w:r>
          </w:p>
        </w:tc>
      </w:tr>
    </w:tbl>
    <w:p w:rsidR="00AB0793" w:rsidRPr="00CA0680" w:rsidRDefault="00AB0793" w:rsidP="000305D3">
      <w:pPr>
        <w:spacing w:before="120"/>
        <w:rPr>
          <w:b/>
          <w:sz w:val="24"/>
          <w:szCs w:val="24"/>
        </w:rPr>
      </w:pPr>
      <w:r w:rsidRPr="00CA0680">
        <w:rPr>
          <w:b/>
          <w:sz w:val="24"/>
          <w:szCs w:val="24"/>
        </w:rPr>
        <w:t>Comité d</w:t>
      </w:r>
      <w:r w:rsidR="00593C5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93C5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AB0793" w:rsidRPr="00CA0680" w:rsidRDefault="00AB0793" w:rsidP="000305D3">
      <w:pPr>
        <w:spacing w:before="120"/>
        <w:rPr>
          <w:b/>
        </w:rPr>
      </w:pPr>
      <w:r w:rsidRPr="00CA0680">
        <w:rPr>
          <w:b/>
        </w:rPr>
        <w:t>Sous</w:t>
      </w:r>
      <w:r>
        <w:rPr>
          <w:b/>
        </w:rPr>
        <w:t>-</w:t>
      </w:r>
      <w:r w:rsidRPr="00CA0680">
        <w:rPr>
          <w:b/>
        </w:rPr>
        <w:t>Comité d</w:t>
      </w:r>
      <w:r w:rsidR="00593C5C">
        <w:rPr>
          <w:b/>
        </w:rPr>
        <w:t>’</w:t>
      </w:r>
      <w:r w:rsidRPr="00CA0680">
        <w:rPr>
          <w:b/>
        </w:rPr>
        <w:t>experts du transport des marchandises dangereuses</w:t>
      </w:r>
    </w:p>
    <w:p w:rsidR="00AB0793" w:rsidRDefault="00E0272C" w:rsidP="000305D3">
      <w:pPr>
        <w:spacing w:before="120"/>
        <w:rPr>
          <w:b/>
        </w:rPr>
      </w:pPr>
      <w:r>
        <w:rPr>
          <w:b/>
        </w:rPr>
        <w:t>Cinquantième</w:t>
      </w:r>
      <w:r w:rsidR="00AB0793">
        <w:rPr>
          <w:b/>
        </w:rPr>
        <w:t xml:space="preserve"> </w:t>
      </w:r>
      <w:r w:rsidR="00AB0793" w:rsidRPr="00CA0680">
        <w:rPr>
          <w:b/>
        </w:rPr>
        <w:t>session</w:t>
      </w:r>
    </w:p>
    <w:p w:rsidR="00AB0793" w:rsidRDefault="00E0272C" w:rsidP="000305D3">
      <w:r>
        <w:t>Genève, 28 novembre</w:t>
      </w:r>
      <w:r w:rsidR="00AB0793">
        <w:t>-</w:t>
      </w:r>
      <w:r>
        <w:t>6 décembre</w:t>
      </w:r>
      <w:r w:rsidR="00AB0793" w:rsidRPr="00AB0793">
        <w:t xml:space="preserve"> 2016</w:t>
      </w:r>
    </w:p>
    <w:p w:rsidR="00EF4204" w:rsidRDefault="00EF4204" w:rsidP="00EF4204">
      <w:r>
        <w:t>Point 2</w:t>
      </w:r>
      <w:r w:rsidR="00AB0793">
        <w:t> </w:t>
      </w:r>
      <w:r w:rsidR="00AB0793" w:rsidRPr="00AB0793">
        <w:t>d)</w:t>
      </w:r>
      <w:r w:rsidR="00AB0793">
        <w:t xml:space="preserve"> de l</w:t>
      </w:r>
      <w:r w:rsidR="00593C5C">
        <w:t>’</w:t>
      </w:r>
      <w:r w:rsidR="00AB0793">
        <w:t>ordre du jour provisoire</w:t>
      </w:r>
    </w:p>
    <w:p w:rsidR="00EF4204" w:rsidRPr="00EF4204" w:rsidRDefault="00EF4204" w:rsidP="00EF4204">
      <w:r w:rsidRPr="00EF4204">
        <w:rPr>
          <w:lang w:val="fr-FR"/>
        </w:rPr>
        <w:t xml:space="preserve"> </w:t>
      </w:r>
      <w:r w:rsidRPr="00EF4204">
        <w:rPr>
          <w:b/>
          <w:lang w:val="fr-FR"/>
        </w:rPr>
        <w:t xml:space="preserve">Recommandations du Sous-Comité formulées </w:t>
      </w:r>
      <w:r w:rsidR="00605F86">
        <w:rPr>
          <w:b/>
          <w:lang w:val="fr-FR"/>
        </w:rPr>
        <w:br/>
      </w:r>
      <w:r w:rsidRPr="00EF4204">
        <w:rPr>
          <w:b/>
          <w:lang w:val="fr-FR"/>
        </w:rPr>
        <w:t xml:space="preserve">à ses quarante-septième, quarante-huitième </w:t>
      </w:r>
      <w:r w:rsidR="00605F86">
        <w:rPr>
          <w:b/>
          <w:lang w:val="fr-FR"/>
        </w:rPr>
        <w:br/>
      </w:r>
      <w:r w:rsidRPr="00EF4204">
        <w:rPr>
          <w:b/>
          <w:lang w:val="fr-FR"/>
        </w:rPr>
        <w:t>et quarante-neuvième sessions et questions en suspens</w:t>
      </w:r>
      <w:r w:rsidR="00605F86">
        <w:rPr>
          <w:b/>
          <w:lang w:val="fr-FR"/>
        </w:rPr>
        <w:t>:</w:t>
      </w:r>
      <w:r w:rsidR="00605F86">
        <w:rPr>
          <w:b/>
          <w:lang w:val="fr-FR"/>
        </w:rPr>
        <w:br/>
      </w:r>
      <w:r>
        <w:rPr>
          <w:b/>
          <w:lang w:val="fr-FR"/>
        </w:rPr>
        <w:t>systèmes de stockage de l’électricité</w:t>
      </w:r>
    </w:p>
    <w:p w:rsidR="00E12DAA" w:rsidRPr="007E6973" w:rsidRDefault="00E12DAA" w:rsidP="005B5B38">
      <w:pPr>
        <w:pStyle w:val="HChG"/>
      </w:pPr>
      <w:r w:rsidRPr="007E6973">
        <w:rPr>
          <w:sz w:val="22"/>
          <w:szCs w:val="22"/>
        </w:rPr>
        <w:tab/>
      </w:r>
      <w:r w:rsidRPr="007E6973">
        <w:rPr>
          <w:sz w:val="22"/>
          <w:szCs w:val="22"/>
        </w:rPr>
        <w:tab/>
      </w:r>
      <w:r w:rsidR="00EF4204">
        <w:t>Sécurité du transport aérien des piles au lithium</w:t>
      </w:r>
    </w:p>
    <w:p w:rsidR="00E12DAA" w:rsidRDefault="00E12DAA" w:rsidP="00640DD8">
      <w:pPr>
        <w:pStyle w:val="H1G"/>
      </w:pPr>
      <w:r w:rsidRPr="007E6973">
        <w:tab/>
      </w:r>
      <w:r w:rsidRPr="007E6973">
        <w:tab/>
      </w:r>
      <w:r w:rsidRPr="00E0518B">
        <w:t>Communication de l</w:t>
      </w:r>
      <w:r w:rsidR="00593C5C">
        <w:t>’</w:t>
      </w:r>
      <w:r w:rsidRPr="00E0518B">
        <w:t>Organisation de l</w:t>
      </w:r>
      <w:r w:rsidR="00593C5C">
        <w:t>’</w:t>
      </w:r>
      <w:r w:rsidRPr="00E0518B">
        <w:t>aviation civile internationale (OACI)</w:t>
      </w:r>
      <w:r w:rsidR="00605F86">
        <w:rPr>
          <w:rStyle w:val="FootnoteReference"/>
        </w:rPr>
        <w:footnoteReference w:id="2"/>
      </w:r>
    </w:p>
    <w:p w:rsidR="007C2000" w:rsidRDefault="00605F86" w:rsidP="00605F86">
      <w:pPr>
        <w:pStyle w:val="SingleTxtG"/>
        <w:rPr>
          <w:szCs w:val="24"/>
        </w:rPr>
      </w:pPr>
      <w:r>
        <w:t>1.</w:t>
      </w:r>
      <w:r>
        <w:tab/>
        <w:t>A la quarante-</w:t>
      </w:r>
      <w:r w:rsidR="00696BC7">
        <w:t>neuvième session du Sous-Comité, l’OACI avait soumis le document ST/SG/AC.10/C.3/2016/39 décrivant les décisions de son Conseil relatives au transport aérien de piles au lithium. Celles-ci comprenaient l’approbation d’un a</w:t>
      </w:r>
      <w:r w:rsidR="00C23C9E">
        <w:t>mendement aux</w:t>
      </w:r>
      <w:r w:rsidR="00E12DAA">
        <w:t xml:space="preserve"> </w:t>
      </w:r>
      <w:r w:rsidR="00E12DAA" w:rsidRPr="00C23C9E">
        <w:rPr>
          <w:i/>
        </w:rPr>
        <w:t>Instructions techniques pour la sécurité du transport aérien des marchandises dangereuses</w:t>
      </w:r>
      <w:r w:rsidR="00E12DAA" w:rsidRPr="007E6973">
        <w:t xml:space="preserve"> (Instructions</w:t>
      </w:r>
      <w:r w:rsidR="00E12DAA">
        <w:t xml:space="preserve"> techniques</w:t>
      </w:r>
      <w:r w:rsidR="00E12DAA" w:rsidRPr="007E6973">
        <w:t xml:space="preserve">, Doc 9284) </w:t>
      </w:r>
      <w:r w:rsidR="00E12DAA">
        <w:t xml:space="preserve">qui interdit le transport du numéro ONU 3480 </w:t>
      </w:r>
      <w:r w:rsidR="00640DD8">
        <w:t>–</w:t>
      </w:r>
      <w:r w:rsidR="00E12DAA" w:rsidRPr="007E6973">
        <w:t xml:space="preserve"> </w:t>
      </w:r>
      <w:r w:rsidR="00E12DAA" w:rsidRPr="00C23C9E">
        <w:rPr>
          <w:b/>
        </w:rPr>
        <w:t>batteries au lithium-ion</w:t>
      </w:r>
      <w:r w:rsidR="00E12DAA" w:rsidRPr="001340B1">
        <w:t xml:space="preserve"> en tant que cargaison à bord des aéronefs à passagers</w:t>
      </w:r>
      <w:r w:rsidR="00C23C9E">
        <w:t>, ainsi que l’introduction</w:t>
      </w:r>
      <w:r w:rsidR="00E12DAA" w:rsidRPr="00C23C9E">
        <w:rPr>
          <w:szCs w:val="24"/>
        </w:rPr>
        <w:t xml:space="preserve"> de nouvelles restrictions au transport de </w:t>
      </w:r>
      <w:r w:rsidR="00C23C9E">
        <w:rPr>
          <w:szCs w:val="24"/>
        </w:rPr>
        <w:t>piles</w:t>
      </w:r>
      <w:r w:rsidR="00E12DAA" w:rsidRPr="00C23C9E">
        <w:rPr>
          <w:szCs w:val="24"/>
        </w:rPr>
        <w:t xml:space="preserve"> au lithium </w:t>
      </w:r>
      <w:r w:rsidR="00C23C9E">
        <w:rPr>
          <w:szCs w:val="24"/>
        </w:rPr>
        <w:t>applicables aux</w:t>
      </w:r>
      <w:r w:rsidR="00E12DAA" w:rsidRPr="00C23C9E">
        <w:rPr>
          <w:szCs w:val="24"/>
        </w:rPr>
        <w:t xml:space="preserve"> aéronefs cargo. </w:t>
      </w:r>
      <w:r w:rsidR="00C23C9E">
        <w:rPr>
          <w:szCs w:val="24"/>
        </w:rPr>
        <w:t xml:space="preserve">La décision </w:t>
      </w:r>
      <w:r w:rsidR="008B34B1">
        <w:rPr>
          <w:szCs w:val="24"/>
        </w:rPr>
        <w:t xml:space="preserve">d’incorporer ces amendements reposait sur l’examen des informations fournies à la </w:t>
      </w:r>
      <w:r w:rsidR="00C23C9E" w:rsidRPr="00812717">
        <w:rPr>
          <w:szCs w:val="24"/>
        </w:rPr>
        <w:t>Commission de navigation aérienne</w:t>
      </w:r>
      <w:r w:rsidR="007E5DF9">
        <w:rPr>
          <w:szCs w:val="24"/>
        </w:rPr>
        <w:t xml:space="preserve">, </w:t>
      </w:r>
      <w:r w:rsidR="00C23C9E">
        <w:rPr>
          <w:szCs w:val="24"/>
        </w:rPr>
        <w:t xml:space="preserve">le </w:t>
      </w:r>
      <w:r w:rsidR="007E5DF9">
        <w:rPr>
          <w:szCs w:val="24"/>
        </w:rPr>
        <w:t xml:space="preserve">DGP, </w:t>
      </w:r>
      <w:r w:rsidR="00C23C9E">
        <w:rPr>
          <w:szCs w:val="24"/>
        </w:rPr>
        <w:t xml:space="preserve">le Groupe des opérations aériennes </w:t>
      </w:r>
      <w:r w:rsidR="008B34B1">
        <w:rPr>
          <w:szCs w:val="24"/>
        </w:rPr>
        <w:t xml:space="preserve">(FLTOPSP) et </w:t>
      </w:r>
      <w:r w:rsidR="00C23C9E">
        <w:rPr>
          <w:szCs w:val="24"/>
        </w:rPr>
        <w:t xml:space="preserve">le Groupe de navigabilité </w:t>
      </w:r>
      <w:r w:rsidR="00C23C9E" w:rsidRPr="007E6973">
        <w:rPr>
          <w:szCs w:val="24"/>
        </w:rPr>
        <w:t>(AIRP)</w:t>
      </w:r>
      <w:r w:rsidR="00C23C9E">
        <w:rPr>
          <w:szCs w:val="24"/>
        </w:rPr>
        <w:t xml:space="preserve"> </w:t>
      </w:r>
      <w:r w:rsidR="007E5DF9">
        <w:rPr>
          <w:szCs w:val="24"/>
        </w:rPr>
        <w:t xml:space="preserve">de l’OACI </w:t>
      </w:r>
      <w:r w:rsidR="00C23C9E">
        <w:rPr>
          <w:szCs w:val="24"/>
        </w:rPr>
        <w:t>à ce sujet</w:t>
      </w:r>
      <w:r w:rsidR="008B34B1">
        <w:rPr>
          <w:szCs w:val="24"/>
        </w:rPr>
        <w:t>. Le Conseil a estimé qu’il s’agissait d’une  mesure temporaire en attendant que soient mis en place les moyens d’assurer un niveau acceptable de sécurité.</w:t>
      </w:r>
    </w:p>
    <w:p w:rsidR="007C2000" w:rsidRPr="007E6973" w:rsidRDefault="007C2000" w:rsidP="00605F86">
      <w:pPr>
        <w:pStyle w:val="SingleTxtG"/>
      </w:pPr>
      <w:r>
        <w:t>2.</w:t>
      </w:r>
      <w:r>
        <w:tab/>
        <w:t xml:space="preserve">Les conclusions de la Commission étaient notamment </w:t>
      </w:r>
      <w:r w:rsidRPr="00624873">
        <w:t>fondées</w:t>
      </w:r>
      <w:r w:rsidR="00605F86">
        <w:t xml:space="preserve"> sur les facteurs suivants</w:t>
      </w:r>
      <w:r>
        <w:t>:</w:t>
      </w:r>
    </w:p>
    <w:p w:rsidR="007C2000" w:rsidRPr="007E6973" w:rsidRDefault="007C2000" w:rsidP="00605F86">
      <w:pPr>
        <w:pStyle w:val="SingleTxtG"/>
        <w:ind w:left="1701"/>
      </w:pPr>
      <w:r w:rsidRPr="007E6973">
        <w:t>a)</w:t>
      </w:r>
      <w:r w:rsidRPr="007E6973">
        <w:tab/>
      </w:r>
      <w:r w:rsidRPr="007919D4">
        <w:t>L</w:t>
      </w:r>
      <w:r>
        <w:t>’</w:t>
      </w:r>
      <w:r w:rsidRPr="007919D4">
        <w:t>in</w:t>
      </w:r>
      <w:r>
        <w:t>capacité d</w:t>
      </w:r>
      <w:r w:rsidRPr="007919D4">
        <w:t xml:space="preserve">es systèmes actuels de protection de la soute </w:t>
      </w:r>
      <w:r>
        <w:t xml:space="preserve">contre le feu à </w:t>
      </w:r>
      <w:r w:rsidRPr="007919D4">
        <w:t>étouffer ou éteindre un incendie impliquant de grandes quantités de batteries au lithium</w:t>
      </w:r>
      <w:r>
        <w:t>;</w:t>
      </w:r>
    </w:p>
    <w:p w:rsidR="007C2000" w:rsidRPr="007919D4" w:rsidRDefault="007C2000" w:rsidP="00605F86">
      <w:pPr>
        <w:pStyle w:val="SingleTxtG"/>
        <w:ind w:left="1701"/>
        <w:rPr>
          <w:szCs w:val="24"/>
        </w:rPr>
      </w:pPr>
      <w:r w:rsidRPr="007E6973">
        <w:rPr>
          <w:szCs w:val="24"/>
        </w:rPr>
        <w:lastRenderedPageBreak/>
        <w:t>b)</w:t>
      </w:r>
      <w:r w:rsidRPr="007E6973">
        <w:rPr>
          <w:szCs w:val="24"/>
        </w:rPr>
        <w:tab/>
      </w:r>
      <w:r w:rsidRPr="007919D4">
        <w:rPr>
          <w:szCs w:val="24"/>
        </w:rPr>
        <w:t>L</w:t>
      </w:r>
      <w:r>
        <w:rPr>
          <w:szCs w:val="24"/>
        </w:rPr>
        <w:t>’</w:t>
      </w:r>
      <w:r w:rsidRPr="007919D4">
        <w:rPr>
          <w:szCs w:val="24"/>
        </w:rPr>
        <w:t xml:space="preserve">incapacité </w:t>
      </w:r>
      <w:r>
        <w:rPr>
          <w:szCs w:val="24"/>
        </w:rPr>
        <w:t xml:space="preserve">à </w:t>
      </w:r>
      <w:r w:rsidRPr="007919D4">
        <w:rPr>
          <w:szCs w:val="24"/>
        </w:rPr>
        <w:t>fixer une quantité limite jugée s</w:t>
      </w:r>
      <w:r>
        <w:rPr>
          <w:szCs w:val="24"/>
        </w:rPr>
        <w:t>ûre pour les batteries au lithium en raison du nombre de variables qui contribuent au niveau de risque posé par les différences qui existent entre les batteries ou piles en matière de composition chimique, de taille, de ty</w:t>
      </w:r>
      <w:r w:rsidR="00605F86">
        <w:rPr>
          <w:szCs w:val="24"/>
        </w:rPr>
        <w:t>pe et de quantités transportées</w:t>
      </w:r>
      <w:r>
        <w:rPr>
          <w:szCs w:val="24"/>
        </w:rPr>
        <w:t>;</w:t>
      </w:r>
    </w:p>
    <w:p w:rsidR="007C2000" w:rsidRPr="007E6973" w:rsidRDefault="007C2000" w:rsidP="00605F86">
      <w:pPr>
        <w:pStyle w:val="SingleTxtG"/>
        <w:ind w:left="1701"/>
        <w:rPr>
          <w:szCs w:val="24"/>
        </w:rPr>
      </w:pPr>
      <w:r w:rsidRPr="007E6973">
        <w:rPr>
          <w:szCs w:val="24"/>
        </w:rPr>
        <w:t>c)</w:t>
      </w:r>
      <w:r w:rsidRPr="007E6973">
        <w:rPr>
          <w:szCs w:val="24"/>
        </w:rPr>
        <w:tab/>
      </w:r>
      <w:r w:rsidRPr="00A26D3D">
        <w:rPr>
          <w:szCs w:val="24"/>
        </w:rPr>
        <w:t>L</w:t>
      </w:r>
      <w:r>
        <w:rPr>
          <w:szCs w:val="24"/>
        </w:rPr>
        <w:t>’</w:t>
      </w:r>
      <w:r w:rsidRPr="00A26D3D">
        <w:rPr>
          <w:szCs w:val="24"/>
        </w:rPr>
        <w:t>absence d</w:t>
      </w:r>
      <w:r>
        <w:rPr>
          <w:szCs w:val="24"/>
        </w:rPr>
        <w:t>’</w:t>
      </w:r>
      <w:r w:rsidRPr="00A26D3D">
        <w:rPr>
          <w:szCs w:val="24"/>
        </w:rPr>
        <w:t>un mécanisme permettant d</w:t>
      </w:r>
      <w:r>
        <w:rPr>
          <w:szCs w:val="24"/>
        </w:rPr>
        <w:t>’</w:t>
      </w:r>
      <w:r w:rsidRPr="00A26D3D">
        <w:rPr>
          <w:szCs w:val="24"/>
        </w:rPr>
        <w:t xml:space="preserve">identifier et de communiquer les risques </w:t>
      </w:r>
      <w:r>
        <w:rPr>
          <w:szCs w:val="24"/>
        </w:rPr>
        <w:t>et dangers liés spécifiquement à chaque type de batterie et</w:t>
      </w:r>
      <w:r w:rsidR="00605F86">
        <w:rPr>
          <w:szCs w:val="24"/>
        </w:rPr>
        <w:t xml:space="preserve"> de pile</w:t>
      </w:r>
      <w:r>
        <w:rPr>
          <w:szCs w:val="24"/>
        </w:rPr>
        <w:t>;</w:t>
      </w:r>
    </w:p>
    <w:p w:rsidR="007C2000" w:rsidRPr="007E6973" w:rsidRDefault="007C2000" w:rsidP="00605F86">
      <w:pPr>
        <w:pStyle w:val="SingleTxtG"/>
        <w:ind w:left="1701"/>
        <w:rPr>
          <w:szCs w:val="24"/>
        </w:rPr>
      </w:pPr>
      <w:r w:rsidRPr="007E6973">
        <w:rPr>
          <w:szCs w:val="24"/>
        </w:rPr>
        <w:t>d)</w:t>
      </w:r>
      <w:r w:rsidRPr="007E6973">
        <w:rPr>
          <w:szCs w:val="24"/>
        </w:rPr>
        <w:tab/>
      </w:r>
      <w:r w:rsidRPr="00A26D3D">
        <w:rPr>
          <w:szCs w:val="24"/>
        </w:rPr>
        <w:t>Le manqu</w:t>
      </w:r>
      <w:r>
        <w:rPr>
          <w:szCs w:val="24"/>
        </w:rPr>
        <w:t>e</w:t>
      </w:r>
      <w:r w:rsidRPr="00A26D3D">
        <w:rPr>
          <w:szCs w:val="24"/>
        </w:rPr>
        <w:t xml:space="preserve"> de transparence concernant les batteries exceptée</w:t>
      </w:r>
      <w:r>
        <w:rPr>
          <w:szCs w:val="24"/>
        </w:rPr>
        <w:t xml:space="preserve">s qui empêche les opérateurs de déterminer avec précision les quantités de batteries </w:t>
      </w:r>
      <w:r w:rsidRPr="00A26D3D">
        <w:rPr>
          <w:szCs w:val="24"/>
        </w:rPr>
        <w:t>transport</w:t>
      </w:r>
      <w:r>
        <w:rPr>
          <w:szCs w:val="24"/>
        </w:rPr>
        <w:t>ées</w:t>
      </w:r>
      <w:r w:rsidRPr="00A26D3D">
        <w:rPr>
          <w:szCs w:val="24"/>
        </w:rPr>
        <w:t xml:space="preserve"> en tant que cargaison</w:t>
      </w:r>
      <w:r>
        <w:rPr>
          <w:szCs w:val="24"/>
        </w:rPr>
        <w:t>;</w:t>
      </w:r>
      <w:r w:rsidRPr="007E6973">
        <w:rPr>
          <w:szCs w:val="24"/>
        </w:rPr>
        <w:t xml:space="preserve"> </w:t>
      </w:r>
      <w:r w:rsidRPr="00A26D3D">
        <w:rPr>
          <w:szCs w:val="24"/>
        </w:rPr>
        <w:t>et</w:t>
      </w:r>
    </w:p>
    <w:p w:rsidR="007C2000" w:rsidRPr="007E6973" w:rsidRDefault="007C2000" w:rsidP="007C2000">
      <w:pPr>
        <w:pStyle w:val="SingleTxtG"/>
        <w:ind w:left="2268" w:hanging="567"/>
        <w:rPr>
          <w:szCs w:val="24"/>
        </w:rPr>
      </w:pPr>
      <w:r w:rsidRPr="007E6973">
        <w:rPr>
          <w:szCs w:val="24"/>
        </w:rPr>
        <w:t>e)</w:t>
      </w:r>
      <w:r w:rsidRPr="007E6973">
        <w:rPr>
          <w:szCs w:val="24"/>
        </w:rPr>
        <w:tab/>
      </w:r>
      <w:r w:rsidRPr="00FD167F">
        <w:rPr>
          <w:szCs w:val="24"/>
        </w:rPr>
        <w:t>L</w:t>
      </w:r>
      <w:r>
        <w:rPr>
          <w:szCs w:val="24"/>
        </w:rPr>
        <w:t>’</w:t>
      </w:r>
      <w:r w:rsidRPr="00FD167F">
        <w:rPr>
          <w:szCs w:val="24"/>
        </w:rPr>
        <w:t>absence de normes d</w:t>
      </w:r>
      <w:r>
        <w:rPr>
          <w:szCs w:val="24"/>
        </w:rPr>
        <w:t>’</w:t>
      </w:r>
      <w:r w:rsidRPr="00FD167F">
        <w:rPr>
          <w:szCs w:val="24"/>
        </w:rPr>
        <w:t>emballage</w:t>
      </w:r>
      <w:r>
        <w:rPr>
          <w:szCs w:val="24"/>
        </w:rPr>
        <w:t xml:space="preserve"> permettant d’atténuer les risques</w:t>
      </w:r>
      <w:r w:rsidRPr="007E6973">
        <w:rPr>
          <w:szCs w:val="24"/>
        </w:rPr>
        <w:t>.</w:t>
      </w:r>
    </w:p>
    <w:p w:rsidR="007C2000" w:rsidRDefault="00C5371C" w:rsidP="00C5371C">
      <w:pPr>
        <w:pStyle w:val="SingleTxtG"/>
        <w:keepNext/>
        <w:ind w:right="1138"/>
      </w:pPr>
      <w:r>
        <w:t>3</w:t>
      </w:r>
      <w:r w:rsidR="007C2000">
        <w:t>.</w:t>
      </w:r>
      <w:r w:rsidR="007C2000">
        <w:tab/>
      </w:r>
      <w:r>
        <w:t>L’OACI poursuit son travail visant à régler les problèmes liés aux risques spécifiques au transport aérien. Toutefois les questions suivantes devraient être abordées par le Sous-Comité</w:t>
      </w:r>
      <w:r w:rsidR="007C2000">
        <w:t>:</w:t>
      </w:r>
    </w:p>
    <w:p w:rsidR="007C2000" w:rsidRDefault="007C2000" w:rsidP="00605F86">
      <w:pPr>
        <w:pStyle w:val="SingleTxtG"/>
        <w:ind w:left="1701" w:right="1138"/>
      </w:pPr>
      <w:r>
        <w:t>a)</w:t>
      </w:r>
      <w:r>
        <w:tab/>
      </w:r>
      <w:r w:rsidR="00B33F85">
        <w:t>Le Sous</w:t>
      </w:r>
      <w:r w:rsidR="00E0272C">
        <w:t>-</w:t>
      </w:r>
      <w:r w:rsidR="00B33F85">
        <w:t>Comité a été informé à sa quarante-neuvième session</w:t>
      </w:r>
      <w:r>
        <w:t xml:space="preserve"> (ST/SG/AC.10/C.3/2016/39) </w:t>
      </w:r>
      <w:r w:rsidR="00B33F85">
        <w:t>que les organes directeurs de l’OACI avaient demandé s’il existait un mécanisme pour définir une</w:t>
      </w:r>
      <w:r w:rsidR="00D8421F">
        <w:t xml:space="preserve"> </w:t>
      </w:r>
      <w:r w:rsidR="006B3B02">
        <w:t xml:space="preserve">meilleure granularité </w:t>
      </w:r>
      <w:r w:rsidR="00761E0E">
        <w:t>en rapport avec la</w:t>
      </w:r>
      <w:r w:rsidR="00D8421F">
        <w:t xml:space="preserve"> classification des différents types de piles et batteries au lithium de sorte que les risques</w:t>
      </w:r>
      <w:r w:rsidR="006B3B02">
        <w:t xml:space="preserve"> variés posés par les différents types de piles et batteries au lithium puissent être communiqués et atténués de manière appropriée. Au cours de la discussion, il avait été suggéré de baser la classification sur des épreuves en suivant une approche similaire à celle utilisée pour la classe 1, afin de mieux définir les dangers réels présentés par les différents types de piles. Le Sous-Comité est invité</w:t>
      </w:r>
      <w:r w:rsidR="00D8421F">
        <w:t xml:space="preserve"> </w:t>
      </w:r>
      <w:r w:rsidR="006B3B02">
        <w:t>à poursu</w:t>
      </w:r>
      <w:r w:rsidR="000A0885">
        <w:t>ivre l’examen de cette question</w:t>
      </w:r>
      <w:bookmarkStart w:id="0" w:name="_GoBack"/>
      <w:bookmarkEnd w:id="0"/>
      <w:r w:rsidR="000A0885">
        <w:t>;</w:t>
      </w:r>
    </w:p>
    <w:p w:rsidR="0029505F" w:rsidRDefault="007C2000" w:rsidP="00605F86">
      <w:pPr>
        <w:pStyle w:val="SingleTxtG"/>
        <w:ind w:left="1701" w:right="1138"/>
      </w:pPr>
      <w:r>
        <w:t>b)</w:t>
      </w:r>
      <w:r>
        <w:tab/>
      </w:r>
      <w:r w:rsidR="003E6409">
        <w:t>Il est nécessaire de traiter des</w:t>
      </w:r>
      <w:r w:rsidR="006B3B02">
        <w:t xml:space="preserve"> risques posés par les envois </w:t>
      </w:r>
      <w:r w:rsidR="003E6409">
        <w:t>expédiés de manière non conforme, dé</w:t>
      </w:r>
      <w:r w:rsidR="00933B86">
        <w:t>libéré</w:t>
      </w:r>
      <w:r w:rsidR="003E6409">
        <w:t>ment ou par inadvertance.</w:t>
      </w:r>
      <w:r w:rsidR="00933B86">
        <w:t xml:space="preserve"> Il peut être difficile, ou même impossible, de se conformer complètement à des réglementations complexes. De nombreu</w:t>
      </w:r>
      <w:r w:rsidR="00605F86">
        <w:t>ses entités ont un rôle à jouer</w:t>
      </w:r>
      <w:r w:rsidR="00933B86">
        <w:t xml:space="preserve">, y compris les fabricants de piles, les fabricants de batteries, et les fabricants qui utilisent ces piles et batteries, </w:t>
      </w:r>
      <w:r w:rsidR="00761E0E">
        <w:t>parfois</w:t>
      </w:r>
      <w:r w:rsidR="00933B86">
        <w:t xml:space="preserve"> en provenance de divers pays, en aval </w:t>
      </w:r>
      <w:r w:rsidR="00761E0E">
        <w:t>dans leurs produits</w:t>
      </w:r>
      <w:r w:rsidR="00FB5333">
        <w:t xml:space="preserve">. Le cadre </w:t>
      </w:r>
      <w:r w:rsidR="00F95042">
        <w:t>réglementaire actuel part du pri</w:t>
      </w:r>
      <w:r w:rsidR="00FB5333">
        <w:t>ncipe que l’expéditeur</w:t>
      </w:r>
      <w:r w:rsidR="00F95042">
        <w:t xml:space="preserve"> sait que les piles et batteries ont subi avec succès les épreuves du </w:t>
      </w:r>
      <w:r w:rsidR="00F95042">
        <w:rPr>
          <w:i/>
        </w:rPr>
        <w:t xml:space="preserve">Manuel d’épreuves et de critères. </w:t>
      </w:r>
      <w:r w:rsidR="00761E0E">
        <w:t>Il</w:t>
      </w:r>
      <w:r w:rsidR="00F95042">
        <w:t xml:space="preserve"> peut cependant être difficile pour l’expéditeur</w:t>
      </w:r>
      <w:r w:rsidR="00761E0E">
        <w:t xml:space="preserve"> de s’en assurer</w:t>
      </w:r>
      <w:r w:rsidR="00F95042">
        <w:t xml:space="preserve">, sachant qu’il n’y a aucune obligation pour le fabricant de fournir cette information </w:t>
      </w:r>
      <w:r w:rsidR="00761E0E">
        <w:t>sauf lorsqu’elle est</w:t>
      </w:r>
      <w:r w:rsidR="00F95042">
        <w:t xml:space="preserve"> demandée par une instance réglementaire habilitée. La situation se complique lorsque</w:t>
      </w:r>
      <w:r w:rsidR="0029505F">
        <w:t xml:space="preserve"> les piles et batteries sont expédiées à plusieurs reprises dans le cycle de production.</w:t>
      </w:r>
    </w:p>
    <w:p w:rsidR="00BA0864" w:rsidRDefault="00761E0E" w:rsidP="00761E0E">
      <w:pPr>
        <w:pStyle w:val="SingleTxtG"/>
        <w:ind w:left="1701" w:right="1138"/>
      </w:pPr>
      <w:r>
        <w:t>Il</w:t>
      </w:r>
      <w:r w:rsidR="0022411D">
        <w:t xml:space="preserve"> a été demandé au</w:t>
      </w:r>
      <w:r>
        <w:t xml:space="preserve"> régulateur de renforcer la</w:t>
      </w:r>
      <w:r w:rsidR="0022411D">
        <w:t xml:space="preserve"> surveillance afin de traiter </w:t>
      </w:r>
      <w:r>
        <w:t>les problèmes de non-conformité; néanmoins</w:t>
      </w:r>
      <w:r w:rsidR="0022411D">
        <w:t xml:space="preserve"> la complexité du cadre réglementaire rend difficile la mise en place d’un système effectif de </w:t>
      </w:r>
      <w:r>
        <w:t>surveillance</w:t>
      </w:r>
      <w:r w:rsidR="0022411D">
        <w:t>.</w:t>
      </w:r>
      <w:r w:rsidR="00BA0864">
        <w:t xml:space="preserve"> Les quantités énormes expédiées et le fait qu’une surveillance des piles au lithium partiellement exemptées de la réglementation </w:t>
      </w:r>
      <w:r>
        <w:t xml:space="preserve">soit aussi souhaitée </w:t>
      </w:r>
      <w:r w:rsidR="00BA0864">
        <w:t>compliquent davantage le problème.</w:t>
      </w:r>
    </w:p>
    <w:p w:rsidR="00605F86" w:rsidRPr="00605F86" w:rsidRDefault="00605F86" w:rsidP="00605F86">
      <w:pPr>
        <w:pStyle w:val="SingleTxtG"/>
      </w:pPr>
      <w:r>
        <w:rPr>
          <w:noProof/>
          <w:lang w:val="en-GB" w:eastAsia="en-GB"/>
        </w:rPr>
        <mc:AlternateContent>
          <mc:Choice Requires="wps">
            <w:drawing>
              <wp:anchor distT="0" distB="0" distL="114300" distR="114300" simplePos="0" relativeHeight="251659264" behindDoc="0" locked="0" layoutInCell="1" allowOverlap="1" wp14:anchorId="5EF3C545" wp14:editId="48E3D59D">
                <wp:simplePos x="0" y="0"/>
                <wp:positionH relativeFrom="column">
                  <wp:posOffset>2390140</wp:posOffset>
                </wp:positionH>
                <wp:positionV relativeFrom="paragraph">
                  <wp:posOffset>1416050</wp:posOffset>
                </wp:positionV>
                <wp:extent cx="145415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403985"/>
                        </a:xfrm>
                        <a:prstGeom prst="rect">
                          <a:avLst/>
                        </a:prstGeom>
                        <a:solidFill>
                          <a:srgbClr val="FFFFFF"/>
                        </a:solidFill>
                        <a:ln w="9525">
                          <a:solidFill>
                            <a:schemeClr val="bg1"/>
                          </a:solidFill>
                          <a:miter lim="800000"/>
                          <a:headEnd/>
                          <a:tailEnd/>
                        </a:ln>
                      </wps:spPr>
                      <wps:txbx>
                        <w:txbxContent>
                          <w:p w:rsidR="00605F86" w:rsidRDefault="00605F86">
                            <w: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2pt;margin-top:111.5pt;width:11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" strokecolor="white [3212]">
                <v:textbox style="mso-fit-shape-to-text:t">
                  <w:txbxContent>
                    <w:p w:rsidR="00605F86" w:rsidRDefault="00605F86">
                      <w:r>
                        <w:t>___________________</w:t>
                      </w:r>
                    </w:p>
                  </w:txbxContent>
                </v:textbox>
              </v:shape>
            </w:pict>
          </mc:Fallback>
        </mc:AlternateContent>
      </w:r>
      <w:r w:rsidR="00761E0E">
        <w:t>4</w:t>
      </w:r>
      <w:r w:rsidR="00BA0864">
        <w:t>.</w:t>
      </w:r>
      <w:r w:rsidR="00BA0864">
        <w:tab/>
        <w:t>Le Sous-Comité est invité à discuter de ces questions et à envisager la façon dont elles pourraient être traitées dans la prochaine période biennale</w:t>
      </w:r>
      <w:r w:rsidR="007E5DF9">
        <w:t>.</w:t>
      </w:r>
      <w:r w:rsidR="00BA0864">
        <w:t xml:space="preserve"> </w:t>
      </w:r>
      <w:r w:rsidR="007E5DF9">
        <w:t xml:space="preserve">La </w:t>
      </w:r>
      <w:r w:rsidR="007E5DF9" w:rsidRPr="00812717">
        <w:rPr>
          <w:szCs w:val="24"/>
        </w:rPr>
        <w:t>Commission de navigation aérienne</w:t>
      </w:r>
      <w:r w:rsidR="007E5DF9">
        <w:rPr>
          <w:szCs w:val="24"/>
        </w:rPr>
        <w:t xml:space="preserve"> de l’OACI et ses groupes DGP, FLTOPSP et AIRP seront informés en conséquence. </w:t>
      </w:r>
      <w:r w:rsidR="00B9558D">
        <w:rPr>
          <w:szCs w:val="24"/>
        </w:rPr>
        <w:t>Avant d’envisager de lever l’interdiction, l</w:t>
      </w:r>
      <w:r w:rsidR="007E5DF9">
        <w:rPr>
          <w:szCs w:val="24"/>
        </w:rPr>
        <w:t>a Commission examinera l’ensemble des infor</w:t>
      </w:r>
      <w:r w:rsidR="00B9558D">
        <w:rPr>
          <w:szCs w:val="24"/>
        </w:rPr>
        <w:t>mations provenant de ces organes une fois que la norme SAE relative à la performance des colis</w:t>
      </w:r>
      <w:r w:rsidR="00761E0E">
        <w:rPr>
          <w:szCs w:val="24"/>
        </w:rPr>
        <w:t>,</w:t>
      </w:r>
      <w:r w:rsidR="00B9558D">
        <w:rPr>
          <w:szCs w:val="24"/>
        </w:rPr>
        <w:t xml:space="preserve"> en cours d’élaboration</w:t>
      </w:r>
      <w:r w:rsidR="00761E0E">
        <w:rPr>
          <w:szCs w:val="24"/>
        </w:rPr>
        <w:t>,</w:t>
      </w:r>
      <w:r w:rsidR="00B9558D">
        <w:rPr>
          <w:szCs w:val="24"/>
        </w:rPr>
        <w:t xml:space="preserve"> aura été finalisée et que tous les contrôles supplémentaires nécessaires pour assurer que les risques identifiés sont atténués</w:t>
      </w:r>
      <w:r w:rsidR="007E5DF9">
        <w:rPr>
          <w:szCs w:val="24"/>
        </w:rPr>
        <w:t xml:space="preserve"> </w:t>
      </w:r>
      <w:r w:rsidR="00B9558D">
        <w:rPr>
          <w:szCs w:val="24"/>
        </w:rPr>
        <w:t>auront été définis.</w:t>
      </w:r>
    </w:p>
    <w:sectPr w:rsidR="00605F86" w:rsidRPr="00605F86" w:rsidSect="00AB0793">
      <w:headerReference w:type="even" r:id="rId10"/>
      <w:headerReference w:type="default" r:id="rId11"/>
      <w:footerReference w:type="even" r:id="rId12"/>
      <w:footerReference w:type="defaul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DE" w:rsidRDefault="001460DE" w:rsidP="00F95C08">
      <w:pPr>
        <w:spacing w:line="240" w:lineRule="auto"/>
      </w:pPr>
    </w:p>
  </w:endnote>
  <w:endnote w:type="continuationSeparator" w:id="0">
    <w:p w:rsidR="001460DE" w:rsidRPr="00AC3823" w:rsidRDefault="001460DE" w:rsidP="00AC3823">
      <w:pPr>
        <w:pStyle w:val="Footer"/>
      </w:pPr>
    </w:p>
  </w:endnote>
  <w:endnote w:type="continuationNotice" w:id="1">
    <w:p w:rsidR="001460DE" w:rsidRDefault="00146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AB0793" w:rsidP="00AB0793">
    <w:pPr>
      <w:pStyle w:val="Footer"/>
      <w:tabs>
        <w:tab w:val="right" w:pos="9638"/>
      </w:tabs>
    </w:pPr>
    <w:r w:rsidRPr="00AB0793">
      <w:rPr>
        <w:b/>
        <w:sz w:val="18"/>
      </w:rPr>
      <w:fldChar w:fldCharType="begin"/>
    </w:r>
    <w:r w:rsidRPr="00AB0793">
      <w:rPr>
        <w:b/>
        <w:sz w:val="18"/>
      </w:rPr>
      <w:instrText xml:space="preserve"> PAGE  \* MERGEFORMAT </w:instrText>
    </w:r>
    <w:r w:rsidRPr="00AB0793">
      <w:rPr>
        <w:b/>
        <w:sz w:val="18"/>
      </w:rPr>
      <w:fldChar w:fldCharType="separate"/>
    </w:r>
    <w:r w:rsidR="001215EB">
      <w:rPr>
        <w:b/>
        <w:noProof/>
        <w:sz w:val="18"/>
      </w:rPr>
      <w:t>2</w:t>
    </w:r>
    <w:r w:rsidRPr="00AB0793">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AB0793" w:rsidP="00AB0793">
    <w:pPr>
      <w:pStyle w:val="Footer"/>
      <w:tabs>
        <w:tab w:val="right" w:pos="9638"/>
      </w:tabs>
      <w:rPr>
        <w:b/>
        <w:sz w:val="18"/>
      </w:rPr>
    </w:pPr>
    <w:r>
      <w:t>GE.16-05986</w:t>
    </w:r>
    <w:r>
      <w:tab/>
    </w:r>
    <w:r w:rsidRPr="00AB0793">
      <w:rPr>
        <w:b/>
        <w:sz w:val="18"/>
      </w:rPr>
      <w:fldChar w:fldCharType="begin"/>
    </w:r>
    <w:r w:rsidRPr="00AB0793">
      <w:rPr>
        <w:b/>
        <w:sz w:val="18"/>
      </w:rPr>
      <w:instrText xml:space="preserve"> PAGE  \* MERGEFORMAT </w:instrText>
    </w:r>
    <w:r w:rsidRPr="00AB0793">
      <w:rPr>
        <w:b/>
        <w:sz w:val="18"/>
      </w:rPr>
      <w:fldChar w:fldCharType="separate"/>
    </w:r>
    <w:r w:rsidR="00761E0E">
      <w:rPr>
        <w:b/>
        <w:noProof/>
        <w:sz w:val="18"/>
      </w:rPr>
      <w:t>3</w:t>
    </w:r>
    <w:r w:rsidRPr="00AB079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DE" w:rsidRPr="00AC3823" w:rsidRDefault="001460DE" w:rsidP="00AC3823">
      <w:pPr>
        <w:pStyle w:val="Footer"/>
        <w:tabs>
          <w:tab w:val="right" w:pos="2155"/>
        </w:tabs>
        <w:spacing w:after="80" w:line="240" w:lineRule="atLeast"/>
        <w:ind w:left="680"/>
        <w:rPr>
          <w:u w:val="single"/>
        </w:rPr>
      </w:pPr>
      <w:r>
        <w:rPr>
          <w:u w:val="single"/>
        </w:rPr>
        <w:tab/>
      </w:r>
    </w:p>
  </w:footnote>
  <w:footnote w:type="continuationSeparator" w:id="0">
    <w:p w:rsidR="001460DE" w:rsidRPr="00AC3823" w:rsidRDefault="001460DE" w:rsidP="00AC3823">
      <w:pPr>
        <w:pStyle w:val="Footer"/>
        <w:tabs>
          <w:tab w:val="right" w:pos="2155"/>
        </w:tabs>
        <w:spacing w:after="80" w:line="240" w:lineRule="atLeast"/>
        <w:ind w:left="680"/>
        <w:rPr>
          <w:u w:val="single"/>
        </w:rPr>
      </w:pPr>
      <w:r>
        <w:rPr>
          <w:u w:val="single"/>
        </w:rPr>
        <w:tab/>
      </w:r>
    </w:p>
  </w:footnote>
  <w:footnote w:type="continuationNotice" w:id="1">
    <w:p w:rsidR="001460DE" w:rsidRPr="00AC3823" w:rsidRDefault="001460DE">
      <w:pPr>
        <w:spacing w:line="240" w:lineRule="auto"/>
        <w:rPr>
          <w:sz w:val="2"/>
          <w:szCs w:val="2"/>
        </w:rPr>
      </w:pPr>
    </w:p>
  </w:footnote>
  <w:footnote w:id="2">
    <w:p w:rsidR="00605F86" w:rsidRDefault="00605F86" w:rsidP="00605F86">
      <w:pPr>
        <w:pStyle w:val="FootnoteText"/>
        <w:ind w:firstLine="0"/>
      </w:pPr>
      <w:r>
        <w:rPr>
          <w:rStyle w:val="FootnoteReference"/>
        </w:rPr>
        <w:footnoteRef/>
      </w:r>
      <w:r>
        <w:t xml:space="preserve"> </w:t>
      </w:r>
      <w:r w:rsidRPr="00DB63BF">
        <w:t xml:space="preserve">In accordance </w:t>
      </w:r>
      <w:proofErr w:type="spellStart"/>
      <w:r w:rsidRPr="00DB63BF">
        <w:t>with</w:t>
      </w:r>
      <w:proofErr w:type="spellEnd"/>
      <w:r w:rsidRPr="00DB63BF">
        <w:t xml:space="preserve"> the programme of </w:t>
      </w:r>
      <w:proofErr w:type="spellStart"/>
      <w:r w:rsidRPr="00DB63BF">
        <w:t>work</w:t>
      </w:r>
      <w:proofErr w:type="spellEnd"/>
      <w:r w:rsidRPr="00DB63BF">
        <w:t xml:space="preserve"> of the </w:t>
      </w:r>
      <w:proofErr w:type="spellStart"/>
      <w:r w:rsidRPr="00DB63BF">
        <w:t>Sub-Committee</w:t>
      </w:r>
      <w:proofErr w:type="spellEnd"/>
      <w:r w:rsidRPr="00DB63BF">
        <w:t xml:space="preserve"> for 2015–2016 </w:t>
      </w:r>
      <w:proofErr w:type="spellStart"/>
      <w:r w:rsidRPr="00DB63BF">
        <w:t>approved</w:t>
      </w:r>
      <w:proofErr w:type="spellEnd"/>
      <w:r w:rsidRPr="00DB63BF">
        <w:t xml:space="preserve"> by the </w:t>
      </w:r>
      <w:proofErr w:type="spellStart"/>
      <w:r w:rsidRPr="00DB63BF">
        <w:t>Committee</w:t>
      </w:r>
      <w:proofErr w:type="spellEnd"/>
      <w:r w:rsidRPr="00DB63BF">
        <w:t xml:space="preserve"> at </w:t>
      </w:r>
      <w:proofErr w:type="spellStart"/>
      <w:r w:rsidRPr="00DB63BF">
        <w:t>its</w:t>
      </w:r>
      <w:proofErr w:type="spellEnd"/>
      <w:r w:rsidRPr="00DB63BF">
        <w:t xml:space="preserve"> </w:t>
      </w:r>
      <w:proofErr w:type="spellStart"/>
      <w:r w:rsidRPr="00DB63BF">
        <w:t>seventh</w:t>
      </w:r>
      <w:proofErr w:type="spellEnd"/>
      <w:r w:rsidRPr="00DB63BF">
        <w:t xml:space="preserve"> session (</w:t>
      </w:r>
      <w:proofErr w:type="spellStart"/>
      <w:r w:rsidRPr="00DB63BF">
        <w:t>see</w:t>
      </w:r>
      <w:proofErr w:type="spellEnd"/>
      <w:r w:rsidRPr="00DB63BF">
        <w:t xml:space="preserve"> ST/SG/AC.10/C.3/92, </w:t>
      </w:r>
      <w:proofErr w:type="spellStart"/>
      <w:r w:rsidRPr="00DB63BF">
        <w:t>paragraph</w:t>
      </w:r>
      <w:proofErr w:type="spellEnd"/>
      <w:r w:rsidRPr="00DB63BF">
        <w:t xml:space="preserve">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761E0E">
    <w:pPr>
      <w:pStyle w:val="Header"/>
    </w:pPr>
    <w:r>
      <w:t>ST/SG/AC.10/C.3/2016/84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AB0793" w:rsidP="00AB0793">
    <w:pPr>
      <w:pStyle w:val="Header"/>
      <w:jc w:val="right"/>
    </w:pPr>
    <w:r>
      <w:t>ST/SG/AC.10/C.3/2016/39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3B46757"/>
    <w:multiLevelType w:val="hybridMultilevel"/>
    <w:tmpl w:val="E18A0DF0"/>
    <w:lvl w:ilvl="0" w:tplc="A6C2F4F4">
      <w:start w:val="1"/>
      <w:numFmt w:val="decimal"/>
      <w:lvlText w:val="%1."/>
      <w:lvlJc w:val="left"/>
      <w:pPr>
        <w:ind w:left="83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04"/>
    <w:rsid w:val="00017F94"/>
    <w:rsid w:val="00023842"/>
    <w:rsid w:val="000305D3"/>
    <w:rsid w:val="000334F9"/>
    <w:rsid w:val="0007796D"/>
    <w:rsid w:val="000A0885"/>
    <w:rsid w:val="000B7790"/>
    <w:rsid w:val="00111F2F"/>
    <w:rsid w:val="001215EB"/>
    <w:rsid w:val="00132EA9"/>
    <w:rsid w:val="0014365E"/>
    <w:rsid w:val="001460DE"/>
    <w:rsid w:val="00176178"/>
    <w:rsid w:val="00185005"/>
    <w:rsid w:val="001F525A"/>
    <w:rsid w:val="00223272"/>
    <w:rsid w:val="0022411D"/>
    <w:rsid w:val="0024779E"/>
    <w:rsid w:val="00283190"/>
    <w:rsid w:val="002832AC"/>
    <w:rsid w:val="0029505F"/>
    <w:rsid w:val="002D7C93"/>
    <w:rsid w:val="0039290A"/>
    <w:rsid w:val="003E6409"/>
    <w:rsid w:val="00441C3B"/>
    <w:rsid w:val="00446FE5"/>
    <w:rsid w:val="00452396"/>
    <w:rsid w:val="0045760D"/>
    <w:rsid w:val="00476110"/>
    <w:rsid w:val="004E468C"/>
    <w:rsid w:val="005505B7"/>
    <w:rsid w:val="00573BE5"/>
    <w:rsid w:val="00586ED3"/>
    <w:rsid w:val="00593C5C"/>
    <w:rsid w:val="00596AA9"/>
    <w:rsid w:val="005B5B38"/>
    <w:rsid w:val="005C2A82"/>
    <w:rsid w:val="00605F86"/>
    <w:rsid w:val="00640DD8"/>
    <w:rsid w:val="00670E7B"/>
    <w:rsid w:val="0068456F"/>
    <w:rsid w:val="00696BC7"/>
    <w:rsid w:val="006B195A"/>
    <w:rsid w:val="006B3B02"/>
    <w:rsid w:val="0071601D"/>
    <w:rsid w:val="00761E0E"/>
    <w:rsid w:val="0079355F"/>
    <w:rsid w:val="007A62E6"/>
    <w:rsid w:val="007C2000"/>
    <w:rsid w:val="007E5DF9"/>
    <w:rsid w:val="0080684C"/>
    <w:rsid w:val="008428DC"/>
    <w:rsid w:val="00871C75"/>
    <w:rsid w:val="008776DC"/>
    <w:rsid w:val="00890EC5"/>
    <w:rsid w:val="008B34B1"/>
    <w:rsid w:val="00933B86"/>
    <w:rsid w:val="00942AD8"/>
    <w:rsid w:val="009705C8"/>
    <w:rsid w:val="009B46B9"/>
    <w:rsid w:val="009C1CF4"/>
    <w:rsid w:val="00A30353"/>
    <w:rsid w:val="00AB0793"/>
    <w:rsid w:val="00AC3823"/>
    <w:rsid w:val="00AE323C"/>
    <w:rsid w:val="00B00181"/>
    <w:rsid w:val="00B00B0D"/>
    <w:rsid w:val="00B33F85"/>
    <w:rsid w:val="00B765F7"/>
    <w:rsid w:val="00B9558D"/>
    <w:rsid w:val="00BA0864"/>
    <w:rsid w:val="00BA0CA9"/>
    <w:rsid w:val="00BA74A6"/>
    <w:rsid w:val="00BA7DC7"/>
    <w:rsid w:val="00C02897"/>
    <w:rsid w:val="00C23C9E"/>
    <w:rsid w:val="00C5371C"/>
    <w:rsid w:val="00CE23D7"/>
    <w:rsid w:val="00D3439C"/>
    <w:rsid w:val="00D8421F"/>
    <w:rsid w:val="00DB1831"/>
    <w:rsid w:val="00DD3BFD"/>
    <w:rsid w:val="00DF6678"/>
    <w:rsid w:val="00E0272C"/>
    <w:rsid w:val="00E12DAA"/>
    <w:rsid w:val="00E5795B"/>
    <w:rsid w:val="00E92984"/>
    <w:rsid w:val="00EC6B04"/>
    <w:rsid w:val="00EF2E22"/>
    <w:rsid w:val="00EF4204"/>
    <w:rsid w:val="00F1698C"/>
    <w:rsid w:val="00F660DF"/>
    <w:rsid w:val="00F730C8"/>
    <w:rsid w:val="00F95042"/>
    <w:rsid w:val="00F95C08"/>
    <w:rsid w:val="00FB53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696BC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696BC7"/>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78">
      <w:bodyDiv w:val="1"/>
      <w:marLeft w:val="0"/>
      <w:marRight w:val="0"/>
      <w:marTop w:val="0"/>
      <w:marBottom w:val="0"/>
      <w:divBdr>
        <w:top w:val="none" w:sz="0" w:space="0" w:color="auto"/>
        <w:left w:val="none" w:sz="0" w:space="0" w:color="auto"/>
        <w:bottom w:val="none" w:sz="0" w:space="0" w:color="auto"/>
        <w:right w:val="none" w:sz="0" w:space="0" w:color="auto"/>
      </w:divBdr>
    </w:div>
    <w:div w:id="1109810549">
      <w:bodyDiv w:val="1"/>
      <w:marLeft w:val="0"/>
      <w:marRight w:val="0"/>
      <w:marTop w:val="0"/>
      <w:marBottom w:val="0"/>
      <w:divBdr>
        <w:top w:val="none" w:sz="0" w:space="0" w:color="auto"/>
        <w:left w:val="none" w:sz="0" w:space="0" w:color="auto"/>
        <w:bottom w:val="none" w:sz="0" w:space="0" w:color="auto"/>
        <w:right w:val="none" w:sz="0" w:space="0" w:color="auto"/>
      </w:divBdr>
    </w:div>
    <w:div w:id="1260068371">
      <w:bodyDiv w:val="1"/>
      <w:marLeft w:val="0"/>
      <w:marRight w:val="0"/>
      <w:marTop w:val="0"/>
      <w:marBottom w:val="0"/>
      <w:divBdr>
        <w:top w:val="none" w:sz="0" w:space="0" w:color="auto"/>
        <w:left w:val="none" w:sz="0" w:space="0" w:color="auto"/>
        <w:bottom w:val="none" w:sz="0" w:space="0" w:color="auto"/>
        <w:right w:val="none" w:sz="0" w:space="0" w:color="auto"/>
      </w:divBdr>
    </w:div>
    <w:div w:id="1889341088">
      <w:bodyDiv w:val="1"/>
      <w:marLeft w:val="0"/>
      <w:marRight w:val="0"/>
      <w:marTop w:val="0"/>
      <w:marBottom w:val="0"/>
      <w:divBdr>
        <w:top w:val="none" w:sz="0" w:space="0" w:color="auto"/>
        <w:left w:val="none" w:sz="0" w:space="0" w:color="auto"/>
        <w:bottom w:val="none" w:sz="0" w:space="0" w:color="auto"/>
        <w:right w:val="none" w:sz="0" w:space="0" w:color="auto"/>
      </w:divBdr>
    </w:div>
    <w:div w:id="20428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8D8DD4F-290F-4B24-BD04-B3931B87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837</Words>
  <Characters>4855</Characters>
  <Application>Microsoft Office Word</Application>
  <DocSecurity>0</DocSecurity>
  <Lines>89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ST/SG/AC.10/C.3/2016/39</vt:lpstr>
      <vt:lpstr>ST/SG/AC.10/C.3/2016/39</vt:lpstr>
    </vt:vector>
  </TitlesOfParts>
  <Company>DCM</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ST/SG/AC.10/C.3/2016/39</dc:title>
  <dc:subject>Final</dc:subject>
  <dc:creator>Julien Okrzesik</dc:creator>
  <cp:lastModifiedBy>Laurence Berthet</cp:lastModifiedBy>
  <cp:revision>5</cp:revision>
  <cp:lastPrinted>2016-10-17T12:19:00Z</cp:lastPrinted>
  <dcterms:created xsi:type="dcterms:W3CDTF">2016-10-17T11:55:00Z</dcterms:created>
  <dcterms:modified xsi:type="dcterms:W3CDTF">2016-10-17T12:19:00Z</dcterms:modified>
</cp:coreProperties>
</file>