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CB3476">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B3476" w:rsidP="00CB3476">
            <w:pPr>
              <w:jc w:val="right"/>
            </w:pPr>
            <w:r w:rsidRPr="00CB3476">
              <w:rPr>
                <w:sz w:val="40"/>
              </w:rPr>
              <w:t>ST</w:t>
            </w:r>
            <w:r>
              <w:t>/SG/AC.10/C.3/2016/72</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3811CFAD" wp14:editId="1E58E6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B3476" w:rsidP="009C3129">
            <w:pPr>
              <w:spacing w:before="240"/>
            </w:pPr>
            <w:r>
              <w:t>Distr. générale</w:t>
            </w:r>
          </w:p>
          <w:p w:rsidR="00CB3476" w:rsidRDefault="00CB3476" w:rsidP="00CB3476">
            <w:pPr>
              <w:spacing w:line="240" w:lineRule="exact"/>
            </w:pPr>
            <w:r>
              <w:t>6 septembre 2016</w:t>
            </w:r>
          </w:p>
          <w:p w:rsidR="00CB3476" w:rsidRDefault="00CB3476" w:rsidP="00CB3476">
            <w:pPr>
              <w:spacing w:line="240" w:lineRule="exact"/>
            </w:pPr>
            <w:r>
              <w:t>Français</w:t>
            </w:r>
          </w:p>
          <w:p w:rsidR="00CB3476" w:rsidRPr="00DB58B5" w:rsidRDefault="00CB3476" w:rsidP="00CB3476">
            <w:pPr>
              <w:spacing w:line="240" w:lineRule="exact"/>
            </w:pPr>
            <w:r>
              <w:t>Original : anglais</w:t>
            </w:r>
          </w:p>
        </w:tc>
      </w:tr>
    </w:tbl>
    <w:p w:rsidR="00CB3476" w:rsidRPr="00336C58" w:rsidRDefault="00CB3476" w:rsidP="00CB3476">
      <w:pPr>
        <w:spacing w:before="120" w:line="240" w:lineRule="auto"/>
        <w:rPr>
          <w:b/>
          <w:lang w:val="fr-FR"/>
        </w:rPr>
      </w:pPr>
      <w:r w:rsidRPr="00336C58">
        <w:rPr>
          <w:b/>
          <w:lang w:val="fr-FR"/>
        </w:rPr>
        <w:t>Comité d’experts du transport des marchandises dangereuses</w:t>
      </w:r>
      <w:r w:rsidRPr="00336C58">
        <w:rPr>
          <w:b/>
          <w:lang w:val="fr-FR"/>
        </w:rPr>
        <w:br/>
        <w:t>et du Système général harmonisé de classification</w:t>
      </w:r>
      <w:r w:rsidRPr="00336C58">
        <w:rPr>
          <w:b/>
          <w:lang w:val="fr-FR"/>
        </w:rPr>
        <w:br/>
        <w:t>et d’étiquetage des produits chimiques</w:t>
      </w:r>
    </w:p>
    <w:p w:rsidR="00CB3476" w:rsidRPr="00EA24BD" w:rsidRDefault="00CB3476" w:rsidP="00CB3476">
      <w:pPr>
        <w:spacing w:before="120" w:line="240" w:lineRule="auto"/>
        <w:rPr>
          <w:b/>
          <w:lang w:val="fr-FR"/>
        </w:rPr>
      </w:pPr>
      <w:r w:rsidRPr="00EA24BD">
        <w:rPr>
          <w:b/>
          <w:lang w:val="fr-FR"/>
        </w:rPr>
        <w:t>Sous-Comité d</w:t>
      </w:r>
      <w:r>
        <w:rPr>
          <w:b/>
          <w:lang w:val="fr-FR"/>
        </w:rPr>
        <w:t>’experts du transport</w:t>
      </w:r>
      <w:r w:rsidR="00336C58">
        <w:rPr>
          <w:b/>
          <w:lang w:val="fr-FR"/>
        </w:rPr>
        <w:t xml:space="preserve"> </w:t>
      </w:r>
      <w:r w:rsidRPr="00EA24BD">
        <w:rPr>
          <w:b/>
          <w:lang w:val="fr-FR"/>
        </w:rPr>
        <w:t>des marchandises dangereuses</w:t>
      </w:r>
    </w:p>
    <w:p w:rsidR="00CB3476" w:rsidRPr="00EA24BD" w:rsidRDefault="00CB3476" w:rsidP="00CB3476">
      <w:pPr>
        <w:spacing w:before="120" w:line="240" w:lineRule="auto"/>
        <w:rPr>
          <w:b/>
          <w:lang w:val="fr-FR"/>
        </w:rPr>
      </w:pPr>
      <w:r w:rsidRPr="00EA24BD">
        <w:rPr>
          <w:b/>
          <w:bCs/>
          <w:lang w:val="fr-FR"/>
        </w:rPr>
        <w:t>Cinquantième</w:t>
      </w:r>
      <w:r w:rsidRPr="00EA24BD">
        <w:rPr>
          <w:b/>
          <w:lang w:val="fr-FR"/>
        </w:rPr>
        <w:t xml:space="preserve"> session</w:t>
      </w:r>
    </w:p>
    <w:p w:rsidR="00CB3476" w:rsidRPr="00EA24BD" w:rsidRDefault="00CB3476" w:rsidP="00CB3476">
      <w:pPr>
        <w:spacing w:line="240" w:lineRule="auto"/>
        <w:rPr>
          <w:sz w:val="19"/>
          <w:szCs w:val="19"/>
          <w:lang w:val="fr-FR"/>
        </w:rPr>
      </w:pPr>
      <w:r w:rsidRPr="00EA24BD">
        <w:rPr>
          <w:lang w:val="fr-FR"/>
        </w:rPr>
        <w:t>Genève, 28 novembre-6 décembre 2016</w:t>
      </w:r>
    </w:p>
    <w:p w:rsidR="00CB3476" w:rsidRPr="00EA24BD" w:rsidRDefault="00CB3476" w:rsidP="00CB3476">
      <w:pPr>
        <w:spacing w:line="240" w:lineRule="auto"/>
        <w:rPr>
          <w:lang w:val="fr-FR"/>
        </w:rPr>
      </w:pPr>
      <w:r w:rsidRPr="00EA24BD">
        <w:rPr>
          <w:lang w:val="fr-FR"/>
        </w:rPr>
        <w:t>Point 2 c) de l</w:t>
      </w:r>
      <w:r>
        <w:rPr>
          <w:lang w:val="fr-FR"/>
        </w:rPr>
        <w:t>’</w:t>
      </w:r>
      <w:r w:rsidRPr="00EA24BD">
        <w:rPr>
          <w:lang w:val="fr-FR"/>
        </w:rPr>
        <w:t>ordre du jour provisoire</w:t>
      </w:r>
    </w:p>
    <w:p w:rsidR="00CB3476" w:rsidRPr="00CB3476" w:rsidRDefault="00CB3476" w:rsidP="00CB3476">
      <w:pPr>
        <w:rPr>
          <w:b/>
          <w:lang w:val="fr-FR"/>
        </w:rPr>
      </w:pPr>
      <w:r w:rsidRPr="00CB3476">
        <w:rPr>
          <w:b/>
          <w:lang w:val="fr-FR"/>
        </w:rPr>
        <w:t>Recommandations du Sous-Comité formulées</w:t>
      </w:r>
      <w:r w:rsidRPr="00CB3476">
        <w:rPr>
          <w:b/>
          <w:lang w:val="fr-FR"/>
        </w:rPr>
        <w:br/>
        <w:t>à ses quarante-septième, quarante-huitième</w:t>
      </w:r>
      <w:r w:rsidRPr="00CB3476">
        <w:rPr>
          <w:b/>
          <w:lang w:val="fr-FR"/>
        </w:rPr>
        <w:br/>
        <w:t>et quarante-neuvième sessions et questions</w:t>
      </w:r>
      <w:r w:rsidRPr="00CB3476">
        <w:rPr>
          <w:b/>
          <w:lang w:val="fr-FR"/>
        </w:rPr>
        <w:br/>
        <w:t>en suspens</w:t>
      </w:r>
      <w:r>
        <w:rPr>
          <w:b/>
          <w:lang w:val="fr-FR"/>
        </w:rPr>
        <w:t> </w:t>
      </w:r>
      <w:r w:rsidRPr="00CB3476">
        <w:rPr>
          <w:b/>
          <w:lang w:val="fr-FR"/>
        </w:rPr>
        <w:t>:</w:t>
      </w:r>
      <w:r>
        <w:rPr>
          <w:b/>
          <w:lang w:val="fr-FR"/>
        </w:rPr>
        <w:t xml:space="preserve"> </w:t>
      </w:r>
      <w:r w:rsidRPr="00CB3476">
        <w:rPr>
          <w:b/>
          <w:lang w:val="fr-FR"/>
        </w:rPr>
        <w:t xml:space="preserve">inscription, classement et emballage </w:t>
      </w:r>
    </w:p>
    <w:p w:rsidR="00CB3476" w:rsidRPr="00EA24BD" w:rsidRDefault="00CB3476" w:rsidP="00CB3476">
      <w:pPr>
        <w:pStyle w:val="HChG"/>
        <w:rPr>
          <w:lang w:val="fr-FR"/>
        </w:rPr>
      </w:pPr>
      <w:r w:rsidRPr="00EA24BD">
        <w:rPr>
          <w:rFonts w:eastAsia="MS Mincho"/>
          <w:lang w:val="fr-FR" w:eastAsia="ja-JP"/>
        </w:rPr>
        <w:tab/>
      </w:r>
      <w:r w:rsidRPr="00EA24BD">
        <w:rPr>
          <w:rFonts w:eastAsia="MS Mincho"/>
          <w:lang w:val="fr-FR" w:eastAsia="ja-JP"/>
        </w:rPr>
        <w:tab/>
        <w:t>Désignation officielle de transport pour u</w:t>
      </w:r>
      <w:r>
        <w:rPr>
          <w:rFonts w:eastAsia="MS Mincho"/>
          <w:lang w:val="fr-FR" w:eastAsia="ja-JP"/>
        </w:rPr>
        <w:t>ne matière</w:t>
      </w:r>
      <w:r>
        <w:rPr>
          <w:rFonts w:eastAsia="MS Mincho"/>
          <w:lang w:val="fr-FR" w:eastAsia="ja-JP"/>
        </w:rPr>
        <w:br/>
      </w:r>
      <w:r w:rsidRPr="00EA24BD">
        <w:rPr>
          <w:rFonts w:eastAsia="MS Mincho"/>
          <w:lang w:val="fr-FR" w:eastAsia="ja-JP"/>
        </w:rPr>
        <w:t xml:space="preserve">qui polymérise et satisfait aux autres </w:t>
      </w:r>
      <w:r>
        <w:rPr>
          <w:rFonts w:eastAsia="MS Mincho"/>
          <w:lang w:val="fr-FR" w:eastAsia="ja-JP"/>
        </w:rPr>
        <w:t>critères</w:t>
      </w:r>
      <w:r>
        <w:rPr>
          <w:rFonts w:eastAsia="MS Mincho"/>
          <w:lang w:val="fr-FR" w:eastAsia="ja-JP"/>
        </w:rPr>
        <w:br/>
      </w:r>
      <w:r w:rsidRPr="00EA24BD">
        <w:rPr>
          <w:rFonts w:eastAsia="MS Mincho"/>
          <w:lang w:val="fr-FR" w:eastAsia="ja-JP"/>
        </w:rPr>
        <w:t>d</w:t>
      </w:r>
      <w:r>
        <w:rPr>
          <w:rFonts w:eastAsia="MS Mincho"/>
          <w:lang w:val="fr-FR" w:eastAsia="ja-JP"/>
        </w:rPr>
        <w:t>’</w:t>
      </w:r>
      <w:r w:rsidRPr="00EA24BD">
        <w:rPr>
          <w:rFonts w:eastAsia="MS Mincho"/>
          <w:lang w:val="fr-FR" w:eastAsia="ja-JP"/>
        </w:rPr>
        <w:t>inclusion dans les classes 1 à 8</w:t>
      </w:r>
    </w:p>
    <w:p w:rsidR="00CB3476" w:rsidRPr="00EA24BD" w:rsidRDefault="00CB3476" w:rsidP="00CB3476">
      <w:pPr>
        <w:pStyle w:val="H1G"/>
        <w:rPr>
          <w:lang w:val="fr-FR"/>
        </w:rPr>
      </w:pPr>
      <w:r w:rsidRPr="00EA24BD">
        <w:rPr>
          <w:rFonts w:eastAsia="MS Mincho"/>
          <w:lang w:val="fr-FR"/>
        </w:rPr>
        <w:tab/>
      </w:r>
      <w:r w:rsidRPr="00EA24BD">
        <w:rPr>
          <w:rFonts w:eastAsia="MS Mincho"/>
          <w:lang w:val="fr-FR"/>
        </w:rPr>
        <w:tab/>
        <w:t>Communication de l</w:t>
      </w:r>
      <w:r>
        <w:rPr>
          <w:rFonts w:eastAsia="MS Mincho"/>
          <w:lang w:val="fr-FR"/>
        </w:rPr>
        <w:t>’</w:t>
      </w:r>
      <w:r w:rsidRPr="00EA24BD">
        <w:rPr>
          <w:rFonts w:eastAsia="MS Mincho"/>
          <w:lang w:val="fr-FR"/>
        </w:rPr>
        <w:t>expert de l</w:t>
      </w:r>
      <w:r>
        <w:rPr>
          <w:rFonts w:eastAsia="MS Mincho"/>
          <w:lang w:val="fr-FR"/>
        </w:rPr>
        <w:t>’</w:t>
      </w:r>
      <w:r w:rsidRPr="00EA24BD">
        <w:rPr>
          <w:rFonts w:eastAsia="MS Mincho"/>
          <w:lang w:val="fr-FR"/>
        </w:rPr>
        <w:t>Autriche</w:t>
      </w:r>
      <w:r w:rsidRPr="00EA24BD">
        <w:rPr>
          <w:rStyle w:val="FootnoteReference"/>
          <w:rFonts w:eastAsia="MS Mincho"/>
          <w:b w:val="0"/>
          <w:lang w:val="fr-FR"/>
        </w:rPr>
        <w:footnoteReference w:id="2"/>
      </w:r>
    </w:p>
    <w:p w:rsidR="00CB3476" w:rsidRPr="00EA24BD" w:rsidRDefault="00CB3476" w:rsidP="00CB3476">
      <w:pPr>
        <w:pStyle w:val="HChG"/>
        <w:rPr>
          <w:lang w:val="fr-FR"/>
        </w:rPr>
      </w:pPr>
      <w:r w:rsidRPr="00EA24BD">
        <w:rPr>
          <w:lang w:val="fr-FR"/>
        </w:rPr>
        <w:tab/>
      </w:r>
      <w:r w:rsidRPr="00EA24BD">
        <w:rPr>
          <w:lang w:val="fr-FR"/>
        </w:rPr>
        <w:tab/>
      </w:r>
      <w:r w:rsidRPr="00CB3476">
        <w:t>Introduction</w:t>
      </w:r>
    </w:p>
    <w:p w:rsidR="00CB3476" w:rsidRPr="00EA24BD" w:rsidRDefault="00CB3476" w:rsidP="00CB3476">
      <w:pPr>
        <w:pStyle w:val="SingleTxtG"/>
        <w:rPr>
          <w:lang w:val="fr-FR"/>
        </w:rPr>
      </w:pPr>
      <w:r w:rsidRPr="00EA24BD">
        <w:rPr>
          <w:lang w:val="fr-FR"/>
        </w:rPr>
        <w:t>1.</w:t>
      </w:r>
      <w:r w:rsidRPr="00EA24BD">
        <w:rPr>
          <w:lang w:val="fr-FR"/>
        </w:rPr>
        <w:tab/>
        <w:t xml:space="preserve">Les matières qui </w:t>
      </w:r>
      <w:r w:rsidRPr="00CB3476">
        <w:t>polymérisent</w:t>
      </w:r>
      <w:r w:rsidRPr="00EA24BD">
        <w:rPr>
          <w:lang w:val="fr-FR"/>
        </w:rPr>
        <w:t xml:space="preserve"> sont définies comme suit :</w:t>
      </w:r>
    </w:p>
    <w:p w:rsidR="00CB3476" w:rsidRPr="00EA24BD" w:rsidRDefault="00CB3476" w:rsidP="001E5ECD">
      <w:pPr>
        <w:pStyle w:val="SingleTxtG"/>
        <w:ind w:firstLine="567"/>
        <w:rPr>
          <w:lang w:val="fr-FR"/>
        </w:rPr>
      </w:pPr>
      <w:r w:rsidRPr="00EA24BD">
        <w:rPr>
          <w:lang w:val="fr-FR"/>
        </w:rPr>
        <w:t>2.4.2.5.1</w:t>
      </w:r>
      <w:r w:rsidRPr="00EA24BD">
        <w:rPr>
          <w:lang w:val="fr-FR"/>
        </w:rPr>
        <w:tab/>
      </w:r>
      <w:r w:rsidRPr="00CB3476">
        <w:t>Définitions</w:t>
      </w:r>
      <w:r w:rsidRPr="00EA24BD">
        <w:rPr>
          <w:lang w:val="fr-FR"/>
        </w:rPr>
        <w:t xml:space="preserve"> et propriétés</w:t>
      </w:r>
    </w:p>
    <w:p w:rsidR="00CB3476" w:rsidRPr="00EA24BD" w:rsidRDefault="00CB3476" w:rsidP="001E5ECD">
      <w:pPr>
        <w:pStyle w:val="SingleTxtG"/>
        <w:ind w:left="1701"/>
        <w:rPr>
          <w:lang w:val="fr-FR"/>
        </w:rPr>
      </w:pPr>
      <w:r w:rsidRPr="00EA24BD">
        <w:rPr>
          <w:lang w:val="fr-FR"/>
        </w:rPr>
        <w:t xml:space="preserve">On entend par </w:t>
      </w:r>
      <w:r w:rsidRPr="00EA24BD">
        <w:rPr>
          <w:i/>
          <w:lang w:val="fr-FR"/>
        </w:rPr>
        <w:t>Matières qui polymérisent</w:t>
      </w:r>
      <w:r w:rsidRPr="00EA24BD">
        <w:rPr>
          <w:lang w:val="fr-FR"/>
        </w:rPr>
        <w:t>, les matières qui, sans stabilisation, sont susceptibles de subir une forte réaction exothermique résultant en la formation de molécules plus grandes ou résultant en la formation de polymères dans les conditions normales de transport. De telles matières sont considérées comme des matières susceptibles de polymériser de la division 4.1 :</w:t>
      </w:r>
    </w:p>
    <w:p w:rsidR="00CB3476" w:rsidRPr="00EA24BD" w:rsidRDefault="00CB3476" w:rsidP="001E5ECD">
      <w:pPr>
        <w:pStyle w:val="SingleTxtG"/>
        <w:ind w:left="1701"/>
        <w:rPr>
          <w:lang w:val="fr-FR"/>
        </w:rPr>
      </w:pPr>
      <w:r w:rsidRPr="00EA24BD">
        <w:rPr>
          <w:lang w:val="fr-FR"/>
        </w:rPr>
        <w:t>a)</w:t>
      </w:r>
      <w:r w:rsidRPr="00EA24BD">
        <w:rPr>
          <w:lang w:val="fr-FR"/>
        </w:rPr>
        <w:tab/>
        <w:t>Lorsque leur température de polymérisation auto-accélérée (TPAA) est au maximum de 75 °C dans les conditions (avec ou sans stabilisation chimique dans la forme sous laquelle ils sont présentés au transport) et dans l</w:t>
      </w:r>
      <w:r>
        <w:rPr>
          <w:lang w:val="fr-FR"/>
        </w:rPr>
        <w:t>’</w:t>
      </w:r>
      <w:r w:rsidRPr="00EA24BD">
        <w:rPr>
          <w:lang w:val="fr-FR"/>
        </w:rPr>
        <w:t>emballage, le GRV ou la citerne mobile dans lesquels la matière ou le mélange doivent être transportés ;</w:t>
      </w:r>
    </w:p>
    <w:p w:rsidR="00CB3476" w:rsidRPr="00EA24BD" w:rsidRDefault="00CB3476" w:rsidP="001E5ECD">
      <w:pPr>
        <w:pStyle w:val="SingleTxtG"/>
        <w:ind w:left="1701"/>
        <w:rPr>
          <w:lang w:val="fr-FR"/>
        </w:rPr>
      </w:pPr>
      <w:r w:rsidRPr="00EA24BD">
        <w:rPr>
          <w:lang w:val="fr-FR"/>
        </w:rPr>
        <w:lastRenderedPageBreak/>
        <w:t>b)</w:t>
      </w:r>
      <w:r w:rsidRPr="00EA24BD">
        <w:rPr>
          <w:lang w:val="fr-FR"/>
        </w:rPr>
        <w:tab/>
        <w:t>Lorsqu</w:t>
      </w:r>
      <w:r>
        <w:rPr>
          <w:lang w:val="fr-FR"/>
        </w:rPr>
        <w:t>’</w:t>
      </w:r>
      <w:r w:rsidRPr="00EA24BD">
        <w:rPr>
          <w:lang w:val="fr-FR"/>
        </w:rPr>
        <w:t>elles ont une chaleur de réaction supérieure à 300 J/g ; et</w:t>
      </w:r>
    </w:p>
    <w:p w:rsidR="00CB3476" w:rsidRPr="00EA24BD" w:rsidRDefault="00CB3476" w:rsidP="001E5ECD">
      <w:pPr>
        <w:pStyle w:val="SingleTxtG"/>
        <w:ind w:left="1701"/>
        <w:rPr>
          <w:b/>
          <w:u w:val="single"/>
          <w:lang w:val="fr-FR"/>
        </w:rPr>
      </w:pPr>
      <w:r w:rsidRPr="00EA24BD">
        <w:rPr>
          <w:b/>
          <w:lang w:val="fr-FR"/>
        </w:rPr>
        <w:t>c)</w:t>
      </w:r>
      <w:r w:rsidRPr="00EA24BD">
        <w:rPr>
          <w:b/>
          <w:lang w:val="fr-FR"/>
        </w:rPr>
        <w:tab/>
        <w:t>Lorsqu</w:t>
      </w:r>
      <w:r>
        <w:rPr>
          <w:b/>
          <w:lang w:val="fr-FR"/>
        </w:rPr>
        <w:t>’</w:t>
      </w:r>
      <w:r w:rsidRPr="00EA24BD">
        <w:rPr>
          <w:b/>
          <w:lang w:val="fr-FR"/>
        </w:rPr>
        <w:t>elles ne satisfont à aucun autre des critères d</w:t>
      </w:r>
      <w:r>
        <w:rPr>
          <w:b/>
          <w:lang w:val="fr-FR"/>
        </w:rPr>
        <w:t>’</w:t>
      </w:r>
      <w:r w:rsidRPr="00EA24BD">
        <w:rPr>
          <w:b/>
          <w:lang w:val="fr-FR"/>
        </w:rPr>
        <w:t>inclusion dans les classes 1 à 8.</w:t>
      </w:r>
    </w:p>
    <w:p w:rsidR="00CB3476" w:rsidRPr="00EA24BD" w:rsidRDefault="00CB3476" w:rsidP="001E5ECD">
      <w:pPr>
        <w:pStyle w:val="SingleTxtG"/>
        <w:ind w:left="1701"/>
        <w:rPr>
          <w:lang w:val="fr-FR"/>
        </w:rPr>
      </w:pPr>
      <w:r w:rsidRPr="00EA24BD">
        <w:rPr>
          <w:lang w:val="fr-FR"/>
        </w:rPr>
        <w:t>Un mélange remplissant les critères d</w:t>
      </w:r>
      <w:r>
        <w:rPr>
          <w:lang w:val="fr-FR"/>
        </w:rPr>
        <w:t>’</w:t>
      </w:r>
      <w:r w:rsidRPr="00EA24BD">
        <w:rPr>
          <w:lang w:val="fr-FR"/>
        </w:rPr>
        <w:t>une matière qui polymérise doit être classé en tant que matière qui polymérise de la division 4.1.</w:t>
      </w:r>
    </w:p>
    <w:p w:rsidR="00CB3476" w:rsidRPr="00EA24BD" w:rsidRDefault="00CB3476" w:rsidP="001E5ECD">
      <w:pPr>
        <w:pStyle w:val="SingleTxtG"/>
        <w:ind w:left="1701"/>
        <w:rPr>
          <w:lang w:val="fr-FR"/>
        </w:rPr>
      </w:pPr>
      <w:r w:rsidRPr="00EA24BD">
        <w:rPr>
          <w:lang w:val="fr-FR"/>
        </w:rPr>
        <w:t>2.4.2.5.2</w:t>
      </w:r>
      <w:r w:rsidRPr="00EA24BD">
        <w:rPr>
          <w:lang w:val="fr-FR"/>
        </w:rPr>
        <w:tab/>
        <w:t>Les matières qui polymérisent sont soumises à régulation de température pendant le transport si leur température de polymérisation auto</w:t>
      </w:r>
      <w:r w:rsidR="003B224B">
        <w:rPr>
          <w:lang w:val="fr-FR"/>
        </w:rPr>
        <w:noBreakHyphen/>
      </w:r>
      <w:r w:rsidRPr="00EA24BD">
        <w:rPr>
          <w:lang w:val="fr-FR"/>
        </w:rPr>
        <w:t>accélérée (TPAA) :</w:t>
      </w:r>
    </w:p>
    <w:p w:rsidR="00CB3476" w:rsidRPr="00EA24BD" w:rsidRDefault="00CB3476" w:rsidP="001E5ECD">
      <w:pPr>
        <w:pStyle w:val="SingleTxtG"/>
        <w:ind w:left="1701"/>
        <w:rPr>
          <w:lang w:val="fr-FR"/>
        </w:rPr>
      </w:pPr>
      <w:r w:rsidRPr="00EA24BD">
        <w:rPr>
          <w:lang w:val="fr-FR"/>
        </w:rPr>
        <w:t>a)</w:t>
      </w:r>
      <w:r w:rsidRPr="00EA24BD">
        <w:rPr>
          <w:lang w:val="fr-FR"/>
        </w:rPr>
        <w:tab/>
        <w:t>Ne dépasse pas 50 °C dans l</w:t>
      </w:r>
      <w:r>
        <w:rPr>
          <w:lang w:val="fr-FR"/>
        </w:rPr>
        <w:t>’</w:t>
      </w:r>
      <w:r w:rsidRPr="00EA24BD">
        <w:rPr>
          <w:lang w:val="fr-FR"/>
        </w:rPr>
        <w:t>emballage ou le GRV dans lequel la matière doit être transportée, dans le cas des matières remises au transport en emballage ou GRV</w:t>
      </w:r>
      <w:r>
        <w:rPr>
          <w:lang w:val="fr-FR"/>
        </w:rPr>
        <w:t> </w:t>
      </w:r>
      <w:r w:rsidRPr="00EA24BD">
        <w:rPr>
          <w:lang w:val="fr-FR"/>
        </w:rPr>
        <w:t xml:space="preserve">; </w:t>
      </w:r>
    </w:p>
    <w:p w:rsidR="00CB3476" w:rsidRPr="00EA24BD" w:rsidRDefault="00CB3476" w:rsidP="001E5ECD">
      <w:pPr>
        <w:pStyle w:val="SingleTxtG"/>
        <w:ind w:left="1701"/>
        <w:rPr>
          <w:lang w:val="fr-FR"/>
        </w:rPr>
      </w:pPr>
      <w:r w:rsidRPr="00EA24BD">
        <w:rPr>
          <w:lang w:val="fr-FR"/>
        </w:rPr>
        <w:t>b)</w:t>
      </w:r>
      <w:r w:rsidRPr="00EA24BD">
        <w:rPr>
          <w:lang w:val="fr-FR"/>
        </w:rPr>
        <w:tab/>
        <w:t>Ne dépasse pas 45 °C dans la citerne mobile dans laquelle la matière doit être transportée, dans le cas des matières remises au transport en citerne mobile.</w:t>
      </w:r>
    </w:p>
    <w:p w:rsidR="00CB3476" w:rsidRPr="00EA24BD" w:rsidRDefault="00CB3476" w:rsidP="00CB3476">
      <w:pPr>
        <w:pStyle w:val="SingleTxtG"/>
        <w:rPr>
          <w:lang w:val="fr-FR"/>
        </w:rPr>
      </w:pPr>
      <w:r w:rsidRPr="00EA24BD">
        <w:rPr>
          <w:lang w:val="fr-FR"/>
        </w:rPr>
        <w:t>2.</w:t>
      </w:r>
      <w:r w:rsidRPr="00EA24BD">
        <w:rPr>
          <w:lang w:val="fr-FR"/>
        </w:rPr>
        <w:tab/>
        <w:t>Propriétés d</w:t>
      </w:r>
      <w:r>
        <w:rPr>
          <w:lang w:val="fr-FR"/>
        </w:rPr>
        <w:t>’</w:t>
      </w:r>
      <w:r w:rsidRPr="00EA24BD">
        <w:rPr>
          <w:lang w:val="fr-FR"/>
        </w:rPr>
        <w:t>une matière spécifique :</w:t>
      </w:r>
    </w:p>
    <w:p w:rsidR="00CB3476" w:rsidRPr="00CB3476" w:rsidRDefault="00CB3476" w:rsidP="00CB3476">
      <w:pPr>
        <w:pStyle w:val="SingleTxtG"/>
        <w:ind w:firstLine="567"/>
      </w:pPr>
      <w:r w:rsidRPr="00CB3476">
        <w:t xml:space="preserve">TPAA : </w:t>
      </w:r>
      <w:r w:rsidRPr="00CB3476">
        <w:sym w:font="Symbol" w:char="F03C"/>
      </w:r>
      <w:r w:rsidRPr="00CB3476">
        <w:t>50 °C</w:t>
      </w:r>
    </w:p>
    <w:p w:rsidR="00CB3476" w:rsidRPr="00CB3476" w:rsidRDefault="00CB3476" w:rsidP="00CB3476">
      <w:pPr>
        <w:pStyle w:val="SingleTxtG"/>
        <w:ind w:firstLine="567"/>
      </w:pPr>
      <w:r w:rsidRPr="00CB3476">
        <w:t xml:space="preserve">Énergie de polymérisation : </w:t>
      </w:r>
      <w:r w:rsidRPr="00CB3476">
        <w:sym w:font="Symbol" w:char="F03E"/>
      </w:r>
      <w:r w:rsidRPr="00CB3476">
        <w:t>800 J/g</w:t>
      </w:r>
    </w:p>
    <w:p w:rsidR="00CB3476" w:rsidRPr="00CB3476" w:rsidRDefault="00CB3476" w:rsidP="00CB3476">
      <w:pPr>
        <w:pStyle w:val="SingleTxtG"/>
        <w:ind w:firstLine="567"/>
      </w:pPr>
      <w:r w:rsidRPr="00CB3476">
        <w:t xml:space="preserve">Point d’éclair : </w:t>
      </w:r>
      <w:r w:rsidRPr="00CB3476">
        <w:sym w:font="Symbol" w:char="F03C"/>
      </w:r>
      <w:r w:rsidRPr="00CB3476">
        <w:t>0 °C</w:t>
      </w:r>
    </w:p>
    <w:p w:rsidR="00CB3476" w:rsidRPr="00CB3476" w:rsidRDefault="00CB3476" w:rsidP="00CB3476">
      <w:pPr>
        <w:pStyle w:val="SingleTxtG"/>
        <w:ind w:firstLine="567"/>
      </w:pPr>
      <w:r w:rsidRPr="00CB3476">
        <w:t xml:space="preserve">Point de fusion : </w:t>
      </w:r>
      <w:r w:rsidRPr="00CB3476">
        <w:sym w:font="Symbol" w:char="F03C"/>
      </w:r>
      <w:r w:rsidRPr="00CB3476">
        <w:t>-30 °C</w:t>
      </w:r>
    </w:p>
    <w:p w:rsidR="00CB3476" w:rsidRPr="00CB3476" w:rsidRDefault="00CB3476" w:rsidP="00CB3476">
      <w:pPr>
        <w:pStyle w:val="SingleTxtG"/>
        <w:ind w:firstLine="567"/>
      </w:pPr>
      <w:r w:rsidRPr="00CB3476">
        <w:t xml:space="preserve">DL50 orale (rat) : </w:t>
      </w:r>
      <w:r w:rsidRPr="00CB3476">
        <w:sym w:font="Symbol" w:char="F03C"/>
      </w:r>
      <w:r w:rsidRPr="00CB3476">
        <w:t>100 mg/kg.</w:t>
      </w:r>
    </w:p>
    <w:p w:rsidR="00CB3476" w:rsidRPr="00CB3476" w:rsidRDefault="00CB3476" w:rsidP="00CB3476">
      <w:pPr>
        <w:pStyle w:val="SingleTxtG"/>
        <w:ind w:left="1701"/>
      </w:pPr>
      <w:r w:rsidRPr="00CB3476">
        <w:t>Selon le principe de l’autoclassement (l’ADR actuel mentionne la dix-huitième édition révisée des Recommandations relatives au transport des marchandises dangereuses) cette matière pourrait être affectée à la rubrique ONU 3239 LIQUIDE AUTORÉACTIF DU TYPE F, AVEC RÉGULATION DE TEMPÉRATURE.</w:t>
      </w:r>
    </w:p>
    <w:p w:rsidR="00CB3476" w:rsidRPr="00EA24BD" w:rsidRDefault="00CB3476" w:rsidP="00CB3476">
      <w:pPr>
        <w:pStyle w:val="SingleTxtG"/>
        <w:rPr>
          <w:lang w:val="fr-FR"/>
        </w:rPr>
      </w:pPr>
      <w:r w:rsidRPr="00EA24BD">
        <w:rPr>
          <w:lang w:val="fr-FR"/>
        </w:rPr>
        <w:t>3.</w:t>
      </w:r>
      <w:r w:rsidRPr="00EA24BD">
        <w:rPr>
          <w:lang w:val="fr-FR"/>
        </w:rPr>
        <w:tab/>
        <w:t>En se référant à la dix-neuvième édition révisée, conformément à l</w:t>
      </w:r>
      <w:r>
        <w:rPr>
          <w:lang w:val="fr-FR"/>
        </w:rPr>
        <w:t>’</w:t>
      </w:r>
      <w:r w:rsidRPr="00EA24BD">
        <w:rPr>
          <w:lang w:val="fr-FR"/>
        </w:rPr>
        <w:t>alinéa c) du 2.4.2.5.1, cette matière doit être classée comme matière inflammable, toxique, stabilisée (toutefois, on ne sait pas clairement si la dernière phrase</w:t>
      </w:r>
      <w:r>
        <w:rPr>
          <w:lang w:val="fr-FR"/>
        </w:rPr>
        <w:t>,</w:t>
      </w:r>
      <w:r w:rsidRPr="00EA24BD">
        <w:rPr>
          <w:lang w:val="fr-FR"/>
        </w:rPr>
        <w:t xml:space="preserve"> «</w:t>
      </w:r>
      <w:r w:rsidR="003B224B">
        <w:rPr>
          <w:lang w:val="fr-FR"/>
        </w:rPr>
        <w:t> </w:t>
      </w:r>
      <w:r w:rsidRPr="00EA24BD">
        <w:rPr>
          <w:lang w:val="fr-FR"/>
        </w:rPr>
        <w:t>un mélange remplissant les critères d</w:t>
      </w:r>
      <w:r>
        <w:rPr>
          <w:lang w:val="fr-FR"/>
        </w:rPr>
        <w:t>’</w:t>
      </w:r>
      <w:r w:rsidRPr="00EA24BD">
        <w:rPr>
          <w:lang w:val="fr-FR"/>
        </w:rPr>
        <w:t>une matière qui polymérise doit être classé en tant que matière qui polymérise de la division 4.1</w:t>
      </w:r>
      <w:r w:rsidR="003B224B">
        <w:rPr>
          <w:lang w:val="fr-FR"/>
        </w:rPr>
        <w:t> </w:t>
      </w:r>
      <w:r w:rsidRPr="00EA24BD">
        <w:rPr>
          <w:lang w:val="fr-FR"/>
        </w:rPr>
        <w:t>»</w:t>
      </w:r>
      <w:r>
        <w:rPr>
          <w:lang w:val="fr-FR"/>
        </w:rPr>
        <w:t>,</w:t>
      </w:r>
      <w:r w:rsidRPr="00EA24BD">
        <w:rPr>
          <w:lang w:val="fr-FR"/>
        </w:rPr>
        <w:t xml:space="preserve"> signifie qu</w:t>
      </w:r>
      <w:r>
        <w:rPr>
          <w:lang w:val="fr-FR"/>
        </w:rPr>
        <w:t>’</w:t>
      </w:r>
      <w:r w:rsidRPr="00EA24BD">
        <w:rPr>
          <w:lang w:val="fr-FR"/>
        </w:rPr>
        <w:t>une matière inflammable doit être classée comme matière qui polymérise s</w:t>
      </w:r>
      <w:r>
        <w:rPr>
          <w:lang w:val="fr-FR"/>
        </w:rPr>
        <w:t>’</w:t>
      </w:r>
      <w:r w:rsidRPr="00EA24BD">
        <w:rPr>
          <w:lang w:val="fr-FR"/>
        </w:rPr>
        <w:t>il s</w:t>
      </w:r>
      <w:r>
        <w:rPr>
          <w:lang w:val="fr-FR"/>
        </w:rPr>
        <w:t>’</w:t>
      </w:r>
      <w:r w:rsidRPr="00EA24BD">
        <w:rPr>
          <w:lang w:val="fr-FR"/>
        </w:rPr>
        <w:t>agit d</w:t>
      </w:r>
      <w:r>
        <w:rPr>
          <w:lang w:val="fr-FR"/>
        </w:rPr>
        <w:t>’</w:t>
      </w:r>
      <w:r w:rsidRPr="00EA24BD">
        <w:rPr>
          <w:lang w:val="fr-FR"/>
        </w:rPr>
        <w:t>un mélange).</w:t>
      </w:r>
    </w:p>
    <w:p w:rsidR="00CB3476" w:rsidRPr="00EA24BD" w:rsidRDefault="00CB3476" w:rsidP="00CB3476">
      <w:pPr>
        <w:pStyle w:val="SingleTxtG"/>
        <w:rPr>
          <w:lang w:val="fr-FR"/>
        </w:rPr>
      </w:pPr>
      <w:r w:rsidRPr="00EA24BD">
        <w:rPr>
          <w:lang w:val="fr-FR"/>
        </w:rPr>
        <w:t>Le tableau 2.0.3.3 classera la matière dans la Catégorie 3.</w:t>
      </w:r>
    </w:p>
    <w:p w:rsidR="00CB3476" w:rsidRPr="00EA24BD" w:rsidRDefault="00CB3476" w:rsidP="00CB3476">
      <w:pPr>
        <w:pStyle w:val="SingleTxtG"/>
        <w:rPr>
          <w:lang w:val="fr-FR"/>
        </w:rPr>
      </w:pPr>
      <w:r w:rsidRPr="00EA24BD">
        <w:rPr>
          <w:lang w:val="fr-FR"/>
        </w:rPr>
        <w:t>Le 2.3.5 (et non la Liste des marchandises dangereuses!) entraînera l</w:t>
      </w:r>
      <w:r>
        <w:rPr>
          <w:lang w:val="fr-FR"/>
        </w:rPr>
        <w:t>’application de</w:t>
      </w:r>
      <w:r w:rsidRPr="00EA24BD">
        <w:rPr>
          <w:lang w:val="fr-FR"/>
        </w:rPr>
        <w:t xml:space="preserve"> la disposition spéciale 386.</w:t>
      </w:r>
    </w:p>
    <w:p w:rsidR="00CB3476" w:rsidRPr="00EA24BD" w:rsidRDefault="00CB3476" w:rsidP="00CB3476">
      <w:pPr>
        <w:pStyle w:val="SingleTxtG"/>
        <w:rPr>
          <w:lang w:val="fr-FR"/>
        </w:rPr>
      </w:pPr>
      <w:r w:rsidRPr="00EA24BD">
        <w:rPr>
          <w:lang w:val="fr-FR"/>
        </w:rPr>
        <w:t>La disposition spéciale 386 entraînera l</w:t>
      </w:r>
      <w:r>
        <w:rPr>
          <w:lang w:val="fr-FR"/>
        </w:rPr>
        <w:t>’</w:t>
      </w:r>
      <w:r w:rsidRPr="00EA24BD">
        <w:rPr>
          <w:lang w:val="fr-FR"/>
        </w:rPr>
        <w:t>obligation d</w:t>
      </w:r>
      <w:r>
        <w:rPr>
          <w:lang w:val="fr-FR"/>
        </w:rPr>
        <w:t>’</w:t>
      </w:r>
      <w:r w:rsidRPr="00EA24BD">
        <w:rPr>
          <w:lang w:val="fr-FR"/>
        </w:rPr>
        <w:t>indiquer une température de régulation et une température critique quelque part dans le document de transport (5.4.1.5.4), mais les mots cl</w:t>
      </w:r>
      <w:r>
        <w:rPr>
          <w:lang w:val="fr-FR"/>
        </w:rPr>
        <w:t>ef</w:t>
      </w:r>
      <w:r w:rsidRPr="00EA24BD">
        <w:rPr>
          <w:lang w:val="fr-FR"/>
        </w:rPr>
        <w:t>s «</w:t>
      </w:r>
      <w:r>
        <w:rPr>
          <w:lang w:val="fr-FR"/>
        </w:rPr>
        <w:t> </w:t>
      </w:r>
      <w:r w:rsidRPr="00EA24BD">
        <w:rPr>
          <w:lang w:val="fr-FR"/>
        </w:rPr>
        <w:t>AVEC RÉGULATION DE TEMPÉRATURE</w:t>
      </w:r>
      <w:r>
        <w:rPr>
          <w:lang w:val="fr-FR"/>
        </w:rPr>
        <w:t> </w:t>
      </w:r>
      <w:r w:rsidRPr="00EA24BD">
        <w:rPr>
          <w:lang w:val="fr-FR"/>
        </w:rPr>
        <w:t>» dans la désignation officielle de transport, qui sont requis dans tous les autres cas, seront omis.</w:t>
      </w:r>
    </w:p>
    <w:p w:rsidR="00CB3476" w:rsidRPr="00EA24BD" w:rsidRDefault="00CB3476" w:rsidP="00336C58">
      <w:pPr>
        <w:pStyle w:val="HChG"/>
        <w:rPr>
          <w:lang w:val="fr-FR"/>
        </w:rPr>
      </w:pPr>
      <w:r w:rsidRPr="00EA24BD">
        <w:rPr>
          <w:lang w:val="fr-FR"/>
        </w:rPr>
        <w:lastRenderedPageBreak/>
        <w:tab/>
      </w:r>
      <w:r w:rsidRPr="00EA24BD">
        <w:rPr>
          <w:lang w:val="fr-FR"/>
        </w:rPr>
        <w:tab/>
      </w:r>
      <w:r w:rsidRPr="00CB3476">
        <w:t>Proposition</w:t>
      </w:r>
    </w:p>
    <w:p w:rsidR="00CB3476" w:rsidRPr="00EA24BD" w:rsidRDefault="00CB3476" w:rsidP="00336C58">
      <w:pPr>
        <w:pStyle w:val="SingleTxtG"/>
        <w:keepNext/>
        <w:keepLines/>
        <w:rPr>
          <w:lang w:val="fr-FR"/>
        </w:rPr>
      </w:pPr>
      <w:r w:rsidRPr="00EA24BD">
        <w:rPr>
          <w:lang w:val="fr-FR"/>
        </w:rPr>
        <w:t>Modifier le 3.1.2.6 comme suit (les ajouts par rapport au texte existant sont soulignés)</w:t>
      </w:r>
      <w:r>
        <w:rPr>
          <w:lang w:val="fr-FR"/>
        </w:rPr>
        <w:t> </w:t>
      </w:r>
      <w:r w:rsidRPr="00EA24BD">
        <w:rPr>
          <w:lang w:val="fr-FR"/>
        </w:rPr>
        <w:t>:</w:t>
      </w:r>
    </w:p>
    <w:p w:rsidR="00CB3476" w:rsidRPr="00EA24BD" w:rsidRDefault="00CB3476" w:rsidP="00336C58">
      <w:pPr>
        <w:pStyle w:val="SingleTxtG"/>
        <w:keepNext/>
        <w:keepLines/>
        <w:rPr>
          <w:lang w:val="fr-FR"/>
        </w:rPr>
      </w:pPr>
      <w:r w:rsidRPr="00EA24BD">
        <w:rPr>
          <w:lang w:val="fr-FR"/>
        </w:rPr>
        <w:t>3.1.2.6</w:t>
      </w:r>
      <w:r w:rsidRPr="00EA24BD">
        <w:rPr>
          <w:lang w:val="fr-FR"/>
        </w:rPr>
        <w:tab/>
      </w:r>
      <w:r>
        <w:rPr>
          <w:lang w:val="fr-FR"/>
        </w:rPr>
        <w:tab/>
      </w:r>
      <w:r w:rsidRPr="00EA24BD">
        <w:rPr>
          <w:lang w:val="fr-FR"/>
        </w:rPr>
        <w:t>Sauf pour les matières autoréactives et les peroxydes organiques et à moins qu</w:t>
      </w:r>
      <w:r>
        <w:rPr>
          <w:lang w:val="fr-FR"/>
        </w:rPr>
        <w:t>’</w:t>
      </w:r>
      <w:r w:rsidRPr="00EA24BD">
        <w:rPr>
          <w:lang w:val="fr-FR"/>
        </w:rPr>
        <w:t>elle ne figure déjà en majuscules dans le nom indiqué dans la Liste des marchandises dangereuses, la mention «</w:t>
      </w:r>
      <w:r>
        <w:rPr>
          <w:lang w:val="fr-FR"/>
        </w:rPr>
        <w:t> </w:t>
      </w:r>
      <w:r w:rsidRPr="00EA24BD">
        <w:rPr>
          <w:lang w:val="fr-FR"/>
        </w:rPr>
        <w:t>STABILISÉ</w:t>
      </w:r>
      <w:r>
        <w:rPr>
          <w:lang w:val="fr-FR"/>
        </w:rPr>
        <w:t> </w:t>
      </w:r>
      <w:r w:rsidRPr="00EA24BD">
        <w:rPr>
          <w:lang w:val="fr-FR"/>
        </w:rPr>
        <w:t>» doit être ajoutée comme partie intégrante de la désignation officielle de transport lorsqu</w:t>
      </w:r>
      <w:r>
        <w:rPr>
          <w:lang w:val="fr-FR"/>
        </w:rPr>
        <w:t>’</w:t>
      </w:r>
      <w:r w:rsidRPr="00EA24BD">
        <w:rPr>
          <w:lang w:val="fr-FR"/>
        </w:rPr>
        <w:t>il s</w:t>
      </w:r>
      <w:r>
        <w:rPr>
          <w:lang w:val="fr-FR"/>
        </w:rPr>
        <w:t>’</w:t>
      </w:r>
      <w:r w:rsidRPr="00EA24BD">
        <w:rPr>
          <w:lang w:val="fr-FR"/>
        </w:rPr>
        <w:t>agit d</w:t>
      </w:r>
      <w:r>
        <w:rPr>
          <w:lang w:val="fr-FR"/>
        </w:rPr>
        <w:t>’</w:t>
      </w:r>
      <w:r w:rsidRPr="00EA24BD">
        <w:rPr>
          <w:lang w:val="fr-FR"/>
        </w:rPr>
        <w:t>une matière qui, sans stabilisation, serait interdite au transport en vertu des dispositions du 1.1.2 parce qu</w:t>
      </w:r>
      <w:r>
        <w:rPr>
          <w:lang w:val="fr-FR"/>
        </w:rPr>
        <w:t>’</w:t>
      </w:r>
      <w:r w:rsidRPr="00EA24BD">
        <w:rPr>
          <w:lang w:val="fr-FR"/>
        </w:rPr>
        <w:t>elle est susceptible de réagir dangereusement dans les conditions normales de transport (par exemple «</w:t>
      </w:r>
      <w:r>
        <w:rPr>
          <w:lang w:val="fr-FR"/>
        </w:rPr>
        <w:t> </w:t>
      </w:r>
      <w:r w:rsidRPr="00EA24BD">
        <w:rPr>
          <w:lang w:val="fr-FR"/>
        </w:rPr>
        <w:t>LIQUIDE ORGANIQUE TOXIQUE, N.S.A., STABILISÉ</w:t>
      </w:r>
      <w:r>
        <w:rPr>
          <w:lang w:val="fr-FR"/>
        </w:rPr>
        <w:t> </w:t>
      </w:r>
      <w:r w:rsidRPr="00EA24BD">
        <w:rPr>
          <w:lang w:val="fr-FR"/>
        </w:rPr>
        <w:t>»).</w:t>
      </w:r>
    </w:p>
    <w:p w:rsidR="00CB3476" w:rsidRPr="00EA24BD" w:rsidRDefault="00CB3476" w:rsidP="001E5ECD">
      <w:pPr>
        <w:pStyle w:val="SingleTxtG"/>
        <w:rPr>
          <w:lang w:val="fr-FR"/>
        </w:rPr>
      </w:pPr>
      <w:r w:rsidRPr="00EA24BD">
        <w:rPr>
          <w:lang w:val="fr-FR"/>
        </w:rPr>
        <w:t>Lorsque l</w:t>
      </w:r>
      <w:r>
        <w:rPr>
          <w:lang w:val="fr-FR"/>
        </w:rPr>
        <w:t>’</w:t>
      </w:r>
      <w:r w:rsidRPr="00EA24BD">
        <w:rPr>
          <w:lang w:val="fr-FR"/>
        </w:rPr>
        <w:t>on a recours à la régulation de température pour stabiliser une telle matière afin d</w:t>
      </w:r>
      <w:r>
        <w:rPr>
          <w:lang w:val="fr-FR"/>
        </w:rPr>
        <w:t>’</w:t>
      </w:r>
      <w:r w:rsidRPr="00EA24BD">
        <w:rPr>
          <w:lang w:val="fr-FR"/>
        </w:rPr>
        <w:t xml:space="preserve">empêcher </w:t>
      </w:r>
      <w:r w:rsidRPr="001E5ECD">
        <w:t>l’apparition</w:t>
      </w:r>
      <w:r w:rsidRPr="00EA24BD">
        <w:rPr>
          <w:lang w:val="fr-FR"/>
        </w:rPr>
        <w:t xml:space="preserve"> de toute surpression dangereuse ou l</w:t>
      </w:r>
      <w:r>
        <w:rPr>
          <w:lang w:val="fr-FR"/>
        </w:rPr>
        <w:t>’</w:t>
      </w:r>
      <w:r w:rsidRPr="00EA24BD">
        <w:rPr>
          <w:lang w:val="fr-FR"/>
        </w:rPr>
        <w:t>évolution d</w:t>
      </w:r>
      <w:r>
        <w:rPr>
          <w:lang w:val="fr-FR"/>
        </w:rPr>
        <w:t>’</w:t>
      </w:r>
      <w:r w:rsidRPr="00EA24BD">
        <w:rPr>
          <w:lang w:val="fr-FR"/>
        </w:rPr>
        <w:t>une température excessive, ou lorsque l</w:t>
      </w:r>
      <w:r>
        <w:rPr>
          <w:lang w:val="fr-FR"/>
        </w:rPr>
        <w:t>’</w:t>
      </w:r>
      <w:r w:rsidRPr="00EA24BD">
        <w:rPr>
          <w:lang w:val="fr-FR"/>
        </w:rPr>
        <w:t>on a recours à la stabilisation chimique en combinaison avec la régulation de température</w:t>
      </w:r>
      <w:r>
        <w:rPr>
          <w:lang w:val="fr-FR"/>
        </w:rPr>
        <w:t> </w:t>
      </w:r>
      <w:r w:rsidRPr="00EA24BD">
        <w:rPr>
          <w:lang w:val="fr-FR"/>
        </w:rPr>
        <w:t>:</w:t>
      </w:r>
    </w:p>
    <w:p w:rsidR="00CB3476" w:rsidRPr="00EA24BD" w:rsidRDefault="00CB3476" w:rsidP="003B224B">
      <w:pPr>
        <w:pStyle w:val="SingleTxtG"/>
        <w:rPr>
          <w:lang w:val="fr-FR"/>
        </w:rPr>
      </w:pPr>
      <w:r w:rsidRPr="00EA24BD">
        <w:rPr>
          <w:lang w:val="fr-FR"/>
        </w:rPr>
        <w:t>a)</w:t>
      </w:r>
      <w:r w:rsidRPr="00EA24BD">
        <w:rPr>
          <w:lang w:val="fr-FR"/>
        </w:rPr>
        <w:tab/>
        <w:t xml:space="preserve">Pour les liquides et les solides lorsque la TPAA (mesurée avec ou sans inhibiteur, lorsque la stabilisation </w:t>
      </w:r>
      <w:r w:rsidRPr="001E5ECD">
        <w:t>chimique</w:t>
      </w:r>
      <w:r w:rsidRPr="00EA24BD">
        <w:rPr>
          <w:lang w:val="fr-FR"/>
        </w:rPr>
        <w:t xml:space="preserve"> est appliquée) est inférieure ou égale à celle prescrite au 2.4.2.5.2, la disposition spéciale 386 du chapitre 3.3 et les dispositions du 7.1.6 s</w:t>
      </w:r>
      <w:r>
        <w:rPr>
          <w:lang w:val="fr-FR"/>
        </w:rPr>
        <w:t>’</w:t>
      </w:r>
      <w:r w:rsidRPr="00EA24BD">
        <w:rPr>
          <w:lang w:val="fr-FR"/>
        </w:rPr>
        <w:t>appliquent</w:t>
      </w:r>
      <w:r w:rsidR="00336C58">
        <w:rPr>
          <w:lang w:val="fr-FR"/>
        </w:rPr>
        <w:t> </w:t>
      </w:r>
      <w:r w:rsidRPr="00EA24BD">
        <w:rPr>
          <w:lang w:val="fr-FR"/>
        </w:rPr>
        <w:t>;</w:t>
      </w:r>
    </w:p>
    <w:p w:rsidR="00CB3476" w:rsidRPr="00EA24BD" w:rsidRDefault="00CB3476" w:rsidP="003B224B">
      <w:pPr>
        <w:pStyle w:val="SingleTxtG"/>
        <w:rPr>
          <w:lang w:val="fr-FR"/>
        </w:rPr>
      </w:pPr>
      <w:r w:rsidRPr="003B224B">
        <w:rPr>
          <w:u w:val="single"/>
          <w:lang w:val="fr-FR"/>
        </w:rPr>
        <w:t>b)</w:t>
      </w:r>
      <w:r w:rsidRPr="003B224B">
        <w:rPr>
          <w:u w:val="single"/>
          <w:lang w:val="fr-FR"/>
        </w:rPr>
        <w:tab/>
        <w:t xml:space="preserve">À moins qu’ils ne </w:t>
      </w:r>
      <w:r w:rsidRPr="003B224B">
        <w:rPr>
          <w:u w:val="single"/>
        </w:rPr>
        <w:t>figurent</w:t>
      </w:r>
      <w:r w:rsidRPr="003B224B">
        <w:rPr>
          <w:u w:val="single"/>
          <w:lang w:val="fr-FR"/>
        </w:rPr>
        <w:t xml:space="preserve"> déjà, en lettres majuscules, dans le nom indiqué dans la Liste des marchandises dangereuses, les mots «</w:t>
      </w:r>
      <w:r w:rsidR="001E5ECD" w:rsidRPr="003B224B">
        <w:rPr>
          <w:u w:val="single"/>
          <w:lang w:val="fr-FR"/>
        </w:rPr>
        <w:t> </w:t>
      </w:r>
      <w:r w:rsidRPr="003B224B">
        <w:rPr>
          <w:u w:val="single"/>
          <w:lang w:val="fr-FR"/>
        </w:rPr>
        <w:t>AVEC RÉGULATION DE TEMPÉRATURE</w:t>
      </w:r>
      <w:r w:rsidR="001E5ECD" w:rsidRPr="003B224B">
        <w:rPr>
          <w:u w:val="single"/>
          <w:lang w:val="fr-FR"/>
        </w:rPr>
        <w:t> </w:t>
      </w:r>
      <w:r w:rsidRPr="003B224B">
        <w:rPr>
          <w:u w:val="single"/>
          <w:lang w:val="fr-FR"/>
        </w:rPr>
        <w:t>» doivent être ajoutés dans la désignation officielle de transport ;</w:t>
      </w:r>
    </w:p>
    <w:p w:rsidR="00CB3476" w:rsidRPr="00EA24BD" w:rsidRDefault="00CB3476" w:rsidP="003B224B">
      <w:pPr>
        <w:pStyle w:val="SingleTxtG"/>
        <w:rPr>
          <w:lang w:val="fr-FR"/>
        </w:rPr>
      </w:pPr>
      <w:r w:rsidRPr="00EA24BD">
        <w:rPr>
          <w:lang w:val="fr-FR"/>
        </w:rPr>
        <w:t>c)</w:t>
      </w:r>
      <w:r w:rsidRPr="00EA24BD">
        <w:rPr>
          <w:lang w:val="fr-FR"/>
        </w:rPr>
        <w:tab/>
        <w:t>Pour les gaz</w:t>
      </w:r>
      <w:r w:rsidR="001E5ECD">
        <w:rPr>
          <w:lang w:val="fr-FR"/>
        </w:rPr>
        <w:t> </w:t>
      </w:r>
      <w:r w:rsidRPr="00EA24BD">
        <w:rPr>
          <w:lang w:val="fr-FR"/>
        </w:rPr>
        <w:t>: les conditions de transport doivent être agréé</w:t>
      </w:r>
      <w:r w:rsidR="00364F3B">
        <w:rPr>
          <w:lang w:val="fr-FR"/>
        </w:rPr>
        <w:t>e</w:t>
      </w:r>
      <w:r w:rsidRPr="00EA24BD">
        <w:rPr>
          <w:lang w:val="fr-FR"/>
        </w:rPr>
        <w:t>s par l</w:t>
      </w:r>
      <w:r>
        <w:rPr>
          <w:lang w:val="fr-FR"/>
        </w:rPr>
        <w:t xml:space="preserve">’autorité </w:t>
      </w:r>
      <w:r w:rsidRPr="001E5ECD">
        <w:t>compétente</w:t>
      </w:r>
      <w:r>
        <w:rPr>
          <w:lang w:val="fr-FR"/>
        </w:rPr>
        <w:t>.</w:t>
      </w:r>
    </w:p>
    <w:p w:rsidR="00CB3476" w:rsidRPr="00CB3476" w:rsidRDefault="00CB3476" w:rsidP="00CB3476">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CB347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22" w:rsidRDefault="00EC6522" w:rsidP="00F95C08">
      <w:pPr>
        <w:spacing w:line="240" w:lineRule="auto"/>
      </w:pPr>
    </w:p>
  </w:endnote>
  <w:endnote w:type="continuationSeparator" w:id="0">
    <w:p w:rsidR="00EC6522" w:rsidRPr="00AC3823" w:rsidRDefault="00EC6522" w:rsidP="00AC3823">
      <w:pPr>
        <w:pStyle w:val="Footer"/>
      </w:pPr>
    </w:p>
  </w:endnote>
  <w:endnote w:type="continuationNotice" w:id="1">
    <w:p w:rsidR="00EC6522" w:rsidRDefault="00EC65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76" w:rsidRPr="00CB3476" w:rsidRDefault="00CB3476" w:rsidP="00CB3476">
    <w:pPr>
      <w:pStyle w:val="Footer"/>
      <w:tabs>
        <w:tab w:val="right" w:pos="9638"/>
      </w:tabs>
    </w:pPr>
    <w:r w:rsidRPr="00CB3476">
      <w:rPr>
        <w:b/>
        <w:sz w:val="18"/>
      </w:rPr>
      <w:fldChar w:fldCharType="begin"/>
    </w:r>
    <w:r w:rsidRPr="00CB3476">
      <w:rPr>
        <w:b/>
        <w:sz w:val="18"/>
      </w:rPr>
      <w:instrText xml:space="preserve"> PAGE  \* MERGEFORMAT </w:instrText>
    </w:r>
    <w:r w:rsidRPr="00CB3476">
      <w:rPr>
        <w:b/>
        <w:sz w:val="18"/>
      </w:rPr>
      <w:fldChar w:fldCharType="separate"/>
    </w:r>
    <w:r w:rsidR="0059403E">
      <w:rPr>
        <w:b/>
        <w:noProof/>
        <w:sz w:val="18"/>
      </w:rPr>
      <w:t>2</w:t>
    </w:r>
    <w:r w:rsidRPr="00CB3476">
      <w:rPr>
        <w:b/>
        <w:sz w:val="18"/>
      </w:rPr>
      <w:fldChar w:fldCharType="end"/>
    </w:r>
    <w:r>
      <w:rPr>
        <w:b/>
        <w:sz w:val="18"/>
      </w:rPr>
      <w:tab/>
    </w:r>
    <w:r>
      <w:t>GE.16-15388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76" w:rsidRPr="00CB3476" w:rsidRDefault="00CB3476" w:rsidP="00CB3476">
    <w:pPr>
      <w:pStyle w:val="Footer"/>
      <w:tabs>
        <w:tab w:val="right" w:pos="9638"/>
      </w:tabs>
      <w:rPr>
        <w:b/>
        <w:sz w:val="18"/>
      </w:rPr>
    </w:pPr>
    <w:r>
      <w:t>GE.16-15388</w:t>
    </w:r>
    <w:r>
      <w:tab/>
    </w:r>
    <w:r w:rsidRPr="00CB3476">
      <w:rPr>
        <w:b/>
        <w:sz w:val="18"/>
      </w:rPr>
      <w:fldChar w:fldCharType="begin"/>
    </w:r>
    <w:r w:rsidRPr="00CB3476">
      <w:rPr>
        <w:b/>
        <w:sz w:val="18"/>
      </w:rPr>
      <w:instrText xml:space="preserve"> PAGE  \* MERGEFORMAT </w:instrText>
    </w:r>
    <w:r w:rsidRPr="00CB3476">
      <w:rPr>
        <w:b/>
        <w:sz w:val="18"/>
      </w:rPr>
      <w:fldChar w:fldCharType="separate"/>
    </w:r>
    <w:r w:rsidR="0059403E">
      <w:rPr>
        <w:b/>
        <w:noProof/>
        <w:sz w:val="18"/>
      </w:rPr>
      <w:t>3</w:t>
    </w:r>
    <w:r w:rsidRPr="00CB34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CB3476" w:rsidRDefault="00CB3476" w:rsidP="00CB3476">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D845B47" wp14:editId="39AE9DB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16-15388  (F)    121016    131016</w:t>
    </w:r>
    <w:r>
      <w:rPr>
        <w:sz w:val="20"/>
      </w:rPr>
      <w:br/>
    </w:r>
    <w:r w:rsidRPr="00CB3476">
      <w:rPr>
        <w:rFonts w:ascii="C39T30Lfz" w:hAnsi="C39T30Lfz"/>
        <w:sz w:val="56"/>
      </w:rPr>
      <w:t></w:t>
    </w:r>
    <w:r w:rsidRPr="00CB3476">
      <w:rPr>
        <w:rFonts w:ascii="C39T30Lfz" w:hAnsi="C39T30Lfz"/>
        <w:sz w:val="56"/>
      </w:rPr>
      <w:t></w:t>
    </w:r>
    <w:r w:rsidRPr="00CB3476">
      <w:rPr>
        <w:rFonts w:ascii="C39T30Lfz" w:hAnsi="C39T30Lfz"/>
        <w:sz w:val="56"/>
      </w:rPr>
      <w:t></w:t>
    </w:r>
    <w:r w:rsidRPr="00CB3476">
      <w:rPr>
        <w:rFonts w:ascii="C39T30Lfz" w:hAnsi="C39T30Lfz"/>
        <w:sz w:val="56"/>
      </w:rPr>
      <w:t></w:t>
    </w:r>
    <w:r w:rsidRPr="00CB3476">
      <w:rPr>
        <w:rFonts w:ascii="C39T30Lfz" w:hAnsi="C39T30Lfz"/>
        <w:sz w:val="56"/>
      </w:rPr>
      <w:t></w:t>
    </w:r>
    <w:r w:rsidRPr="00CB3476">
      <w:rPr>
        <w:rFonts w:ascii="C39T30Lfz" w:hAnsi="C39T30Lfz"/>
        <w:sz w:val="56"/>
      </w:rPr>
      <w:t></w:t>
    </w:r>
    <w:r w:rsidRPr="00CB3476">
      <w:rPr>
        <w:rFonts w:ascii="C39T30Lfz" w:hAnsi="C39T30Lfz"/>
        <w:sz w:val="56"/>
      </w:rPr>
      <w:t></w:t>
    </w:r>
    <w:r w:rsidRPr="00CB3476">
      <w:rPr>
        <w:rFonts w:ascii="C39T30Lfz" w:hAnsi="C39T30Lfz"/>
        <w:sz w:val="56"/>
      </w:rPr>
      <w:t></w:t>
    </w:r>
    <w:r w:rsidRPr="00CB347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22" w:rsidRPr="00AC3823" w:rsidRDefault="00EC6522" w:rsidP="00AC3823">
      <w:pPr>
        <w:pStyle w:val="Footer"/>
        <w:tabs>
          <w:tab w:val="right" w:pos="2155"/>
        </w:tabs>
        <w:spacing w:after="80" w:line="240" w:lineRule="atLeast"/>
        <w:ind w:left="680"/>
        <w:rPr>
          <w:u w:val="single"/>
        </w:rPr>
      </w:pPr>
      <w:r>
        <w:rPr>
          <w:u w:val="single"/>
        </w:rPr>
        <w:tab/>
      </w:r>
    </w:p>
  </w:footnote>
  <w:footnote w:type="continuationSeparator" w:id="0">
    <w:p w:rsidR="00EC6522" w:rsidRPr="00AC3823" w:rsidRDefault="00EC6522" w:rsidP="00AC3823">
      <w:pPr>
        <w:pStyle w:val="Footer"/>
        <w:tabs>
          <w:tab w:val="right" w:pos="2155"/>
        </w:tabs>
        <w:spacing w:after="80" w:line="240" w:lineRule="atLeast"/>
        <w:ind w:left="680"/>
        <w:rPr>
          <w:u w:val="single"/>
        </w:rPr>
      </w:pPr>
      <w:r>
        <w:rPr>
          <w:u w:val="single"/>
        </w:rPr>
        <w:tab/>
      </w:r>
    </w:p>
  </w:footnote>
  <w:footnote w:type="continuationNotice" w:id="1">
    <w:p w:rsidR="00EC6522" w:rsidRPr="00AC3823" w:rsidRDefault="00EC6522">
      <w:pPr>
        <w:spacing w:line="240" w:lineRule="auto"/>
        <w:rPr>
          <w:sz w:val="2"/>
          <w:szCs w:val="2"/>
        </w:rPr>
      </w:pPr>
    </w:p>
  </w:footnote>
  <w:footnote w:id="2">
    <w:p w:rsidR="00CB3476" w:rsidRDefault="00CB3476" w:rsidP="00CB3476">
      <w:pPr>
        <w:pStyle w:val="FootnoteText"/>
      </w:pPr>
      <w:r>
        <w:tab/>
      </w:r>
      <w:r>
        <w:rPr>
          <w:rStyle w:val="FootnoteReference"/>
        </w:rPr>
        <w:footnoteRef/>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76" w:rsidRPr="00CB3476" w:rsidRDefault="00CB3476">
    <w:pPr>
      <w:pStyle w:val="Header"/>
    </w:pPr>
    <w:r>
      <w:t>ST/SG/AC.10/C.3/2016/72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76" w:rsidRPr="00CB3476" w:rsidRDefault="00CB3476" w:rsidP="00CB3476">
    <w:pPr>
      <w:pStyle w:val="Header"/>
      <w:jc w:val="right"/>
    </w:pPr>
    <w:r>
      <w:t>ST/SG/AC.10/C.3/2016/72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22"/>
    <w:rsid w:val="00017F94"/>
    <w:rsid w:val="00023842"/>
    <w:rsid w:val="000305D3"/>
    <w:rsid w:val="000334F9"/>
    <w:rsid w:val="0007796D"/>
    <w:rsid w:val="000B7790"/>
    <w:rsid w:val="00111F2F"/>
    <w:rsid w:val="00132EA9"/>
    <w:rsid w:val="0014365E"/>
    <w:rsid w:val="00176178"/>
    <w:rsid w:val="001E5ECD"/>
    <w:rsid w:val="001F525A"/>
    <w:rsid w:val="00223272"/>
    <w:rsid w:val="0024779E"/>
    <w:rsid w:val="00283190"/>
    <w:rsid w:val="002832AC"/>
    <w:rsid w:val="002D7C93"/>
    <w:rsid w:val="00336C58"/>
    <w:rsid w:val="00364F3B"/>
    <w:rsid w:val="003B224B"/>
    <w:rsid w:val="00441C3B"/>
    <w:rsid w:val="00446FE5"/>
    <w:rsid w:val="00452396"/>
    <w:rsid w:val="004E468C"/>
    <w:rsid w:val="005505B7"/>
    <w:rsid w:val="00573BE5"/>
    <w:rsid w:val="00586ED3"/>
    <w:rsid w:val="0059403E"/>
    <w:rsid w:val="00596AA9"/>
    <w:rsid w:val="0068456F"/>
    <w:rsid w:val="0071601D"/>
    <w:rsid w:val="007A62E6"/>
    <w:rsid w:val="0080684C"/>
    <w:rsid w:val="00871C75"/>
    <w:rsid w:val="008776DC"/>
    <w:rsid w:val="009705C8"/>
    <w:rsid w:val="009C1CF4"/>
    <w:rsid w:val="00A30353"/>
    <w:rsid w:val="00AC3823"/>
    <w:rsid w:val="00AE323C"/>
    <w:rsid w:val="00B00181"/>
    <w:rsid w:val="00B00B0D"/>
    <w:rsid w:val="00B765F7"/>
    <w:rsid w:val="00BA0CA9"/>
    <w:rsid w:val="00C02897"/>
    <w:rsid w:val="00CB3476"/>
    <w:rsid w:val="00D3439C"/>
    <w:rsid w:val="00DB1831"/>
    <w:rsid w:val="00DD3BFD"/>
    <w:rsid w:val="00DF6678"/>
    <w:rsid w:val="00EC6522"/>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CB3476"/>
    <w:rPr>
      <w:rFonts w:ascii="Times New Roman" w:hAnsi="Times New Roman" w:cs="Times New Roman"/>
      <w:b/>
      <w:sz w:val="28"/>
      <w:szCs w:val="20"/>
      <w:lang w:eastAsia="en-US"/>
    </w:rPr>
  </w:style>
  <w:style w:type="character" w:customStyle="1" w:styleId="SingleTxtGCar">
    <w:name w:val="_ Single Txt_G Car"/>
    <w:link w:val="SingleTxtG"/>
    <w:locked/>
    <w:rsid w:val="00CB3476"/>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CB3476"/>
    <w:rPr>
      <w:rFonts w:ascii="Times New Roman" w:hAnsi="Times New Roman" w:cs="Times New Roman"/>
      <w:b/>
      <w:sz w:val="28"/>
      <w:szCs w:val="20"/>
      <w:lang w:eastAsia="en-US"/>
    </w:rPr>
  </w:style>
  <w:style w:type="character" w:customStyle="1" w:styleId="SingleTxtGCar">
    <w:name w:val="_ Single Txt_G Car"/>
    <w:link w:val="SingleTxtG"/>
    <w:locked/>
    <w:rsid w:val="00CB3476"/>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ST/SG/AC.10/C.3/2016/72</vt:lpstr>
      <vt:lpstr>ST/SG/AC.10/C.3/2016/72</vt:lpstr>
    </vt:vector>
  </TitlesOfParts>
  <Company>DCM</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ST/SG/AC.10/C.3/2016/72</dc:title>
  <dc:subject>final</dc:subject>
  <dc:creator>Beaunee</dc:creator>
  <cp:lastModifiedBy>Laurence Berthet</cp:lastModifiedBy>
  <cp:revision>2</cp:revision>
  <cp:lastPrinted>2016-10-13T14:10:00Z</cp:lastPrinted>
  <dcterms:created xsi:type="dcterms:W3CDTF">2016-10-13T14:10:00Z</dcterms:created>
  <dcterms:modified xsi:type="dcterms:W3CDTF">2016-10-13T14:10:00Z</dcterms:modified>
</cp:coreProperties>
</file>