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0305D3">
        <w:trPr>
          <w:trHeight w:hRule="exact" w:val="851"/>
        </w:trPr>
        <w:tc>
          <w:tcPr>
            <w:tcW w:w="1276" w:type="dxa"/>
            <w:tcBorders>
              <w:bottom w:val="single" w:sz="4" w:space="0" w:color="auto"/>
            </w:tcBorders>
          </w:tcPr>
          <w:p w:rsidR="00132EA9" w:rsidRPr="00DB58B5" w:rsidRDefault="00132EA9" w:rsidP="001C36CB">
            <w:bookmarkStart w:id="0" w:name="_GoBack"/>
            <w:bookmarkEnd w:id="0"/>
          </w:p>
        </w:tc>
        <w:tc>
          <w:tcPr>
            <w:tcW w:w="2268" w:type="dxa"/>
            <w:tcBorders>
              <w:bottom w:val="single" w:sz="4" w:space="0" w:color="auto"/>
            </w:tcBorders>
            <w:vAlign w:val="bottom"/>
          </w:tcPr>
          <w:p w:rsidR="00132EA9" w:rsidRPr="00DB58B5" w:rsidRDefault="00132EA9" w:rsidP="009C312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1C36CB" w:rsidP="001C36CB">
            <w:pPr>
              <w:jc w:val="right"/>
            </w:pPr>
            <w:r w:rsidRPr="001C36CB">
              <w:rPr>
                <w:sz w:val="40"/>
              </w:rPr>
              <w:t>ST</w:t>
            </w:r>
            <w:r>
              <w:t>/SG/AC.10/C.3/2016/70</w:t>
            </w:r>
          </w:p>
        </w:tc>
      </w:tr>
      <w:tr w:rsidR="00132EA9" w:rsidRPr="00DB58B5" w:rsidTr="009C3129">
        <w:trPr>
          <w:trHeight w:hRule="exact" w:val="2835"/>
        </w:trPr>
        <w:tc>
          <w:tcPr>
            <w:tcW w:w="1276" w:type="dxa"/>
            <w:tcBorders>
              <w:top w:val="single" w:sz="4" w:space="0" w:color="auto"/>
              <w:bottom w:val="single" w:sz="12" w:space="0" w:color="auto"/>
            </w:tcBorders>
          </w:tcPr>
          <w:p w:rsidR="00132EA9" w:rsidRPr="00DB58B5" w:rsidRDefault="00132EA9" w:rsidP="009C3129">
            <w:pPr>
              <w:spacing w:before="120"/>
              <w:jc w:val="center"/>
            </w:pPr>
            <w:r>
              <w:rPr>
                <w:noProof/>
                <w:lang w:val="en-GB" w:eastAsia="en-GB"/>
              </w:rPr>
              <w:drawing>
                <wp:inline distT="0" distB="0" distL="0" distR="0" wp14:anchorId="2E76D5A0" wp14:editId="1FEE2CF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9C3129">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1C36CB" w:rsidP="009C3129">
            <w:pPr>
              <w:spacing w:before="240"/>
            </w:pPr>
            <w:proofErr w:type="spellStart"/>
            <w:r>
              <w:t>Distr</w:t>
            </w:r>
            <w:proofErr w:type="spellEnd"/>
            <w:r>
              <w:t>. générale</w:t>
            </w:r>
          </w:p>
          <w:p w:rsidR="001C36CB" w:rsidRDefault="001C36CB" w:rsidP="001C36CB">
            <w:pPr>
              <w:spacing w:line="240" w:lineRule="exact"/>
            </w:pPr>
            <w:r>
              <w:t>7 septembre 2016</w:t>
            </w:r>
          </w:p>
          <w:p w:rsidR="001C36CB" w:rsidRDefault="001C36CB" w:rsidP="001C36CB">
            <w:pPr>
              <w:spacing w:line="240" w:lineRule="exact"/>
            </w:pPr>
            <w:r>
              <w:t>Français</w:t>
            </w:r>
          </w:p>
          <w:p w:rsidR="001C36CB" w:rsidRPr="00DB58B5" w:rsidRDefault="001C36CB" w:rsidP="001C36CB">
            <w:pPr>
              <w:spacing w:line="240" w:lineRule="exact"/>
            </w:pPr>
            <w:r>
              <w:t>Original : anglais</w:t>
            </w:r>
          </w:p>
        </w:tc>
      </w:tr>
    </w:tbl>
    <w:p w:rsidR="001C36CB" w:rsidRPr="00CA0680" w:rsidRDefault="001C36CB"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rsidR="001C36CB" w:rsidRPr="00CA0680" w:rsidRDefault="001C36CB" w:rsidP="000305D3">
      <w:pPr>
        <w:spacing w:before="120"/>
        <w:rPr>
          <w:b/>
        </w:rPr>
      </w:pPr>
      <w:r w:rsidRPr="00CA0680">
        <w:rPr>
          <w:b/>
        </w:rPr>
        <w:t>Sous</w:t>
      </w:r>
      <w:r>
        <w:rPr>
          <w:b/>
        </w:rPr>
        <w:t>-</w:t>
      </w:r>
      <w:r w:rsidRPr="00CA0680">
        <w:rPr>
          <w:b/>
        </w:rPr>
        <w:t>Comité d’experts du transport des marchandises dangereuses</w:t>
      </w:r>
    </w:p>
    <w:p w:rsidR="001C36CB" w:rsidRDefault="001C36CB" w:rsidP="000305D3">
      <w:pPr>
        <w:spacing w:before="120"/>
        <w:rPr>
          <w:b/>
        </w:rPr>
      </w:pPr>
      <w:r>
        <w:rPr>
          <w:b/>
        </w:rPr>
        <w:t xml:space="preserve">Cinquantième </w:t>
      </w:r>
      <w:r w:rsidRPr="00CA0680">
        <w:rPr>
          <w:b/>
        </w:rPr>
        <w:t>session</w:t>
      </w:r>
    </w:p>
    <w:p w:rsidR="001C36CB" w:rsidRDefault="001C36CB" w:rsidP="000305D3">
      <w:r>
        <w:t xml:space="preserve">Genève, </w:t>
      </w:r>
      <w:r>
        <w:rPr>
          <w:lang w:val="fr-FR"/>
        </w:rPr>
        <w:t>28 novembre-6 décembre 2016</w:t>
      </w:r>
    </w:p>
    <w:p w:rsidR="001C36CB" w:rsidRDefault="001C36CB" w:rsidP="000305D3">
      <w:r>
        <w:t>Point 2 f) de l’ordre du jour provisoire</w:t>
      </w:r>
    </w:p>
    <w:p w:rsidR="001C36CB" w:rsidRDefault="001C36CB" w:rsidP="00AC3823">
      <w:r>
        <w:rPr>
          <w:b/>
          <w:lang w:val="fr-FR"/>
        </w:rPr>
        <w:t>Recommandations du Sous-Comité formulées</w:t>
      </w:r>
      <w:r>
        <w:rPr>
          <w:b/>
          <w:lang w:val="fr-FR"/>
        </w:rPr>
        <w:br/>
        <w:t xml:space="preserve">à ses quarante-septième, quarante-huitième </w:t>
      </w:r>
      <w:r>
        <w:rPr>
          <w:b/>
          <w:lang w:val="fr-FR"/>
        </w:rPr>
        <w:br/>
        <w:t xml:space="preserve">et quarante-neuvième sessions et questions </w:t>
      </w:r>
      <w:r>
        <w:rPr>
          <w:b/>
          <w:lang w:val="fr-FR"/>
        </w:rPr>
        <w:br/>
        <w:t>en suspens</w:t>
      </w:r>
      <w:r w:rsidR="00F37893">
        <w:rPr>
          <w:b/>
          <w:lang w:val="fr-FR"/>
        </w:rPr>
        <w:t> </w:t>
      </w:r>
      <w:r>
        <w:rPr>
          <w:b/>
          <w:lang w:val="fr-FR"/>
        </w:rPr>
        <w:t>: questions diverses en suspens</w:t>
      </w:r>
    </w:p>
    <w:p w:rsidR="001C36CB" w:rsidRPr="001C36CB" w:rsidRDefault="001C36CB" w:rsidP="001C36CB">
      <w:pPr>
        <w:pStyle w:val="HChG"/>
      </w:pPr>
      <w:r w:rsidRPr="001C36CB">
        <w:rPr>
          <w:lang w:val="fr-FR"/>
        </w:rPr>
        <w:tab/>
      </w:r>
      <w:r w:rsidRPr="001C36CB">
        <w:rPr>
          <w:lang w:val="fr-FR"/>
        </w:rPr>
        <w:tab/>
        <w:t xml:space="preserve">Matières susceptibles de former des polymères </w:t>
      </w:r>
      <w:r w:rsidR="00BA3E86">
        <w:rPr>
          <w:lang w:val="fr-FR"/>
        </w:rPr>
        <w:t>−</w:t>
      </w:r>
      <w:r w:rsidRPr="001C36CB">
        <w:rPr>
          <w:lang w:val="fr-FR"/>
        </w:rPr>
        <w:t xml:space="preserve"> Indication </w:t>
      </w:r>
      <w:r w:rsidRPr="001C36CB">
        <w:rPr>
          <w:spacing w:val="-4"/>
          <w:lang w:val="fr-FR"/>
        </w:rPr>
        <w:t>de la température critique et de la température de régulation</w:t>
      </w:r>
    </w:p>
    <w:p w:rsidR="001C36CB" w:rsidRPr="001C36CB" w:rsidRDefault="001C36CB" w:rsidP="001C36CB">
      <w:pPr>
        <w:pStyle w:val="H1G"/>
      </w:pPr>
      <w:r w:rsidRPr="001C36CB">
        <w:rPr>
          <w:lang w:val="fr-FR"/>
        </w:rPr>
        <w:tab/>
      </w:r>
      <w:r w:rsidRPr="001C36CB">
        <w:rPr>
          <w:lang w:val="fr-FR"/>
        </w:rPr>
        <w:tab/>
        <w:t>Communication de l’expert de l’Allemagne</w:t>
      </w:r>
      <w:r w:rsidRPr="001C36CB">
        <w:rPr>
          <w:rStyle w:val="FootnoteReference"/>
          <w:b w:val="0"/>
        </w:rPr>
        <w:footnoteReference w:id="2"/>
      </w:r>
    </w:p>
    <w:p w:rsidR="001C36CB" w:rsidRPr="001C36CB" w:rsidRDefault="001C36CB" w:rsidP="001C36CB">
      <w:pPr>
        <w:pStyle w:val="SingleTxtG"/>
        <w:numPr>
          <w:ilvl w:val="0"/>
          <w:numId w:val="15"/>
        </w:numPr>
        <w:ind w:left="1134" w:firstLine="0"/>
        <w:rPr>
          <w:b/>
        </w:rPr>
      </w:pPr>
      <w:r w:rsidRPr="001C36CB">
        <w:rPr>
          <w:lang w:val="fr-FR"/>
        </w:rPr>
        <w:t xml:space="preserve">À la quarante-septième session du Sous-Comité, l’expert de l’Allemagne a présenté une proposition portant sur l’indication de la </w:t>
      </w:r>
      <w:r w:rsidRPr="001C36CB">
        <w:rPr>
          <w:bCs/>
          <w:lang w:val="fr-FR"/>
        </w:rPr>
        <w:t>température critique et de la température de régulation des matières susceptibles de former des polymères</w:t>
      </w:r>
      <w:r w:rsidRPr="001C36CB">
        <w:rPr>
          <w:lang w:val="fr-FR"/>
        </w:rPr>
        <w:t xml:space="preserve"> (ST/SG/AC.10/C.3/2015/38), proposition qui a été adoptée.</w:t>
      </w:r>
    </w:p>
    <w:p w:rsidR="001C36CB" w:rsidRPr="001C36CB" w:rsidRDefault="001C36CB" w:rsidP="001C36CB">
      <w:pPr>
        <w:pStyle w:val="SingleTxtG"/>
        <w:numPr>
          <w:ilvl w:val="0"/>
          <w:numId w:val="15"/>
        </w:numPr>
        <w:ind w:left="1134" w:firstLine="0"/>
      </w:pPr>
      <w:r w:rsidRPr="001C36CB">
        <w:rPr>
          <w:lang w:val="fr-FR"/>
        </w:rPr>
        <w:t>Les membres du Sous-Comité ont fait remarquer qu’il convenait de vérifier si des amendements corollaires étaient rendus nécessaires, l’un d’entre eux consistant par exemple à adapter des textes de la section 7.1.5 relatifs au transport sous régulation de température.</w:t>
      </w:r>
    </w:p>
    <w:p w:rsidR="001C36CB" w:rsidRPr="001C36CB" w:rsidRDefault="001C36CB" w:rsidP="001C36CB">
      <w:pPr>
        <w:pStyle w:val="SingleTxtG"/>
        <w:numPr>
          <w:ilvl w:val="0"/>
          <w:numId w:val="15"/>
        </w:numPr>
        <w:ind w:left="1134" w:firstLine="0"/>
      </w:pPr>
      <w:r w:rsidRPr="001C36CB">
        <w:rPr>
          <w:lang w:val="fr-FR"/>
        </w:rPr>
        <w:t xml:space="preserve">Si la formulation des sections 7.1.5 et 7.1.6 pose problème, cela semble résulter de la façon dont le texte est structuré. En effet, le 7.1.6.2 </w:t>
      </w:r>
      <w:proofErr w:type="gramStart"/>
      <w:r w:rsidRPr="001C36CB">
        <w:rPr>
          <w:lang w:val="fr-FR"/>
        </w:rPr>
        <w:t>renvoie</w:t>
      </w:r>
      <w:proofErr w:type="gramEnd"/>
      <w:r w:rsidRPr="001C36CB">
        <w:rPr>
          <w:lang w:val="fr-FR"/>
        </w:rPr>
        <w:t xml:space="preserve"> aux dispositions relatives à la régulation de température des sections 7.1.5.3.1.1 à 7.1.5.3.1.3 et de la section 7.1.5.3.2, mais il n’est pas fait mention de la TPAA et des matières susceptibles de former des polymères dans la section 7.1.5 puisque cette section ne porte que sur les matières </w:t>
      </w:r>
      <w:proofErr w:type="spellStart"/>
      <w:r w:rsidRPr="001C36CB">
        <w:rPr>
          <w:lang w:val="fr-FR"/>
        </w:rPr>
        <w:t>autoréactives</w:t>
      </w:r>
      <w:proofErr w:type="spellEnd"/>
      <w:r w:rsidRPr="001C36CB">
        <w:rPr>
          <w:lang w:val="fr-FR"/>
        </w:rPr>
        <w:t xml:space="preserve"> de la division 4.1 et les peroxydes organiques de la division 5.2. Il a été constaté que la distinction actuelle entre les matières </w:t>
      </w:r>
      <w:proofErr w:type="spellStart"/>
      <w:r w:rsidRPr="001C36CB">
        <w:rPr>
          <w:lang w:val="fr-FR"/>
        </w:rPr>
        <w:t>autoréactives</w:t>
      </w:r>
      <w:proofErr w:type="spellEnd"/>
      <w:r w:rsidRPr="001C36CB">
        <w:rPr>
          <w:lang w:val="fr-FR"/>
        </w:rPr>
        <w:t xml:space="preserve"> de la division 4.1 et les peroxydes organiques de la division 5.2, d’une part, et d’autres matières sous régulation de température telles que les matières susceptibles de former des polymères, d’autre part, </w:t>
      </w:r>
      <w:r w:rsidRPr="001C36CB">
        <w:rPr>
          <w:lang w:val="fr-FR"/>
        </w:rPr>
        <w:lastRenderedPageBreak/>
        <w:t>n’avait pas lieu d’être dans la mesure où les prescriptions relatives à ces deux catégories étaient quasiment identiques.</w:t>
      </w:r>
      <w:r w:rsidRPr="001C36CB">
        <w:rPr>
          <w:b/>
          <w:lang w:val="fr-FR"/>
        </w:rPr>
        <w:t xml:space="preserve"> </w:t>
      </w:r>
      <w:r w:rsidRPr="001C36CB">
        <w:rPr>
          <w:lang w:val="fr-FR"/>
        </w:rPr>
        <w:t xml:space="preserve">La création d’une section réunissant ces dispositions sous un titre commun constituerait une amélioration. Les améliorations d’ordre rédactionnel qui s’imposent pourraient être apportées par la même occasion. </w:t>
      </w:r>
    </w:p>
    <w:p w:rsidR="001C36CB" w:rsidRPr="001C36CB" w:rsidRDefault="001C36CB" w:rsidP="001C36CB">
      <w:pPr>
        <w:pStyle w:val="SingleTxtG"/>
        <w:numPr>
          <w:ilvl w:val="0"/>
          <w:numId w:val="15"/>
        </w:numPr>
        <w:ind w:left="1134" w:firstLine="0"/>
      </w:pPr>
      <w:r w:rsidRPr="001C36CB">
        <w:rPr>
          <w:lang w:val="fr-FR"/>
        </w:rPr>
        <w:t>À cet égard, il a été noté que les dispositions concernant les matières susceptibles de former des polymères de la division 4.1 devaient également s’appliquer à celles faisant partie d’autres classes. Il est donc également nécessaire de modifier le texte adopté à la quarante-s</w:t>
      </w:r>
      <w:r w:rsidR="00BA3E86">
        <w:rPr>
          <w:lang w:val="fr-FR"/>
        </w:rPr>
        <w:t>eptième session en conséquence.</w:t>
      </w:r>
    </w:p>
    <w:p w:rsidR="001C36CB" w:rsidRPr="001C36CB" w:rsidRDefault="001C36CB" w:rsidP="001C36CB">
      <w:pPr>
        <w:pStyle w:val="SingleTxtG"/>
        <w:numPr>
          <w:ilvl w:val="0"/>
          <w:numId w:val="15"/>
        </w:numPr>
        <w:ind w:left="1134" w:firstLine="0"/>
      </w:pPr>
      <w:r w:rsidRPr="001C36CB">
        <w:rPr>
          <w:lang w:val="fr-FR"/>
        </w:rPr>
        <w:t xml:space="preserve">L’Allemagne a soumis au Sous-Comité à sa quarante-neuvième session une proposition de révision du texte (document informel INF.39). Plusieurs experts ayant appuyé cette proposition, l’expert de l’Allemagne a été invité à soumettre, à la cinquantième session, </w:t>
      </w:r>
      <w:r w:rsidRPr="001C36CB">
        <w:rPr>
          <w:bCs/>
          <w:lang w:val="fr-FR"/>
        </w:rPr>
        <w:t>une proposition officielle qui tiendrait compte des observations formulées lors de la session précédente</w:t>
      </w:r>
      <w:r w:rsidRPr="001C36CB">
        <w:rPr>
          <w:lang w:val="fr-FR"/>
        </w:rPr>
        <w:t>.</w:t>
      </w:r>
    </w:p>
    <w:p w:rsidR="001C36CB" w:rsidRPr="001C36CB" w:rsidRDefault="001C36CB" w:rsidP="001C36CB">
      <w:pPr>
        <w:pStyle w:val="SingleTxtG"/>
        <w:numPr>
          <w:ilvl w:val="0"/>
          <w:numId w:val="15"/>
        </w:numPr>
        <w:ind w:left="1134" w:firstLine="0"/>
      </w:pPr>
      <w:r w:rsidRPr="001C36CB">
        <w:rPr>
          <w:bCs/>
          <w:lang w:val="fr-FR"/>
        </w:rPr>
        <w:t xml:space="preserve">L’expert de l’Allemagne tient à souligner que les textes relatifs </w:t>
      </w:r>
      <w:proofErr w:type="gramStart"/>
      <w:r w:rsidRPr="001C36CB">
        <w:rPr>
          <w:bCs/>
          <w:lang w:val="fr-FR"/>
        </w:rPr>
        <w:t>à la</w:t>
      </w:r>
      <w:proofErr w:type="gramEnd"/>
      <w:r w:rsidRPr="001C36CB">
        <w:rPr>
          <w:bCs/>
          <w:lang w:val="fr-FR"/>
        </w:rPr>
        <w:t xml:space="preserve"> TDAA/TPAA seuil à partir </w:t>
      </w:r>
      <w:r w:rsidR="00335CF7">
        <w:rPr>
          <w:bCs/>
          <w:lang w:val="fr-FR"/>
        </w:rPr>
        <w:t>du</w:t>
      </w:r>
      <w:r w:rsidRPr="001C36CB">
        <w:rPr>
          <w:bCs/>
          <w:lang w:val="fr-FR"/>
        </w:rPr>
        <w:t>quel s’appliquent les prescriptions en matière de régulation de la température existent déjà. Il estime que malgré une formulation différente des dispositions relatives à la régulation de la température, les exigences sont identiques. En effet, si l’on tient compte du fait que la TDAA/TPAA est exprimée en mul</w:t>
      </w:r>
      <w:r w:rsidRPr="001C36CB">
        <w:rPr>
          <w:lang w:val="fr-FR"/>
        </w:rPr>
        <w:t xml:space="preserve">tiples de 5 K, </w:t>
      </w:r>
      <w:r>
        <w:rPr>
          <w:lang w:val="fr-FR"/>
        </w:rPr>
        <w:t>« </w:t>
      </w:r>
      <w:r w:rsidRPr="001C36CB">
        <w:rPr>
          <w:lang w:val="fr-FR"/>
        </w:rPr>
        <w:t>&lt;</w:t>
      </w:r>
      <w:r>
        <w:rPr>
          <w:lang w:val="fr-FR"/>
        </w:rPr>
        <w:t> </w:t>
      </w:r>
      <w:r w:rsidRPr="001C36CB">
        <w:rPr>
          <w:lang w:val="fr-FR"/>
        </w:rPr>
        <w:t>50</w:t>
      </w:r>
      <w:r>
        <w:rPr>
          <w:lang w:val="fr-FR"/>
        </w:rPr>
        <w:t> </w:t>
      </w:r>
      <w:r w:rsidRPr="001C36CB">
        <w:rPr>
          <w:lang w:val="fr-FR"/>
        </w:rPr>
        <w:t>°C</w:t>
      </w:r>
      <w:r>
        <w:rPr>
          <w:lang w:val="fr-FR"/>
        </w:rPr>
        <w:t> »</w:t>
      </w:r>
      <w:r w:rsidRPr="001C36CB">
        <w:rPr>
          <w:lang w:val="fr-FR"/>
        </w:rPr>
        <w:t xml:space="preserve"> signifie en réalité </w:t>
      </w:r>
      <w:r>
        <w:rPr>
          <w:lang w:val="fr-FR"/>
        </w:rPr>
        <w:t>« </w:t>
      </w:r>
      <w:r w:rsidRPr="001C36CB">
        <w:rPr>
          <w:lang w:val="fr-FR"/>
        </w:rPr>
        <w:t>≤</w:t>
      </w:r>
      <w:r>
        <w:rPr>
          <w:lang w:val="fr-FR"/>
        </w:rPr>
        <w:t> </w:t>
      </w:r>
      <w:r w:rsidRPr="001C36CB">
        <w:rPr>
          <w:lang w:val="fr-FR"/>
        </w:rPr>
        <w:t>45</w:t>
      </w:r>
      <w:r>
        <w:rPr>
          <w:lang w:val="fr-FR"/>
        </w:rPr>
        <w:t> </w:t>
      </w:r>
      <w:r w:rsidRPr="001C36CB">
        <w:rPr>
          <w:lang w:val="fr-FR"/>
        </w:rPr>
        <w:t>°C</w:t>
      </w:r>
      <w:r>
        <w:rPr>
          <w:lang w:val="fr-FR"/>
        </w:rPr>
        <w:t> »</w:t>
      </w:r>
      <w:r w:rsidRPr="001C36CB">
        <w:rPr>
          <w:lang w:val="fr-FR"/>
        </w:rPr>
        <w:t>. Si le Sous-Comité estimait nécessaire d’harmoniser la formulation, cela pourrait faire l’objet d’une proposition distincte.</w:t>
      </w:r>
    </w:p>
    <w:p w:rsidR="001C36CB" w:rsidRPr="001C36CB" w:rsidRDefault="001C36CB" w:rsidP="001C36CB">
      <w:pPr>
        <w:pStyle w:val="HChG"/>
      </w:pPr>
      <w:r w:rsidRPr="001C36CB">
        <w:rPr>
          <w:lang w:val="fr-FR"/>
        </w:rPr>
        <w:tab/>
      </w:r>
      <w:r w:rsidRPr="001C36CB">
        <w:rPr>
          <w:lang w:val="fr-FR"/>
        </w:rPr>
        <w:tab/>
        <w:t>Proposition</w:t>
      </w:r>
    </w:p>
    <w:p w:rsidR="001C36CB" w:rsidRPr="001C36CB" w:rsidRDefault="001C36CB" w:rsidP="001C36CB">
      <w:pPr>
        <w:pStyle w:val="SingleTxtG"/>
        <w:numPr>
          <w:ilvl w:val="0"/>
          <w:numId w:val="15"/>
        </w:numPr>
        <w:ind w:left="1134" w:firstLine="0"/>
      </w:pPr>
      <w:r w:rsidRPr="001C36CB">
        <w:rPr>
          <w:lang w:val="fr-FR"/>
        </w:rPr>
        <w:t>Il est proposé de réorganiser les sections 7.1.5 et 7.1.6</w:t>
      </w:r>
      <w:r w:rsidRPr="001C36CB">
        <w:rPr>
          <w:bCs/>
          <w:lang w:val="fr-FR"/>
        </w:rPr>
        <w:t xml:space="preserve"> comme indiqué dans l’annexe au présent document.</w:t>
      </w:r>
      <w:r w:rsidRPr="001C36CB">
        <w:rPr>
          <w:lang w:val="fr-FR"/>
        </w:rPr>
        <w:t xml:space="preserve"> Il convient également de modifier la table des matières et plusieurs paragraphes renvoyant à ces sections.</w:t>
      </w:r>
    </w:p>
    <w:p w:rsidR="001C36CB" w:rsidRPr="001C36CB" w:rsidRDefault="001C36CB" w:rsidP="001C36CB">
      <w:pPr>
        <w:pStyle w:val="SingleTxtG"/>
        <w:numPr>
          <w:ilvl w:val="0"/>
          <w:numId w:val="15"/>
        </w:numPr>
        <w:ind w:left="1134" w:firstLine="0"/>
      </w:pPr>
      <w:r w:rsidRPr="001C36CB">
        <w:rPr>
          <w:lang w:val="fr-FR"/>
        </w:rPr>
        <w:t>Les amendements adoptés sur la base du ST/SG/AC.10/C.3/2015/38 doivent être remplacés par les amendements suivants</w:t>
      </w:r>
      <w:r w:rsidR="00E841C6">
        <w:rPr>
          <w:lang w:val="fr-FR"/>
        </w:rPr>
        <w:t> :</w:t>
      </w:r>
    </w:p>
    <w:p w:rsidR="001C36CB" w:rsidRPr="001C36CB" w:rsidRDefault="001C36CB" w:rsidP="00BA3E86">
      <w:pPr>
        <w:pStyle w:val="SingleTxtG"/>
        <w:ind w:left="1701"/>
      </w:pPr>
      <w:r w:rsidRPr="001C36CB">
        <w:rPr>
          <w:lang w:val="fr-FR"/>
        </w:rPr>
        <w:t>Modifier le paragraphe 5.4.1.5.5 du Règlement type comme suit</w:t>
      </w:r>
      <w:r w:rsidR="00E841C6">
        <w:rPr>
          <w:lang w:val="fr-FR"/>
        </w:rPr>
        <w:t> </w:t>
      </w:r>
      <w:r w:rsidRPr="001C36CB">
        <w:rPr>
          <w:lang w:val="fr-FR"/>
        </w:rPr>
        <w:t>:</w:t>
      </w:r>
    </w:p>
    <w:p w:rsidR="001C36CB" w:rsidRPr="001C36CB" w:rsidRDefault="001C36CB" w:rsidP="00BA3E86">
      <w:pPr>
        <w:pStyle w:val="SingleTxtG"/>
        <w:ind w:left="1701"/>
      </w:pPr>
      <w:r w:rsidRPr="001C36CB">
        <w:rPr>
          <w:lang w:val="fr-FR"/>
        </w:rPr>
        <w:t xml:space="preserve">Dans le titre, après </w:t>
      </w:r>
      <w:r w:rsidR="00E841C6">
        <w:rPr>
          <w:lang w:val="fr-FR"/>
        </w:rPr>
        <w:t>« </w:t>
      </w:r>
      <w:r w:rsidRPr="001C36CB">
        <w:rPr>
          <w:lang w:val="fr-FR"/>
        </w:rPr>
        <w:t xml:space="preserve">Matières </w:t>
      </w:r>
      <w:proofErr w:type="spellStart"/>
      <w:r w:rsidRPr="001C36CB">
        <w:rPr>
          <w:lang w:val="fr-FR"/>
        </w:rPr>
        <w:t>autoréactives</w:t>
      </w:r>
      <w:proofErr w:type="spellEnd"/>
      <w:r w:rsidR="00E841C6">
        <w:rPr>
          <w:lang w:val="fr-FR"/>
        </w:rPr>
        <w:t> »</w:t>
      </w:r>
      <w:r w:rsidRPr="001C36CB">
        <w:rPr>
          <w:lang w:val="fr-FR"/>
        </w:rPr>
        <w:t xml:space="preserve">, ajouter </w:t>
      </w:r>
      <w:r w:rsidR="00E841C6">
        <w:rPr>
          <w:lang w:val="fr-FR"/>
        </w:rPr>
        <w:t>« </w:t>
      </w:r>
      <w:r w:rsidRPr="001C36CB">
        <w:rPr>
          <w:lang w:val="fr-FR"/>
        </w:rPr>
        <w:t>matières qui polymérisent</w:t>
      </w:r>
      <w:r w:rsidR="00E841C6">
        <w:rPr>
          <w:lang w:val="fr-FR"/>
        </w:rPr>
        <w:t> »</w:t>
      </w:r>
      <w:r w:rsidR="00BA3E86">
        <w:rPr>
          <w:lang w:val="fr-FR"/>
        </w:rPr>
        <w:t>.</w:t>
      </w:r>
    </w:p>
    <w:p w:rsidR="001C36CB" w:rsidRPr="001C36CB" w:rsidRDefault="001C36CB" w:rsidP="00BA3E86">
      <w:pPr>
        <w:pStyle w:val="SingleTxtG"/>
        <w:ind w:left="1701"/>
      </w:pPr>
      <w:r w:rsidRPr="001C36CB">
        <w:rPr>
          <w:bCs/>
          <w:lang w:val="fr-FR"/>
        </w:rPr>
        <w:t xml:space="preserve">Dans le texte, remplacer </w:t>
      </w:r>
      <w:r w:rsidR="00BA3E86">
        <w:rPr>
          <w:bCs/>
          <w:lang w:val="fr-FR"/>
        </w:rPr>
        <w:t>« </w:t>
      </w:r>
      <w:r w:rsidRPr="001C36CB">
        <w:rPr>
          <w:bCs/>
          <w:lang w:val="fr-FR"/>
        </w:rPr>
        <w:t>et pour les peroxydes organiques</w:t>
      </w:r>
      <w:r w:rsidR="00BA3E86">
        <w:rPr>
          <w:bCs/>
          <w:lang w:val="fr-FR"/>
        </w:rPr>
        <w:t> »</w:t>
      </w:r>
      <w:r w:rsidRPr="001C36CB">
        <w:rPr>
          <w:bCs/>
          <w:lang w:val="fr-FR"/>
        </w:rPr>
        <w:t xml:space="preserve"> par </w:t>
      </w:r>
      <w:proofErr w:type="gramStart"/>
      <w:r w:rsidR="00BA3E86">
        <w:rPr>
          <w:bCs/>
          <w:lang w:val="fr-FR"/>
        </w:rPr>
        <w:t>« </w:t>
      </w:r>
      <w:r w:rsidRPr="001C36CB">
        <w:rPr>
          <w:bCs/>
          <w:lang w:val="fr-FR"/>
        </w:rPr>
        <w:t>,</w:t>
      </w:r>
      <w:proofErr w:type="gramEnd"/>
      <w:r w:rsidRPr="001C36CB">
        <w:rPr>
          <w:bCs/>
          <w:lang w:val="fr-FR"/>
        </w:rPr>
        <w:t> pour les peroxydes organiques et les matières qui polymérisent</w:t>
      </w:r>
      <w:r w:rsidR="00BA3E86">
        <w:rPr>
          <w:bCs/>
          <w:lang w:val="fr-FR"/>
        </w:rPr>
        <w:t> »</w:t>
      </w:r>
      <w:r w:rsidRPr="001C36CB">
        <w:rPr>
          <w:bCs/>
          <w:lang w:val="fr-FR"/>
        </w:rPr>
        <w:t>.</w:t>
      </w:r>
    </w:p>
    <w:p w:rsidR="001C36CB" w:rsidRPr="001C36CB" w:rsidRDefault="001C36CB" w:rsidP="001C36CB">
      <w:pPr>
        <w:pStyle w:val="SingleTxtG"/>
        <w:numPr>
          <w:ilvl w:val="0"/>
          <w:numId w:val="15"/>
        </w:numPr>
        <w:ind w:left="1134" w:firstLine="0"/>
      </w:pPr>
      <w:r w:rsidRPr="001C36CB">
        <w:rPr>
          <w:lang w:val="fr-FR"/>
        </w:rPr>
        <w:t>Ajouter à la fin du 2.4.2.5.2 la note suivante</w:t>
      </w:r>
      <w:r w:rsidR="00BA3E86">
        <w:rPr>
          <w:lang w:val="fr-FR"/>
        </w:rPr>
        <w:t> </w:t>
      </w:r>
      <w:r w:rsidRPr="001C36CB">
        <w:rPr>
          <w:lang w:val="fr-FR"/>
        </w:rPr>
        <w:t>:</w:t>
      </w:r>
    </w:p>
    <w:p w:rsidR="00E841C6" w:rsidRDefault="00BA3E86" w:rsidP="001C36CB">
      <w:pPr>
        <w:pStyle w:val="SingleTxtG"/>
      </w:pPr>
      <w:r>
        <w:rPr>
          <w:lang w:val="fr-FR"/>
        </w:rPr>
        <w:t>« </w:t>
      </w:r>
      <w:r w:rsidR="001C36CB" w:rsidRPr="001C36CB">
        <w:rPr>
          <w:b/>
          <w:lang w:val="fr-FR"/>
        </w:rPr>
        <w:t>N</w:t>
      </w:r>
      <w:r w:rsidRPr="001C36CB">
        <w:rPr>
          <w:b/>
          <w:lang w:val="fr-FR"/>
        </w:rPr>
        <w:t>OTA</w:t>
      </w:r>
      <w:r>
        <w:rPr>
          <w:b/>
          <w:lang w:val="fr-FR"/>
        </w:rPr>
        <w:t> </w:t>
      </w:r>
      <w:r w:rsidR="001C36CB" w:rsidRPr="001C36CB">
        <w:rPr>
          <w:lang w:val="fr-FR"/>
        </w:rPr>
        <w:t>: Les matières remplissant les critères d’appartenance à la catégorie des matières qui polymérisent et de classement dans les classes 1 à 8 doivent satisfaire aux prescriptions de la disposition spéciale 386.</w:t>
      </w:r>
      <w:r>
        <w:rPr>
          <w:lang w:val="fr-FR"/>
        </w:rPr>
        <w:t> »</w:t>
      </w:r>
      <w:r>
        <w:t>.</w:t>
      </w:r>
    </w:p>
    <w:p w:rsidR="002A28FA" w:rsidRDefault="002A28FA" w:rsidP="00BA3E86">
      <w:pPr>
        <w:pStyle w:val="HChG"/>
        <w:sectPr w:rsidR="002A28FA" w:rsidSect="001C36CB">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pPr>
    </w:p>
    <w:p w:rsidR="00E841C6" w:rsidRPr="00E841C6" w:rsidRDefault="00E841C6" w:rsidP="00BA3E86">
      <w:pPr>
        <w:pStyle w:val="HChG"/>
      </w:pPr>
      <w:r>
        <w:lastRenderedPageBreak/>
        <w:br w:type="page"/>
      </w:r>
      <w:r w:rsidRPr="00E841C6">
        <w:rPr>
          <w:lang w:val="fr-FR"/>
        </w:rPr>
        <w:lastRenderedPageBreak/>
        <w:t>Annexe</w:t>
      </w:r>
    </w:p>
    <w:p w:rsidR="00E841C6" w:rsidRPr="00E841C6" w:rsidRDefault="00BA3E86" w:rsidP="00E841C6">
      <w:pPr>
        <w:pStyle w:val="SingleTxtG"/>
        <w:rPr>
          <w:b/>
        </w:rPr>
      </w:pPr>
      <w:r w:rsidRPr="00F37893">
        <w:rPr>
          <w:lang w:val="fr-FR"/>
        </w:rPr>
        <w:t>« </w:t>
      </w:r>
      <w:r w:rsidR="00E841C6" w:rsidRPr="00E841C6">
        <w:rPr>
          <w:b/>
          <w:lang w:val="fr-FR"/>
        </w:rPr>
        <w:t>7.1.5</w:t>
      </w:r>
      <w:r>
        <w:rPr>
          <w:b/>
          <w:lang w:val="fr-FR"/>
        </w:rPr>
        <w:tab/>
      </w:r>
      <w:r w:rsidR="00E841C6" w:rsidRPr="00E841C6">
        <w:rPr>
          <w:b/>
          <w:lang w:val="fr-FR"/>
        </w:rPr>
        <w:tab/>
        <w:t xml:space="preserve">Dispositions particulières applicables au transport des matières </w:t>
      </w:r>
      <w:proofErr w:type="spellStart"/>
      <w:r w:rsidR="00E841C6" w:rsidRPr="00E841C6">
        <w:rPr>
          <w:b/>
          <w:lang w:val="fr-FR"/>
        </w:rPr>
        <w:t>aut</w:t>
      </w:r>
      <w:r>
        <w:rPr>
          <w:b/>
          <w:lang w:val="fr-FR"/>
        </w:rPr>
        <w:t>oréactives</w:t>
      </w:r>
      <w:proofErr w:type="spellEnd"/>
      <w:r>
        <w:rPr>
          <w:b/>
          <w:lang w:val="fr-FR"/>
        </w:rPr>
        <w:t xml:space="preserve"> de la division 4.1, </w:t>
      </w:r>
      <w:r w:rsidR="00E841C6" w:rsidRPr="00E841C6">
        <w:rPr>
          <w:b/>
          <w:lang w:val="fr-FR"/>
        </w:rPr>
        <w:t>des peroxydes or</w:t>
      </w:r>
      <w:r>
        <w:rPr>
          <w:b/>
          <w:lang w:val="fr-FR"/>
        </w:rPr>
        <w:t xml:space="preserve">ganiques de la division 5.2 et </w:t>
      </w:r>
      <w:r w:rsidR="00E841C6" w:rsidRPr="00E841C6">
        <w:rPr>
          <w:b/>
          <w:lang w:val="fr-FR"/>
        </w:rPr>
        <w:t xml:space="preserve">des matières stabilisées par régulation de température (autres que les matières </w:t>
      </w:r>
      <w:proofErr w:type="spellStart"/>
      <w:r w:rsidR="00E841C6" w:rsidRPr="00E841C6">
        <w:rPr>
          <w:b/>
          <w:lang w:val="fr-FR"/>
        </w:rPr>
        <w:t>autoréactives</w:t>
      </w:r>
      <w:proofErr w:type="spellEnd"/>
      <w:r w:rsidR="00E841C6" w:rsidRPr="00E841C6">
        <w:rPr>
          <w:b/>
          <w:lang w:val="fr-FR"/>
        </w:rPr>
        <w:t xml:space="preserve"> ou les peroxydes organiques)</w:t>
      </w:r>
    </w:p>
    <w:p w:rsidR="00E841C6" w:rsidRPr="00E841C6" w:rsidRDefault="00E841C6" w:rsidP="00E841C6">
      <w:pPr>
        <w:pStyle w:val="SingleTxtG"/>
      </w:pPr>
      <w:r w:rsidRPr="00E841C6">
        <w:rPr>
          <w:lang w:val="fr-FR"/>
        </w:rPr>
        <w:t>7.1.5.1</w:t>
      </w:r>
      <w:r w:rsidR="00BA3E86">
        <w:rPr>
          <w:lang w:val="fr-FR"/>
        </w:rPr>
        <w:tab/>
      </w:r>
      <w:r w:rsidRPr="00E841C6">
        <w:rPr>
          <w:lang w:val="fr-FR"/>
        </w:rPr>
        <w:tab/>
        <w:t xml:space="preserve">Les matières </w:t>
      </w:r>
      <w:proofErr w:type="spellStart"/>
      <w:r w:rsidRPr="00E841C6">
        <w:rPr>
          <w:lang w:val="fr-FR"/>
        </w:rPr>
        <w:t>autoréactives</w:t>
      </w:r>
      <w:proofErr w:type="spellEnd"/>
      <w:r w:rsidRPr="00E841C6">
        <w:rPr>
          <w:lang w:val="fr-FR"/>
        </w:rPr>
        <w:t>, les peroxydes organiques et les matières qui polymérisent doivent être tenus à l’ombre, maintenus à l’écart de toute source de chaleur et placés dans des endroits bien aérés.</w:t>
      </w:r>
    </w:p>
    <w:p w:rsidR="00E841C6" w:rsidRPr="00E841C6" w:rsidRDefault="00E841C6" w:rsidP="00E841C6">
      <w:pPr>
        <w:pStyle w:val="SingleTxtG"/>
      </w:pPr>
      <w:r w:rsidRPr="00E841C6">
        <w:rPr>
          <w:b/>
          <w:lang w:val="fr-FR"/>
        </w:rPr>
        <w:t>NOTA</w:t>
      </w:r>
      <w:r w:rsidR="00BA3E86">
        <w:rPr>
          <w:b/>
          <w:lang w:val="fr-FR"/>
        </w:rPr>
        <w:t> </w:t>
      </w:r>
      <w:r w:rsidRPr="00E841C6">
        <w:rPr>
          <w:lang w:val="fr-FR"/>
        </w:rPr>
        <w:t>: Certaines matières qui doivent être transportées sous régulation de température sont interdites au transport sous certains modes de transport.</w:t>
      </w:r>
    </w:p>
    <w:p w:rsidR="00E841C6" w:rsidRPr="00E841C6" w:rsidRDefault="00E841C6" w:rsidP="00E841C6">
      <w:pPr>
        <w:pStyle w:val="SingleTxtG"/>
      </w:pPr>
      <w:r w:rsidRPr="00E841C6">
        <w:rPr>
          <w:lang w:val="fr-FR"/>
        </w:rPr>
        <w:t>7.1.5.2</w:t>
      </w:r>
      <w:r w:rsidR="00BA3E86">
        <w:rPr>
          <w:lang w:val="fr-FR"/>
        </w:rPr>
        <w:tab/>
      </w:r>
      <w:r w:rsidRPr="00E841C6">
        <w:rPr>
          <w:lang w:val="fr-FR"/>
        </w:rPr>
        <w:tab/>
      </w:r>
      <w:r w:rsidRPr="00E841C6">
        <w:rPr>
          <w:i/>
          <w:iCs/>
          <w:lang w:val="fr-FR"/>
        </w:rPr>
        <w:t>Dispositions relatives à la régulation de température</w:t>
      </w:r>
    </w:p>
    <w:p w:rsidR="00E841C6" w:rsidRPr="00E841C6" w:rsidRDefault="00E841C6" w:rsidP="00E841C6">
      <w:pPr>
        <w:pStyle w:val="SingleTxtG"/>
        <w:rPr>
          <w:lang w:val="fr-FR"/>
        </w:rPr>
      </w:pPr>
      <w:r w:rsidRPr="00E841C6">
        <w:rPr>
          <w:lang w:val="fr-FR"/>
        </w:rPr>
        <w:t>7.1.5.2.1</w:t>
      </w:r>
      <w:r w:rsidRPr="00E841C6">
        <w:rPr>
          <w:lang w:val="fr-FR"/>
        </w:rPr>
        <w:tab/>
        <w:t xml:space="preserve">Ces dispositions s’appliquent à certaines matières </w:t>
      </w:r>
      <w:proofErr w:type="spellStart"/>
      <w:r w:rsidRPr="00E841C6">
        <w:rPr>
          <w:lang w:val="fr-FR"/>
        </w:rPr>
        <w:t>autoréactives</w:t>
      </w:r>
      <w:proofErr w:type="spellEnd"/>
      <w:r w:rsidRPr="00E841C6">
        <w:rPr>
          <w:lang w:val="fr-FR"/>
        </w:rPr>
        <w:t xml:space="preserve"> (au titre du</w:t>
      </w:r>
      <w:r w:rsidR="00BA3E86">
        <w:rPr>
          <w:lang w:val="fr-FR"/>
        </w:rPr>
        <w:t> </w:t>
      </w:r>
      <w:r w:rsidRPr="00E841C6">
        <w:rPr>
          <w:lang w:val="fr-FR"/>
        </w:rPr>
        <w:t>2.4.2.3.4), à certains peroxydes organiques (au titre du 2.5.3.4.1) et à certaines matières qui polymérisent (au titre du 2.4.2.5.2 ou de la disposition spéciale 386) soumis à régulation de température pendant le transport.</w:t>
      </w:r>
    </w:p>
    <w:p w:rsidR="00E841C6" w:rsidRPr="00E841C6" w:rsidRDefault="00E841C6" w:rsidP="00E841C6">
      <w:pPr>
        <w:pStyle w:val="SingleTxtG"/>
      </w:pPr>
      <w:r w:rsidRPr="00E841C6">
        <w:rPr>
          <w:lang w:val="fr-FR"/>
        </w:rPr>
        <w:t>7.1.5.2.2</w:t>
      </w:r>
      <w:r w:rsidRPr="00E841C6">
        <w:rPr>
          <w:lang w:val="fr-FR"/>
        </w:rPr>
        <w:tab/>
        <w:t>Ces dispositions s’appliquent également au transport</w:t>
      </w:r>
      <w:r w:rsidR="00BA3E86">
        <w:rPr>
          <w:lang w:val="fr-FR"/>
        </w:rPr>
        <w:t> </w:t>
      </w:r>
      <w:r w:rsidRPr="00E841C6">
        <w:rPr>
          <w:lang w:val="fr-FR"/>
        </w:rPr>
        <w:t>:</w:t>
      </w:r>
    </w:p>
    <w:p w:rsidR="00E841C6" w:rsidRPr="00E841C6" w:rsidRDefault="00E841C6" w:rsidP="00BA3E86">
      <w:pPr>
        <w:pStyle w:val="SingleTxtG"/>
        <w:ind w:left="2268"/>
      </w:pPr>
      <w:r w:rsidRPr="00E841C6">
        <w:rPr>
          <w:lang w:val="fr-FR"/>
        </w:rPr>
        <w:t>a)</w:t>
      </w:r>
      <w:r w:rsidRPr="00E841C6">
        <w:rPr>
          <w:lang w:val="fr-FR"/>
        </w:rPr>
        <w:tab/>
        <w:t>De matières dont la désignation officielle de transport, telle qu’elle figure dans la colonne 2 de la Liste des marchandises dangereuses du chapitre</w:t>
      </w:r>
      <w:r w:rsidR="00BA3E86">
        <w:rPr>
          <w:lang w:val="fr-FR"/>
        </w:rPr>
        <w:t> </w:t>
      </w:r>
      <w:r w:rsidRPr="00E841C6">
        <w:rPr>
          <w:lang w:val="fr-FR"/>
        </w:rPr>
        <w:t>3.2 ou dans le 3.1.2.6, contient la mention</w:t>
      </w:r>
      <w:r w:rsidR="00F37893">
        <w:rPr>
          <w:lang w:val="fr-FR"/>
        </w:rPr>
        <w:t xml:space="preserve"> “</w:t>
      </w:r>
      <w:r w:rsidRPr="00E841C6">
        <w:rPr>
          <w:lang w:val="fr-FR"/>
        </w:rPr>
        <w:t>STABILISÉ</w:t>
      </w:r>
      <w:r w:rsidR="00F37893">
        <w:rPr>
          <w:lang w:val="fr-FR"/>
        </w:rPr>
        <w:t>”</w:t>
      </w:r>
      <w:r w:rsidRPr="00E841C6">
        <w:rPr>
          <w:lang w:val="fr-FR"/>
        </w:rPr>
        <w:t>;</w:t>
      </w:r>
    </w:p>
    <w:p w:rsidR="00E841C6" w:rsidRPr="00E841C6" w:rsidRDefault="00E841C6" w:rsidP="00BA3E86">
      <w:pPr>
        <w:pStyle w:val="SingleTxtG"/>
        <w:ind w:left="2268"/>
        <w:rPr>
          <w:b/>
          <w:bCs/>
          <w:lang w:val="fr-FR"/>
        </w:rPr>
      </w:pPr>
      <w:r w:rsidRPr="00E841C6">
        <w:rPr>
          <w:lang w:val="fr-FR"/>
        </w:rPr>
        <w:t>b)</w:t>
      </w:r>
      <w:r w:rsidRPr="00E841C6">
        <w:rPr>
          <w:lang w:val="fr-FR"/>
        </w:rPr>
        <w:tab/>
      </w:r>
      <w:r w:rsidRPr="00E841C6">
        <w:rPr>
          <w:bCs/>
          <w:lang w:val="fr-FR"/>
        </w:rPr>
        <w:t>De matières, telles que présentées au transport, dont la TDAA ou la TPAA</w:t>
      </w:r>
      <w:r w:rsidR="002A28FA">
        <w:rPr>
          <w:rStyle w:val="FootnoteReference"/>
          <w:bCs/>
        </w:rPr>
        <w:footnoteReference w:id="3"/>
      </w:r>
      <w:r w:rsidRPr="00E841C6">
        <w:rPr>
          <w:bCs/>
          <w:lang w:val="fr-FR"/>
        </w:rPr>
        <w:t xml:space="preserve"> (avec ou sans stabilisation chimique) est</w:t>
      </w:r>
      <w:r w:rsidR="00BA3E86">
        <w:rPr>
          <w:bCs/>
          <w:lang w:val="fr-FR"/>
        </w:rPr>
        <w:t> </w:t>
      </w:r>
      <w:r w:rsidRPr="00E841C6">
        <w:rPr>
          <w:bCs/>
          <w:lang w:val="fr-FR"/>
        </w:rPr>
        <w:t>:</w:t>
      </w:r>
    </w:p>
    <w:p w:rsidR="00E841C6" w:rsidRPr="00E841C6" w:rsidRDefault="00E841C6" w:rsidP="00BA3E86">
      <w:pPr>
        <w:pStyle w:val="SingleTxtG"/>
        <w:ind w:left="2835"/>
      </w:pPr>
      <w:r w:rsidRPr="00E841C6">
        <w:rPr>
          <w:lang w:val="fr-FR"/>
        </w:rPr>
        <w:t>i)</w:t>
      </w:r>
      <w:r w:rsidRPr="00E841C6">
        <w:rPr>
          <w:lang w:val="fr-FR"/>
        </w:rPr>
        <w:tab/>
      </w:r>
      <w:r w:rsidR="00BA3E86">
        <w:rPr>
          <w:lang w:val="fr-FR"/>
        </w:rPr>
        <w:t>A</w:t>
      </w:r>
      <w:r w:rsidRPr="00E841C6">
        <w:rPr>
          <w:lang w:val="fr-FR"/>
        </w:rPr>
        <w:t>u maximum de 50</w:t>
      </w:r>
      <w:r w:rsidR="00BA3E86">
        <w:rPr>
          <w:lang w:val="fr-FR"/>
        </w:rPr>
        <w:t> </w:t>
      </w:r>
      <w:r w:rsidRPr="00E841C6">
        <w:rPr>
          <w:lang w:val="fr-FR"/>
        </w:rPr>
        <w:t>°C pour les emballages et les GRV</w:t>
      </w:r>
      <w:r w:rsidR="00BA3E86">
        <w:rPr>
          <w:lang w:val="fr-FR"/>
        </w:rPr>
        <w:t> </w:t>
      </w:r>
      <w:r w:rsidRPr="00E841C6">
        <w:rPr>
          <w:lang w:val="fr-FR"/>
        </w:rPr>
        <w:t xml:space="preserve">; ou </w:t>
      </w:r>
    </w:p>
    <w:p w:rsidR="00E841C6" w:rsidRPr="00E841C6" w:rsidRDefault="00E841C6" w:rsidP="00BA3E86">
      <w:pPr>
        <w:pStyle w:val="SingleTxtG"/>
        <w:ind w:left="2835"/>
      </w:pPr>
      <w:r w:rsidRPr="00E841C6">
        <w:rPr>
          <w:lang w:val="fr-FR"/>
        </w:rPr>
        <w:t>ii)</w:t>
      </w:r>
      <w:r w:rsidRPr="00E841C6">
        <w:rPr>
          <w:lang w:val="fr-FR"/>
        </w:rPr>
        <w:tab/>
      </w:r>
      <w:r w:rsidR="00BA3E86">
        <w:rPr>
          <w:lang w:val="fr-FR"/>
        </w:rPr>
        <w:t>A</w:t>
      </w:r>
      <w:r w:rsidRPr="00E841C6">
        <w:rPr>
          <w:lang w:val="fr-FR"/>
        </w:rPr>
        <w:t>u maximum de 45</w:t>
      </w:r>
      <w:r w:rsidR="00BA3E86">
        <w:rPr>
          <w:lang w:val="fr-FR"/>
        </w:rPr>
        <w:t> </w:t>
      </w:r>
      <w:r w:rsidRPr="00E841C6">
        <w:rPr>
          <w:lang w:val="fr-FR"/>
        </w:rPr>
        <w:t>°C pour les citernes mobiles.</w:t>
      </w:r>
    </w:p>
    <w:p w:rsidR="00E841C6" w:rsidRPr="00E841C6" w:rsidRDefault="00E841C6" w:rsidP="002A28FA">
      <w:pPr>
        <w:pStyle w:val="SingleTxtG"/>
        <w:spacing w:line="234" w:lineRule="atLeast"/>
      </w:pPr>
      <w:r w:rsidRPr="00E841C6">
        <w:rPr>
          <w:lang w:val="fr-FR"/>
        </w:rPr>
        <w:t>Lorsqu’il n’est pas recouru à l’inhibition chimique pour stabiliser une matière réactive susceptible de générer des quantités dangereuses de chaleur et de gaz ou de vapeur dans des conditions normales de transport, ces matières doivent être transportées sous régulation de température. Ces dispositions ne s’appliquent pas aux matières qui sont stabilisées par adjonction d’inhibiteurs chimiques de sorte que la TDAA ou la TPAA soit supérieure à ce qui est prescrit aux points b) i) et</w:t>
      </w:r>
      <w:r w:rsidR="00F37893">
        <w:rPr>
          <w:lang w:val="fr-FR"/>
        </w:rPr>
        <w:t xml:space="preserve"> </w:t>
      </w:r>
      <w:r w:rsidRPr="00E841C6">
        <w:rPr>
          <w:lang w:val="fr-FR"/>
        </w:rPr>
        <w:t>b) ii) ci-dessus.</w:t>
      </w:r>
    </w:p>
    <w:p w:rsidR="00E841C6" w:rsidRPr="00E841C6" w:rsidRDefault="00E841C6" w:rsidP="002A28FA">
      <w:pPr>
        <w:pStyle w:val="SingleTxtG"/>
        <w:spacing w:line="234" w:lineRule="atLeast"/>
      </w:pPr>
      <w:r w:rsidRPr="00E841C6">
        <w:rPr>
          <w:lang w:val="fr-FR"/>
        </w:rPr>
        <w:t>7.1.5.2.3</w:t>
      </w:r>
      <w:r w:rsidRPr="00E841C6">
        <w:rPr>
          <w:lang w:val="fr-FR"/>
        </w:rPr>
        <w:tab/>
        <w:t xml:space="preserve">En outre, si une matière </w:t>
      </w:r>
      <w:proofErr w:type="spellStart"/>
      <w:r w:rsidRPr="00E841C6">
        <w:rPr>
          <w:lang w:val="fr-FR"/>
        </w:rPr>
        <w:t>autoréactive</w:t>
      </w:r>
      <w:proofErr w:type="spellEnd"/>
      <w:r w:rsidRPr="00E841C6">
        <w:rPr>
          <w:lang w:val="fr-FR"/>
        </w:rPr>
        <w:t xml:space="preserve">, un peroxyde organique ou une matière dont la désignation officielle de transport comporte la mention </w:t>
      </w:r>
      <w:r w:rsidR="00F37893">
        <w:rPr>
          <w:lang w:val="fr-FR"/>
        </w:rPr>
        <w:t>“</w:t>
      </w:r>
      <w:r w:rsidRPr="00E841C6">
        <w:rPr>
          <w:lang w:val="fr-FR"/>
        </w:rPr>
        <w:t>STABILISÉ</w:t>
      </w:r>
      <w:r w:rsidR="00F37893">
        <w:rPr>
          <w:lang w:val="fr-FR"/>
        </w:rPr>
        <w:t>”</w:t>
      </w:r>
      <w:r w:rsidRPr="00E841C6">
        <w:rPr>
          <w:lang w:val="fr-FR"/>
        </w:rPr>
        <w:t xml:space="preserve"> et pour laquelle le transport avec régulation de température n’est pas normalement prescrit est transporté dans des conditions telles que la température risque de dépasser 55</w:t>
      </w:r>
      <w:r w:rsidR="00BA3E86">
        <w:rPr>
          <w:lang w:val="fr-FR"/>
        </w:rPr>
        <w:t> </w:t>
      </w:r>
      <w:r w:rsidRPr="00E841C6">
        <w:rPr>
          <w:lang w:val="fr-FR"/>
        </w:rPr>
        <w:t xml:space="preserve">°C, la régulation de température peut s’imposer. </w:t>
      </w:r>
    </w:p>
    <w:p w:rsidR="00E841C6" w:rsidRPr="00E841C6" w:rsidRDefault="00E841C6" w:rsidP="002A28FA">
      <w:pPr>
        <w:pStyle w:val="SingleTxtG"/>
        <w:spacing w:line="234" w:lineRule="atLeast"/>
      </w:pPr>
      <w:r w:rsidRPr="00E841C6">
        <w:rPr>
          <w:lang w:val="fr-FR"/>
        </w:rPr>
        <w:t>7.1.5.2.4</w:t>
      </w:r>
      <w:r w:rsidRPr="00E841C6">
        <w:rPr>
          <w:lang w:val="fr-FR"/>
        </w:rPr>
        <w:tab/>
        <w:t xml:space="preserve">La </w:t>
      </w:r>
      <w:r w:rsidR="00F37893">
        <w:rPr>
          <w:lang w:val="fr-FR"/>
        </w:rPr>
        <w:t>“</w:t>
      </w:r>
      <w:r w:rsidRPr="00E841C6">
        <w:rPr>
          <w:lang w:val="fr-FR"/>
        </w:rPr>
        <w:t>température de régulation</w:t>
      </w:r>
      <w:r w:rsidR="00F37893">
        <w:rPr>
          <w:lang w:val="fr-FR"/>
        </w:rPr>
        <w:t>”</w:t>
      </w:r>
      <w:r w:rsidRPr="00E841C6">
        <w:rPr>
          <w:lang w:val="fr-FR"/>
        </w:rPr>
        <w:t xml:space="preserve"> est la température maximale à laquelle une matière peut être transportée en sécurité. Les présentes dispositions sont basées sur l’hypothèse d’une température ne dépassant pas 55</w:t>
      </w:r>
      <w:r w:rsidR="002A28FA">
        <w:rPr>
          <w:lang w:val="fr-FR"/>
        </w:rPr>
        <w:t> </w:t>
      </w:r>
      <w:r w:rsidRPr="00E841C6">
        <w:rPr>
          <w:lang w:val="fr-FR"/>
        </w:rPr>
        <w:t xml:space="preserve">°C au voisinage immédiat du colis pendant le transport et n’atteignant cette valeur que pendant une durée relativement courte par période de 24 heures. En cas de défaillance du système de régulation, il pourra être nécessaire d’appliquer les mesures d’urgence. La </w:t>
      </w:r>
      <w:r w:rsidR="00F37893">
        <w:rPr>
          <w:lang w:val="fr-FR"/>
        </w:rPr>
        <w:t>“</w:t>
      </w:r>
      <w:r w:rsidRPr="00E841C6">
        <w:rPr>
          <w:lang w:val="fr-FR"/>
        </w:rPr>
        <w:t>température critique</w:t>
      </w:r>
      <w:r w:rsidR="00F37893">
        <w:rPr>
          <w:lang w:val="fr-FR"/>
        </w:rPr>
        <w:t>”</w:t>
      </w:r>
      <w:r w:rsidRPr="00E841C6">
        <w:rPr>
          <w:lang w:val="fr-FR"/>
        </w:rPr>
        <w:t xml:space="preserve"> est la température à laquelle ces procédure</w:t>
      </w:r>
      <w:r w:rsidR="002A28FA">
        <w:rPr>
          <w:lang w:val="fr-FR"/>
        </w:rPr>
        <w:t>s doivent être mises en œuvre.</w:t>
      </w:r>
    </w:p>
    <w:p w:rsidR="00E841C6" w:rsidRPr="00E841C6" w:rsidRDefault="00E841C6" w:rsidP="00E841C6">
      <w:pPr>
        <w:pStyle w:val="SingleTxtG"/>
      </w:pPr>
      <w:r w:rsidRPr="00E841C6">
        <w:br w:type="page"/>
      </w:r>
      <w:r w:rsidRPr="00E841C6">
        <w:rPr>
          <w:lang w:val="fr-FR"/>
        </w:rPr>
        <w:lastRenderedPageBreak/>
        <w:t>7.1.5.2.5</w:t>
      </w:r>
      <w:r w:rsidRPr="00E841C6">
        <w:rPr>
          <w:lang w:val="fr-FR"/>
        </w:rPr>
        <w:tab/>
        <w:t>Détermination de la température de régulation et de la température critique</w:t>
      </w:r>
    </w:p>
    <w:tbl>
      <w:tblPr>
        <w:tblStyle w:val="Tabellenraster2"/>
        <w:tblW w:w="7371" w:type="dxa"/>
        <w:tblInd w:w="1247" w:type="dxa"/>
        <w:tblBorders>
          <w:insideH w:val="none" w:sz="0" w:space="0" w:color="auto"/>
        </w:tblBorders>
        <w:tblLayout w:type="fixed"/>
        <w:tblCellMar>
          <w:left w:w="0" w:type="dxa"/>
          <w:right w:w="0" w:type="dxa"/>
        </w:tblCellMar>
        <w:tblLook w:val="04A0" w:firstRow="1" w:lastRow="0" w:firstColumn="1" w:lastColumn="0" w:noHBand="0" w:noVBand="1"/>
      </w:tblPr>
      <w:tblGrid>
        <w:gridCol w:w="1170"/>
        <w:gridCol w:w="1685"/>
        <w:gridCol w:w="2167"/>
        <w:gridCol w:w="2349"/>
      </w:tblGrid>
      <w:tr w:rsidR="002A28FA" w:rsidRPr="002A28FA" w:rsidTr="00361688">
        <w:tc>
          <w:tcPr>
            <w:tcW w:w="1170" w:type="dxa"/>
            <w:tcBorders>
              <w:bottom w:val="single" w:sz="4" w:space="0" w:color="auto"/>
            </w:tcBorders>
            <w:shd w:val="clear" w:color="auto" w:fill="auto"/>
            <w:tcMar>
              <w:left w:w="113" w:type="dxa"/>
            </w:tcMar>
          </w:tcPr>
          <w:p w:rsidR="002A28FA" w:rsidRPr="002A28FA" w:rsidRDefault="00E841C6" w:rsidP="002A28FA">
            <w:pPr>
              <w:spacing w:before="40" w:after="120"/>
              <w:rPr>
                <w:lang w:val="fr-FR"/>
              </w:rPr>
            </w:pPr>
            <w:r w:rsidRPr="002A28FA">
              <w:rPr>
                <w:lang w:val="fr-FR"/>
              </w:rPr>
              <w:t>Type de récipient</w:t>
            </w:r>
          </w:p>
        </w:tc>
        <w:tc>
          <w:tcPr>
            <w:tcW w:w="1685" w:type="dxa"/>
            <w:tcBorders>
              <w:bottom w:val="single" w:sz="4" w:space="0" w:color="auto"/>
            </w:tcBorders>
            <w:shd w:val="clear" w:color="auto" w:fill="auto"/>
            <w:tcMar>
              <w:left w:w="113" w:type="dxa"/>
            </w:tcMar>
          </w:tcPr>
          <w:p w:rsidR="002A28FA" w:rsidRPr="002A28FA" w:rsidRDefault="002A28FA" w:rsidP="002A28FA">
            <w:pPr>
              <w:spacing w:before="40" w:after="120"/>
              <w:rPr>
                <w:lang w:val="fr-FR"/>
              </w:rPr>
            </w:pPr>
            <w:proofErr w:type="spellStart"/>
            <w:r w:rsidRPr="002A28FA">
              <w:rPr>
                <w:lang w:val="fr-FR"/>
              </w:rPr>
              <w:t>TDAA</w:t>
            </w:r>
            <w:r w:rsidRPr="00361688">
              <w:rPr>
                <w:i/>
                <w:sz w:val="18"/>
                <w:szCs w:val="18"/>
                <w:vertAlign w:val="superscript"/>
                <w:lang w:val="fr-FR"/>
              </w:rPr>
              <w:t>a</w:t>
            </w:r>
            <w:proofErr w:type="spellEnd"/>
            <w:r w:rsidRPr="002A28FA">
              <w:rPr>
                <w:lang w:val="fr-FR"/>
              </w:rPr>
              <w:t>/</w:t>
            </w:r>
            <w:proofErr w:type="spellStart"/>
            <w:r w:rsidRPr="002A28FA">
              <w:rPr>
                <w:lang w:val="fr-FR"/>
              </w:rPr>
              <w:t>TPAA</w:t>
            </w:r>
            <w:r w:rsidRPr="00361688">
              <w:rPr>
                <w:i/>
                <w:sz w:val="18"/>
                <w:szCs w:val="18"/>
                <w:vertAlign w:val="superscript"/>
                <w:lang w:val="fr-FR"/>
              </w:rPr>
              <w:t>a</w:t>
            </w:r>
            <w:proofErr w:type="spellEnd"/>
          </w:p>
        </w:tc>
        <w:tc>
          <w:tcPr>
            <w:tcW w:w="2167" w:type="dxa"/>
            <w:tcBorders>
              <w:bottom w:val="single" w:sz="4" w:space="0" w:color="auto"/>
            </w:tcBorders>
            <w:shd w:val="clear" w:color="auto" w:fill="auto"/>
            <w:tcMar>
              <w:left w:w="113" w:type="dxa"/>
            </w:tcMar>
          </w:tcPr>
          <w:p w:rsidR="002A28FA" w:rsidRPr="002A28FA" w:rsidRDefault="002A28FA" w:rsidP="009F3F9C">
            <w:pPr>
              <w:spacing w:before="40" w:after="120"/>
              <w:rPr>
                <w:lang w:val="fr-FR"/>
              </w:rPr>
            </w:pPr>
            <w:r w:rsidRPr="002A28FA">
              <w:rPr>
                <w:lang w:val="fr-FR"/>
              </w:rPr>
              <w:t>Température de</w:t>
            </w:r>
            <w:r w:rsidR="009F3F9C">
              <w:rPr>
                <w:lang w:val="fr-FR"/>
              </w:rPr>
              <w:t> </w:t>
            </w:r>
            <w:r w:rsidRPr="002A28FA">
              <w:rPr>
                <w:lang w:val="fr-FR"/>
              </w:rPr>
              <w:t xml:space="preserve">régulation </w:t>
            </w:r>
          </w:p>
        </w:tc>
        <w:tc>
          <w:tcPr>
            <w:tcW w:w="2349" w:type="dxa"/>
            <w:tcBorders>
              <w:bottom w:val="single" w:sz="4" w:space="0" w:color="auto"/>
            </w:tcBorders>
            <w:shd w:val="clear" w:color="auto" w:fill="auto"/>
            <w:tcMar>
              <w:left w:w="113" w:type="dxa"/>
            </w:tcMar>
          </w:tcPr>
          <w:p w:rsidR="002A28FA" w:rsidRPr="002A28FA" w:rsidRDefault="002A28FA" w:rsidP="002A28FA">
            <w:pPr>
              <w:spacing w:before="40" w:after="120"/>
              <w:rPr>
                <w:lang w:val="fr-FR"/>
              </w:rPr>
            </w:pPr>
            <w:r w:rsidRPr="002A28FA">
              <w:rPr>
                <w:lang w:val="fr-FR"/>
              </w:rPr>
              <w:t>Température critique</w:t>
            </w:r>
          </w:p>
        </w:tc>
      </w:tr>
      <w:tr w:rsidR="002652E2" w:rsidRPr="002A28FA" w:rsidTr="002652E2">
        <w:tc>
          <w:tcPr>
            <w:tcW w:w="1170" w:type="dxa"/>
            <w:tcBorders>
              <w:bottom w:val="nil"/>
            </w:tcBorders>
            <w:shd w:val="clear" w:color="auto" w:fill="auto"/>
            <w:tcMar>
              <w:left w:w="113" w:type="dxa"/>
            </w:tcMar>
          </w:tcPr>
          <w:p w:rsidR="002652E2" w:rsidRPr="002A28FA" w:rsidRDefault="002652E2" w:rsidP="002A28FA">
            <w:pPr>
              <w:spacing w:before="40" w:after="120"/>
              <w:rPr>
                <w:lang w:val="fr-FR"/>
              </w:rPr>
            </w:pPr>
            <w:r w:rsidRPr="002A28FA">
              <w:rPr>
                <w:lang w:val="fr-FR"/>
              </w:rPr>
              <w:t>Emballages simples et</w:t>
            </w:r>
            <w:r>
              <w:rPr>
                <w:lang w:val="fr-FR"/>
              </w:rPr>
              <w:t> </w:t>
            </w:r>
            <w:r w:rsidRPr="002A28FA">
              <w:rPr>
                <w:lang w:val="fr-FR"/>
              </w:rPr>
              <w:t>GRV</w:t>
            </w:r>
          </w:p>
        </w:tc>
        <w:tc>
          <w:tcPr>
            <w:tcW w:w="1685" w:type="dxa"/>
            <w:tcBorders>
              <w:bottom w:val="nil"/>
            </w:tcBorders>
            <w:shd w:val="clear" w:color="auto" w:fill="auto"/>
            <w:tcMar>
              <w:left w:w="113" w:type="dxa"/>
            </w:tcMar>
          </w:tcPr>
          <w:p w:rsidR="002652E2" w:rsidRPr="002A28FA" w:rsidRDefault="002652E2" w:rsidP="002A28FA">
            <w:pPr>
              <w:spacing w:before="40" w:after="120"/>
              <w:rPr>
                <w:lang w:val="fr-FR"/>
              </w:rPr>
            </w:pPr>
            <w:r>
              <w:rPr>
                <w:lang w:val="fr-FR"/>
              </w:rPr>
              <w:t>≤</w:t>
            </w:r>
            <w:r w:rsidRPr="002A28FA">
              <w:rPr>
                <w:lang w:val="fr-FR"/>
              </w:rPr>
              <w:t>20</w:t>
            </w:r>
            <w:r>
              <w:rPr>
                <w:lang w:val="fr-FR"/>
              </w:rPr>
              <w:t> </w:t>
            </w:r>
            <w:r w:rsidRPr="002A28FA">
              <w:rPr>
                <w:lang w:val="fr-FR"/>
              </w:rPr>
              <w:t>°C</w:t>
            </w:r>
          </w:p>
        </w:tc>
        <w:tc>
          <w:tcPr>
            <w:tcW w:w="2167" w:type="dxa"/>
            <w:tcBorders>
              <w:bottom w:val="nil"/>
            </w:tcBorders>
            <w:shd w:val="clear" w:color="auto" w:fill="auto"/>
            <w:tcMar>
              <w:left w:w="113" w:type="dxa"/>
            </w:tcMar>
          </w:tcPr>
          <w:p w:rsidR="002652E2" w:rsidRPr="002A28FA" w:rsidRDefault="002652E2" w:rsidP="009F3F9C">
            <w:pPr>
              <w:spacing w:before="40" w:after="120"/>
              <w:rPr>
                <w:lang w:val="fr-FR"/>
              </w:rPr>
            </w:pPr>
            <w:r w:rsidRPr="002A28FA">
              <w:rPr>
                <w:lang w:val="fr-FR"/>
              </w:rPr>
              <w:t>20</w:t>
            </w:r>
            <w:r>
              <w:rPr>
                <w:lang w:val="fr-FR"/>
              </w:rPr>
              <w:t> </w:t>
            </w:r>
            <w:r w:rsidRPr="002A28FA">
              <w:rPr>
                <w:lang w:val="fr-FR"/>
              </w:rPr>
              <w:t xml:space="preserve">°C au-dessous </w:t>
            </w:r>
            <w:r>
              <w:rPr>
                <w:lang w:val="fr-FR"/>
              </w:rPr>
              <w:br/>
            </w:r>
            <w:r w:rsidRPr="002A28FA">
              <w:rPr>
                <w:lang w:val="fr-FR"/>
              </w:rPr>
              <w:t>de la TDAA/TPAA</w:t>
            </w:r>
          </w:p>
        </w:tc>
        <w:tc>
          <w:tcPr>
            <w:tcW w:w="2349" w:type="dxa"/>
            <w:tcBorders>
              <w:bottom w:val="nil"/>
            </w:tcBorders>
            <w:shd w:val="clear" w:color="auto" w:fill="auto"/>
            <w:tcMar>
              <w:left w:w="113" w:type="dxa"/>
            </w:tcMar>
          </w:tcPr>
          <w:p w:rsidR="002652E2" w:rsidRPr="002A28FA" w:rsidRDefault="002652E2" w:rsidP="002A28FA">
            <w:pPr>
              <w:spacing w:before="40" w:after="120"/>
              <w:rPr>
                <w:lang w:val="fr-FR"/>
              </w:rPr>
            </w:pPr>
            <w:r w:rsidRPr="002A28FA">
              <w:rPr>
                <w:lang w:val="fr-FR"/>
              </w:rPr>
              <w:t>10</w:t>
            </w:r>
            <w:r>
              <w:rPr>
                <w:lang w:val="fr-FR"/>
              </w:rPr>
              <w:t> </w:t>
            </w:r>
            <w:r w:rsidRPr="002A28FA">
              <w:rPr>
                <w:lang w:val="fr-FR"/>
              </w:rPr>
              <w:t xml:space="preserve">°C au-dessous </w:t>
            </w:r>
            <w:r>
              <w:rPr>
                <w:lang w:val="fr-FR"/>
              </w:rPr>
              <w:br/>
            </w:r>
            <w:r w:rsidRPr="002A28FA">
              <w:rPr>
                <w:lang w:val="fr-FR"/>
              </w:rPr>
              <w:t>de la TDAA/TPAA</w:t>
            </w:r>
          </w:p>
        </w:tc>
      </w:tr>
      <w:tr w:rsidR="002652E2" w:rsidRPr="002A28FA" w:rsidTr="002652E2">
        <w:tc>
          <w:tcPr>
            <w:tcW w:w="1170" w:type="dxa"/>
            <w:tcBorders>
              <w:top w:val="nil"/>
              <w:bottom w:val="nil"/>
            </w:tcBorders>
            <w:shd w:val="clear" w:color="auto" w:fill="auto"/>
            <w:tcMar>
              <w:left w:w="113" w:type="dxa"/>
            </w:tcMar>
          </w:tcPr>
          <w:p w:rsidR="002652E2" w:rsidRPr="002A28FA" w:rsidRDefault="002652E2" w:rsidP="002A28FA">
            <w:pPr>
              <w:spacing w:before="40" w:after="120"/>
              <w:rPr>
                <w:lang w:val="fr-FR"/>
              </w:rPr>
            </w:pPr>
          </w:p>
        </w:tc>
        <w:tc>
          <w:tcPr>
            <w:tcW w:w="1685" w:type="dxa"/>
            <w:tcBorders>
              <w:top w:val="nil"/>
              <w:bottom w:val="nil"/>
            </w:tcBorders>
            <w:shd w:val="clear" w:color="auto" w:fill="auto"/>
            <w:tcMar>
              <w:left w:w="113" w:type="dxa"/>
            </w:tcMar>
          </w:tcPr>
          <w:p w:rsidR="002652E2" w:rsidRPr="002A28FA" w:rsidRDefault="002652E2" w:rsidP="002A28FA">
            <w:pPr>
              <w:spacing w:before="40" w:after="120"/>
              <w:rPr>
                <w:lang w:val="fr-FR"/>
              </w:rPr>
            </w:pPr>
            <w:r w:rsidRPr="002A28FA">
              <w:rPr>
                <w:lang w:val="fr-FR"/>
              </w:rPr>
              <w:t>&gt;20</w:t>
            </w:r>
            <w:r>
              <w:rPr>
                <w:lang w:val="fr-FR"/>
              </w:rPr>
              <w:t> °C et ≤</w:t>
            </w:r>
            <w:r w:rsidRPr="002A28FA">
              <w:rPr>
                <w:lang w:val="fr-FR"/>
              </w:rPr>
              <w:t>35</w:t>
            </w:r>
            <w:r>
              <w:rPr>
                <w:lang w:val="fr-FR"/>
              </w:rPr>
              <w:t> </w:t>
            </w:r>
            <w:r w:rsidRPr="002A28FA">
              <w:rPr>
                <w:lang w:val="fr-FR"/>
              </w:rPr>
              <w:t>°C</w:t>
            </w:r>
          </w:p>
        </w:tc>
        <w:tc>
          <w:tcPr>
            <w:tcW w:w="2167" w:type="dxa"/>
            <w:tcBorders>
              <w:top w:val="nil"/>
              <w:bottom w:val="nil"/>
            </w:tcBorders>
            <w:shd w:val="clear" w:color="auto" w:fill="auto"/>
            <w:tcMar>
              <w:left w:w="113" w:type="dxa"/>
            </w:tcMar>
          </w:tcPr>
          <w:p w:rsidR="002652E2" w:rsidRPr="002A28FA" w:rsidRDefault="002652E2" w:rsidP="009F3F9C">
            <w:pPr>
              <w:spacing w:before="40" w:after="120"/>
              <w:rPr>
                <w:lang w:val="fr-FR"/>
              </w:rPr>
            </w:pPr>
            <w:r w:rsidRPr="002A28FA">
              <w:rPr>
                <w:lang w:val="fr-FR"/>
              </w:rPr>
              <w:t>15</w:t>
            </w:r>
            <w:r>
              <w:rPr>
                <w:lang w:val="fr-FR"/>
              </w:rPr>
              <w:t> </w:t>
            </w:r>
            <w:r w:rsidRPr="002A28FA">
              <w:rPr>
                <w:lang w:val="fr-FR"/>
              </w:rPr>
              <w:t xml:space="preserve">°C au-dessous </w:t>
            </w:r>
            <w:r>
              <w:rPr>
                <w:lang w:val="fr-FR"/>
              </w:rPr>
              <w:br/>
            </w:r>
            <w:r w:rsidRPr="002A28FA">
              <w:rPr>
                <w:lang w:val="fr-FR"/>
              </w:rPr>
              <w:t>de la TDAA/TPAA</w:t>
            </w:r>
          </w:p>
        </w:tc>
        <w:tc>
          <w:tcPr>
            <w:tcW w:w="2349" w:type="dxa"/>
            <w:tcBorders>
              <w:top w:val="nil"/>
              <w:bottom w:val="nil"/>
            </w:tcBorders>
            <w:shd w:val="clear" w:color="auto" w:fill="auto"/>
            <w:tcMar>
              <w:left w:w="113" w:type="dxa"/>
            </w:tcMar>
          </w:tcPr>
          <w:p w:rsidR="002652E2" w:rsidRPr="002A28FA" w:rsidRDefault="002652E2" w:rsidP="002A28FA">
            <w:pPr>
              <w:spacing w:before="40" w:after="120"/>
              <w:rPr>
                <w:lang w:val="fr-FR"/>
              </w:rPr>
            </w:pPr>
            <w:r w:rsidRPr="002A28FA">
              <w:rPr>
                <w:lang w:val="fr-FR"/>
              </w:rPr>
              <w:t>10</w:t>
            </w:r>
            <w:r>
              <w:rPr>
                <w:lang w:val="fr-FR"/>
              </w:rPr>
              <w:t> </w:t>
            </w:r>
            <w:r w:rsidRPr="002A28FA">
              <w:rPr>
                <w:lang w:val="fr-FR"/>
              </w:rPr>
              <w:t xml:space="preserve">°C au-dessous </w:t>
            </w:r>
            <w:r>
              <w:rPr>
                <w:lang w:val="fr-FR"/>
              </w:rPr>
              <w:br/>
            </w:r>
            <w:r w:rsidRPr="002A28FA">
              <w:rPr>
                <w:lang w:val="fr-FR"/>
              </w:rPr>
              <w:t>de la TDAA/TPAA</w:t>
            </w:r>
          </w:p>
        </w:tc>
      </w:tr>
      <w:tr w:rsidR="002652E2" w:rsidRPr="002A28FA" w:rsidTr="002652E2">
        <w:tc>
          <w:tcPr>
            <w:tcW w:w="1170" w:type="dxa"/>
            <w:tcBorders>
              <w:top w:val="nil"/>
              <w:bottom w:val="single" w:sz="4" w:space="0" w:color="auto"/>
            </w:tcBorders>
            <w:shd w:val="clear" w:color="auto" w:fill="auto"/>
            <w:tcMar>
              <w:left w:w="113" w:type="dxa"/>
            </w:tcMar>
            <w:hideMark/>
          </w:tcPr>
          <w:p w:rsidR="00E841C6" w:rsidRPr="002A28FA" w:rsidRDefault="00E841C6" w:rsidP="00361688">
            <w:pPr>
              <w:spacing w:before="40" w:after="120"/>
              <w:rPr>
                <w:rFonts w:eastAsiaTheme="minorHAnsi"/>
                <w:lang w:eastAsia="de-DE"/>
              </w:rPr>
            </w:pPr>
          </w:p>
        </w:tc>
        <w:tc>
          <w:tcPr>
            <w:tcW w:w="1685" w:type="dxa"/>
            <w:tcBorders>
              <w:top w:val="nil"/>
              <w:bottom w:val="single" w:sz="4" w:space="0" w:color="auto"/>
            </w:tcBorders>
            <w:shd w:val="clear" w:color="auto" w:fill="auto"/>
            <w:tcMar>
              <w:left w:w="113" w:type="dxa"/>
            </w:tcMar>
            <w:hideMark/>
          </w:tcPr>
          <w:p w:rsidR="00E841C6" w:rsidRPr="002A28FA" w:rsidRDefault="00361688" w:rsidP="00361688">
            <w:pPr>
              <w:spacing w:before="40" w:after="120"/>
              <w:rPr>
                <w:rFonts w:eastAsiaTheme="minorHAnsi"/>
                <w:lang w:eastAsia="de-DE"/>
              </w:rPr>
            </w:pPr>
            <w:r>
              <w:rPr>
                <w:lang w:val="fr-FR"/>
              </w:rPr>
              <w:t>&gt;</w:t>
            </w:r>
            <w:r w:rsidR="00E841C6" w:rsidRPr="002A28FA">
              <w:rPr>
                <w:lang w:val="fr-FR"/>
              </w:rPr>
              <w:t>35</w:t>
            </w:r>
            <w:r>
              <w:rPr>
                <w:lang w:val="fr-FR"/>
              </w:rPr>
              <w:t> </w:t>
            </w:r>
            <w:r w:rsidR="00E841C6" w:rsidRPr="002A28FA">
              <w:rPr>
                <w:lang w:val="fr-FR"/>
              </w:rPr>
              <w:t>°C</w:t>
            </w:r>
          </w:p>
        </w:tc>
        <w:tc>
          <w:tcPr>
            <w:tcW w:w="2167" w:type="dxa"/>
            <w:tcBorders>
              <w:top w:val="nil"/>
              <w:bottom w:val="single" w:sz="4" w:space="0" w:color="auto"/>
            </w:tcBorders>
            <w:shd w:val="clear" w:color="auto" w:fill="auto"/>
            <w:tcMar>
              <w:left w:w="113" w:type="dxa"/>
            </w:tcMar>
            <w:hideMark/>
          </w:tcPr>
          <w:p w:rsidR="00E841C6" w:rsidRPr="002A28FA" w:rsidRDefault="00E841C6" w:rsidP="009F3F9C">
            <w:pPr>
              <w:spacing w:before="40" w:after="120"/>
              <w:rPr>
                <w:rFonts w:eastAsiaTheme="minorHAnsi"/>
                <w:lang w:eastAsia="de-DE"/>
              </w:rPr>
            </w:pPr>
            <w:r w:rsidRPr="002A28FA">
              <w:rPr>
                <w:lang w:val="fr-FR"/>
              </w:rPr>
              <w:t>10</w:t>
            </w:r>
            <w:r w:rsidR="009F3F9C">
              <w:rPr>
                <w:lang w:val="fr-FR"/>
              </w:rPr>
              <w:t> </w:t>
            </w:r>
            <w:r w:rsidRPr="002A28FA">
              <w:rPr>
                <w:lang w:val="fr-FR"/>
              </w:rPr>
              <w:t xml:space="preserve">°C au-dessous </w:t>
            </w:r>
            <w:r w:rsidR="00361688">
              <w:rPr>
                <w:lang w:val="fr-FR"/>
              </w:rPr>
              <w:br/>
            </w:r>
            <w:r w:rsidRPr="002A28FA">
              <w:rPr>
                <w:lang w:val="fr-FR"/>
              </w:rPr>
              <w:t>de la TDAA/TPAA</w:t>
            </w:r>
          </w:p>
        </w:tc>
        <w:tc>
          <w:tcPr>
            <w:tcW w:w="2349" w:type="dxa"/>
            <w:tcBorders>
              <w:top w:val="nil"/>
              <w:bottom w:val="single" w:sz="4" w:space="0" w:color="auto"/>
            </w:tcBorders>
            <w:shd w:val="clear" w:color="auto" w:fill="auto"/>
            <w:tcMar>
              <w:left w:w="113" w:type="dxa"/>
            </w:tcMar>
            <w:hideMark/>
          </w:tcPr>
          <w:p w:rsidR="00E841C6" w:rsidRPr="002A28FA" w:rsidRDefault="00E841C6" w:rsidP="009F3F9C">
            <w:pPr>
              <w:spacing w:before="40" w:after="120"/>
              <w:rPr>
                <w:rFonts w:eastAsiaTheme="minorHAnsi"/>
                <w:lang w:eastAsia="de-DE"/>
              </w:rPr>
            </w:pPr>
            <w:r w:rsidRPr="002A28FA">
              <w:rPr>
                <w:lang w:val="fr-FR"/>
              </w:rPr>
              <w:t>5</w:t>
            </w:r>
            <w:r w:rsidR="009F3F9C">
              <w:rPr>
                <w:lang w:val="fr-FR"/>
              </w:rPr>
              <w:t> </w:t>
            </w:r>
            <w:r w:rsidRPr="002A28FA">
              <w:rPr>
                <w:lang w:val="fr-FR"/>
              </w:rPr>
              <w:t xml:space="preserve">°C au-dessous </w:t>
            </w:r>
            <w:r w:rsidR="00361688">
              <w:rPr>
                <w:lang w:val="fr-FR"/>
              </w:rPr>
              <w:br/>
            </w:r>
            <w:r w:rsidRPr="002A28FA">
              <w:rPr>
                <w:lang w:val="fr-FR"/>
              </w:rPr>
              <w:t>de la TDAA/TPAA</w:t>
            </w:r>
          </w:p>
        </w:tc>
      </w:tr>
      <w:tr w:rsidR="00E841C6" w:rsidRPr="002A28FA" w:rsidTr="00361688">
        <w:tc>
          <w:tcPr>
            <w:tcW w:w="1170" w:type="dxa"/>
            <w:tcBorders>
              <w:top w:val="single" w:sz="4" w:space="0" w:color="auto"/>
            </w:tcBorders>
            <w:shd w:val="clear" w:color="auto" w:fill="auto"/>
            <w:tcMar>
              <w:left w:w="113" w:type="dxa"/>
            </w:tcMar>
            <w:hideMark/>
          </w:tcPr>
          <w:p w:rsidR="00E841C6" w:rsidRPr="002A28FA" w:rsidRDefault="00E841C6" w:rsidP="002A28FA">
            <w:pPr>
              <w:spacing w:before="40" w:after="120"/>
              <w:rPr>
                <w:rFonts w:eastAsiaTheme="minorHAnsi"/>
                <w:lang w:eastAsia="de-DE"/>
              </w:rPr>
            </w:pPr>
            <w:r w:rsidRPr="002A28FA">
              <w:rPr>
                <w:lang w:val="fr-FR"/>
              </w:rPr>
              <w:t>Citernes mobiles</w:t>
            </w:r>
          </w:p>
        </w:tc>
        <w:tc>
          <w:tcPr>
            <w:tcW w:w="1685" w:type="dxa"/>
            <w:tcBorders>
              <w:top w:val="single" w:sz="4" w:space="0" w:color="auto"/>
            </w:tcBorders>
            <w:shd w:val="clear" w:color="auto" w:fill="auto"/>
            <w:tcMar>
              <w:left w:w="113" w:type="dxa"/>
            </w:tcMar>
            <w:hideMark/>
          </w:tcPr>
          <w:p w:rsidR="00E841C6" w:rsidRPr="002A28FA" w:rsidRDefault="009F3F9C" w:rsidP="009F3F9C">
            <w:pPr>
              <w:spacing w:before="40" w:after="120"/>
              <w:rPr>
                <w:rFonts w:eastAsiaTheme="minorHAnsi"/>
                <w:lang w:eastAsia="de-DE"/>
              </w:rPr>
            </w:pPr>
            <w:r>
              <w:rPr>
                <w:lang w:val="fr-FR"/>
              </w:rPr>
              <w:t>&lt;</w:t>
            </w:r>
            <w:r w:rsidR="00E841C6" w:rsidRPr="002A28FA">
              <w:rPr>
                <w:lang w:val="fr-FR"/>
              </w:rPr>
              <w:t>50</w:t>
            </w:r>
            <w:r>
              <w:rPr>
                <w:lang w:val="fr-FR"/>
              </w:rPr>
              <w:t> </w:t>
            </w:r>
            <w:r w:rsidR="00E841C6" w:rsidRPr="002A28FA">
              <w:rPr>
                <w:lang w:val="fr-FR"/>
              </w:rPr>
              <w:t>°C</w:t>
            </w:r>
          </w:p>
        </w:tc>
        <w:tc>
          <w:tcPr>
            <w:tcW w:w="2167" w:type="dxa"/>
            <w:tcBorders>
              <w:top w:val="single" w:sz="4" w:space="0" w:color="auto"/>
            </w:tcBorders>
            <w:shd w:val="clear" w:color="auto" w:fill="auto"/>
            <w:tcMar>
              <w:left w:w="113" w:type="dxa"/>
            </w:tcMar>
            <w:hideMark/>
          </w:tcPr>
          <w:p w:rsidR="00E841C6" w:rsidRPr="002A28FA" w:rsidRDefault="00E841C6" w:rsidP="009F3F9C">
            <w:pPr>
              <w:spacing w:before="40" w:after="120"/>
              <w:rPr>
                <w:rFonts w:eastAsiaTheme="minorHAnsi"/>
                <w:lang w:eastAsia="de-DE"/>
              </w:rPr>
            </w:pPr>
            <w:r w:rsidRPr="002A28FA">
              <w:rPr>
                <w:lang w:val="fr-FR"/>
              </w:rPr>
              <w:t>10</w:t>
            </w:r>
            <w:r w:rsidR="009F3F9C">
              <w:rPr>
                <w:lang w:val="fr-FR"/>
              </w:rPr>
              <w:t> </w:t>
            </w:r>
            <w:r w:rsidRPr="002A28FA">
              <w:rPr>
                <w:lang w:val="fr-FR"/>
              </w:rPr>
              <w:t xml:space="preserve">°C au-dessous </w:t>
            </w:r>
            <w:r w:rsidR="00361688">
              <w:rPr>
                <w:lang w:val="fr-FR"/>
              </w:rPr>
              <w:br/>
            </w:r>
            <w:r w:rsidRPr="002A28FA">
              <w:rPr>
                <w:lang w:val="fr-FR"/>
              </w:rPr>
              <w:t>de la TDAA/TPAA</w:t>
            </w:r>
          </w:p>
        </w:tc>
        <w:tc>
          <w:tcPr>
            <w:tcW w:w="2349" w:type="dxa"/>
            <w:tcBorders>
              <w:top w:val="single" w:sz="4" w:space="0" w:color="auto"/>
            </w:tcBorders>
            <w:shd w:val="clear" w:color="auto" w:fill="auto"/>
            <w:tcMar>
              <w:left w:w="113" w:type="dxa"/>
            </w:tcMar>
            <w:hideMark/>
          </w:tcPr>
          <w:p w:rsidR="00E841C6" w:rsidRPr="002A28FA" w:rsidRDefault="00E841C6" w:rsidP="009F3F9C">
            <w:pPr>
              <w:spacing w:before="40" w:after="120"/>
              <w:rPr>
                <w:rFonts w:eastAsiaTheme="minorHAnsi"/>
                <w:lang w:eastAsia="de-DE"/>
              </w:rPr>
            </w:pPr>
            <w:r w:rsidRPr="002A28FA">
              <w:rPr>
                <w:lang w:val="fr-FR"/>
              </w:rPr>
              <w:t>5</w:t>
            </w:r>
            <w:r w:rsidR="009F3F9C">
              <w:rPr>
                <w:lang w:val="fr-FR"/>
              </w:rPr>
              <w:t> </w:t>
            </w:r>
            <w:r w:rsidRPr="002A28FA">
              <w:rPr>
                <w:lang w:val="fr-FR"/>
              </w:rPr>
              <w:t xml:space="preserve">°C au-dessous </w:t>
            </w:r>
            <w:r w:rsidR="00361688">
              <w:rPr>
                <w:lang w:val="fr-FR"/>
              </w:rPr>
              <w:br/>
            </w:r>
            <w:r w:rsidRPr="002A28FA">
              <w:rPr>
                <w:lang w:val="fr-FR"/>
              </w:rPr>
              <w:t>de la TDAA/TPAA</w:t>
            </w:r>
          </w:p>
        </w:tc>
      </w:tr>
    </w:tbl>
    <w:p w:rsidR="00E841C6" w:rsidRPr="00361688" w:rsidRDefault="00E841C6" w:rsidP="00361688">
      <w:pPr>
        <w:pStyle w:val="SingleTxtG"/>
        <w:spacing w:before="120" w:after="240"/>
        <w:ind w:firstLine="170"/>
        <w:rPr>
          <w:sz w:val="18"/>
          <w:szCs w:val="18"/>
        </w:rPr>
      </w:pPr>
      <w:proofErr w:type="gramStart"/>
      <w:r w:rsidRPr="00361688">
        <w:rPr>
          <w:i/>
          <w:sz w:val="18"/>
          <w:szCs w:val="18"/>
          <w:vertAlign w:val="superscript"/>
          <w:lang w:val="fr-FR"/>
        </w:rPr>
        <w:t>a</w:t>
      </w:r>
      <w:proofErr w:type="gramEnd"/>
      <w:r w:rsidR="00361688">
        <w:rPr>
          <w:vertAlign w:val="superscript"/>
          <w:lang w:val="fr-FR"/>
        </w:rPr>
        <w:t xml:space="preserve">  </w:t>
      </w:r>
      <w:r w:rsidRPr="00361688">
        <w:rPr>
          <w:sz w:val="18"/>
          <w:szCs w:val="18"/>
          <w:lang w:val="fr-FR"/>
        </w:rPr>
        <w:t>On entend par là la température de décomposition auto-accélérée de la matière telle qu’emballée pour le transport.</w:t>
      </w:r>
    </w:p>
    <w:p w:rsidR="00E841C6" w:rsidRPr="00E841C6" w:rsidRDefault="00E841C6" w:rsidP="00E841C6">
      <w:pPr>
        <w:pStyle w:val="SingleTxtG"/>
      </w:pPr>
      <w:r w:rsidRPr="00E841C6">
        <w:rPr>
          <w:lang w:val="fr-FR"/>
        </w:rPr>
        <w:t>7.1.5.2.6</w:t>
      </w:r>
      <w:r w:rsidRPr="00E841C6">
        <w:rPr>
          <w:lang w:val="fr-FR"/>
        </w:rPr>
        <w:tab/>
        <w:t xml:space="preserve">La température de régulation et la température critique sont calculées à l’aide du tableau sous 7.1.5.2.5 à partir de la température de décomposition auto-accélérée (TDAA) ou de la température de polymérisation auto-accélérée (TPAA), qui sont les plus basses températures auxquelles une telle décomposition ou une telle polymérisation peut se produire dans l’emballage, le GRV ou la citerne mobile utilisé pour le transport. On doit déterminer la TDAA ou la TPAA pour savoir si une matière doit faire l’objet d’une régulation de température pendant le transport. Les dispositions concernant cette détermination sont énoncées au 2.4.2.3.4, au 2.5.3.4.2 et au 2.4.2.5.2 pour les matières </w:t>
      </w:r>
      <w:proofErr w:type="spellStart"/>
      <w:r w:rsidRPr="00E841C6">
        <w:rPr>
          <w:lang w:val="fr-FR"/>
        </w:rPr>
        <w:t>autoréactives</w:t>
      </w:r>
      <w:proofErr w:type="spellEnd"/>
      <w:r w:rsidRPr="00E841C6">
        <w:rPr>
          <w:lang w:val="fr-FR"/>
        </w:rPr>
        <w:t>, les peroxydes organiques et les matières et mélanges s</w:t>
      </w:r>
      <w:r w:rsidRPr="00E841C6">
        <w:rPr>
          <w:bCs/>
          <w:lang w:val="fr-FR"/>
        </w:rPr>
        <w:t>usceptibles de former des polymères</w:t>
      </w:r>
      <w:r w:rsidRPr="00E841C6">
        <w:rPr>
          <w:lang w:val="fr-FR"/>
        </w:rPr>
        <w:t>, respectivement.</w:t>
      </w:r>
    </w:p>
    <w:p w:rsidR="00E841C6" w:rsidRPr="00E841C6" w:rsidRDefault="00E841C6" w:rsidP="00E841C6">
      <w:pPr>
        <w:pStyle w:val="SingleTxtG"/>
      </w:pPr>
      <w:r w:rsidRPr="00E841C6">
        <w:rPr>
          <w:lang w:val="fr-FR"/>
        </w:rPr>
        <w:t>7.1.5.2.7</w:t>
      </w:r>
      <w:r w:rsidRPr="00E841C6">
        <w:rPr>
          <w:lang w:val="fr-FR"/>
        </w:rPr>
        <w:tab/>
        <w:t xml:space="preserve">La température de régulation et la température critique pour les matières </w:t>
      </w:r>
      <w:proofErr w:type="spellStart"/>
      <w:r w:rsidRPr="00E841C6">
        <w:rPr>
          <w:lang w:val="fr-FR"/>
        </w:rPr>
        <w:t>autoréactives</w:t>
      </w:r>
      <w:proofErr w:type="spellEnd"/>
      <w:r w:rsidRPr="00E841C6">
        <w:rPr>
          <w:lang w:val="fr-FR"/>
        </w:rPr>
        <w:t xml:space="preserve"> et pour les préparations de peroxydes organiques déjà classées sont indiquées aux 2.4.2.3.2.3 et 2.5.3.2.4, respectivement.</w:t>
      </w:r>
    </w:p>
    <w:p w:rsidR="00E841C6" w:rsidRPr="00E841C6" w:rsidRDefault="00E841C6" w:rsidP="00E841C6">
      <w:pPr>
        <w:pStyle w:val="SingleTxtG"/>
      </w:pPr>
      <w:r w:rsidRPr="00E841C6">
        <w:rPr>
          <w:lang w:val="fr-FR"/>
        </w:rPr>
        <w:t>7.1.5.2.8</w:t>
      </w:r>
      <w:r w:rsidRPr="00E841C6">
        <w:rPr>
          <w:lang w:val="fr-FR"/>
        </w:rPr>
        <w:tab/>
        <w:t>La température réelle de transport pourra être inférieure à la température de régulation, mais elle ne devra pas être si basse qu’elle cause une séparation dangereuse des phases.</w:t>
      </w:r>
    </w:p>
    <w:p w:rsidR="00E841C6" w:rsidRPr="00E841C6" w:rsidRDefault="00E841C6" w:rsidP="00E841C6">
      <w:pPr>
        <w:pStyle w:val="SingleTxtG"/>
      </w:pPr>
      <w:r w:rsidRPr="00E841C6">
        <w:rPr>
          <w:lang w:val="fr-FR"/>
        </w:rPr>
        <w:t>7.1.5.3</w:t>
      </w:r>
      <w:r w:rsidRPr="00E841C6">
        <w:rPr>
          <w:lang w:val="fr-FR"/>
        </w:rPr>
        <w:tab/>
      </w:r>
      <w:r w:rsidR="009F3F9C">
        <w:rPr>
          <w:lang w:val="fr-FR"/>
        </w:rPr>
        <w:tab/>
      </w:r>
      <w:r w:rsidRPr="00E841C6">
        <w:rPr>
          <w:i/>
          <w:lang w:val="fr-FR"/>
        </w:rPr>
        <w:t>Transport avec régulation de température</w:t>
      </w:r>
    </w:p>
    <w:p w:rsidR="00E841C6" w:rsidRPr="00E841C6" w:rsidRDefault="00E841C6" w:rsidP="00E841C6">
      <w:pPr>
        <w:pStyle w:val="SingleTxtG"/>
      </w:pPr>
      <w:r w:rsidRPr="00E841C6">
        <w:rPr>
          <w:b/>
          <w:lang w:val="fr-FR"/>
        </w:rPr>
        <w:t>NOTA</w:t>
      </w:r>
      <w:r w:rsidR="009F3F9C">
        <w:rPr>
          <w:b/>
          <w:lang w:val="fr-FR"/>
        </w:rPr>
        <w:t> </w:t>
      </w:r>
      <w:r w:rsidRPr="00E841C6">
        <w:rPr>
          <w:lang w:val="fr-FR"/>
        </w:rPr>
        <w:t>:</w:t>
      </w:r>
      <w:r w:rsidRPr="00E841C6">
        <w:rPr>
          <w:lang w:val="fr-FR"/>
        </w:rPr>
        <w:tab/>
        <w:t>Étant donné la variation des conditions entre les divers modes de transport, les paragraphes ci-après n’énoncent que des dispositions de caractère général.</w:t>
      </w:r>
    </w:p>
    <w:p w:rsidR="00E841C6" w:rsidRPr="00E841C6" w:rsidRDefault="00E841C6" w:rsidP="00E841C6">
      <w:pPr>
        <w:pStyle w:val="SingleTxtG"/>
      </w:pPr>
      <w:r w:rsidRPr="00E841C6">
        <w:rPr>
          <w:lang w:val="fr-FR"/>
        </w:rPr>
        <w:t>7.1.5.3.1</w:t>
      </w:r>
      <w:r w:rsidRPr="00E841C6">
        <w:rPr>
          <w:lang w:val="fr-FR"/>
        </w:rPr>
        <w:tab/>
        <w:t>Le maintien de la température prescrite est une condition indispensable pour la sécurité du transport des matières stabilisées par régulation de température. C’est pourquoi il faudra de manière générale veiller à ce que</w:t>
      </w:r>
      <w:r w:rsidR="009F3F9C">
        <w:rPr>
          <w:lang w:val="fr-FR"/>
        </w:rPr>
        <w:t> </w:t>
      </w:r>
      <w:r w:rsidR="00F37893">
        <w:rPr>
          <w:lang w:val="fr-FR"/>
        </w:rPr>
        <w:t>:</w:t>
      </w:r>
    </w:p>
    <w:p w:rsidR="00E841C6" w:rsidRPr="002652E2" w:rsidRDefault="00E841C6" w:rsidP="009F3F9C">
      <w:pPr>
        <w:pStyle w:val="SingleTxtG"/>
        <w:ind w:left="2268"/>
        <w:rPr>
          <w:spacing w:val="-2"/>
        </w:rPr>
      </w:pPr>
      <w:r w:rsidRPr="00E841C6">
        <w:rPr>
          <w:lang w:val="fr-FR"/>
        </w:rPr>
        <w:t>a)</w:t>
      </w:r>
      <w:r w:rsidRPr="00E841C6">
        <w:rPr>
          <w:lang w:val="fr-FR"/>
        </w:rPr>
        <w:tab/>
      </w:r>
      <w:r w:rsidR="002652E2" w:rsidRPr="002652E2">
        <w:rPr>
          <w:spacing w:val="-2"/>
          <w:lang w:val="fr-FR"/>
        </w:rPr>
        <w:t>L</w:t>
      </w:r>
      <w:r w:rsidRPr="002652E2">
        <w:rPr>
          <w:spacing w:val="-2"/>
          <w:lang w:val="fr-FR"/>
        </w:rPr>
        <w:t>’engin de transport soit soigneusement inspecté avant le chargement</w:t>
      </w:r>
      <w:r w:rsidR="009F3F9C" w:rsidRPr="002652E2">
        <w:rPr>
          <w:spacing w:val="-2"/>
          <w:lang w:val="fr-FR"/>
        </w:rPr>
        <w:t> </w:t>
      </w:r>
      <w:r w:rsidRPr="002652E2">
        <w:rPr>
          <w:spacing w:val="-2"/>
          <w:lang w:val="fr-FR"/>
        </w:rPr>
        <w:t>;</w:t>
      </w:r>
    </w:p>
    <w:p w:rsidR="00E841C6" w:rsidRPr="00E841C6" w:rsidRDefault="00E841C6" w:rsidP="009F3F9C">
      <w:pPr>
        <w:pStyle w:val="SingleTxtG"/>
        <w:ind w:left="2268"/>
      </w:pPr>
      <w:r w:rsidRPr="00E841C6">
        <w:rPr>
          <w:lang w:val="fr-FR"/>
        </w:rPr>
        <w:t>b)</w:t>
      </w:r>
      <w:r w:rsidRPr="00E841C6">
        <w:rPr>
          <w:lang w:val="fr-FR"/>
        </w:rPr>
        <w:tab/>
      </w:r>
      <w:r w:rsidR="002652E2">
        <w:rPr>
          <w:lang w:val="fr-FR"/>
        </w:rPr>
        <w:t>D</w:t>
      </w:r>
      <w:r w:rsidRPr="00E841C6">
        <w:rPr>
          <w:lang w:val="fr-FR"/>
        </w:rPr>
        <w:t>es instructions soient données aux transporteurs sur le fonctionnement du système de réfrigération</w:t>
      </w:r>
      <w:r w:rsidR="009F3F9C">
        <w:rPr>
          <w:lang w:val="fr-FR"/>
        </w:rPr>
        <w:t> </w:t>
      </w:r>
      <w:r w:rsidRPr="00E841C6">
        <w:rPr>
          <w:lang w:val="fr-FR"/>
        </w:rPr>
        <w:t>;</w:t>
      </w:r>
    </w:p>
    <w:p w:rsidR="00E841C6" w:rsidRPr="00E841C6" w:rsidRDefault="00E841C6" w:rsidP="009F3F9C">
      <w:pPr>
        <w:pStyle w:val="SingleTxtG"/>
        <w:ind w:left="2268"/>
      </w:pPr>
      <w:r w:rsidRPr="00E841C6">
        <w:rPr>
          <w:lang w:val="fr-FR"/>
        </w:rPr>
        <w:t>c)</w:t>
      </w:r>
      <w:r w:rsidRPr="00E841C6">
        <w:rPr>
          <w:lang w:val="fr-FR"/>
        </w:rPr>
        <w:tab/>
      </w:r>
      <w:r w:rsidR="002652E2">
        <w:rPr>
          <w:lang w:val="fr-FR"/>
        </w:rPr>
        <w:t>D</w:t>
      </w:r>
      <w:r w:rsidRPr="00E841C6">
        <w:rPr>
          <w:lang w:val="fr-FR"/>
        </w:rPr>
        <w:t>es mesures soient prévues en cas de défaillance de la régulation</w:t>
      </w:r>
      <w:r w:rsidR="00F37893">
        <w:rPr>
          <w:lang w:val="fr-FR"/>
        </w:rPr>
        <w:t> </w:t>
      </w:r>
      <w:r w:rsidRPr="00E841C6">
        <w:rPr>
          <w:lang w:val="fr-FR"/>
        </w:rPr>
        <w:t>;</w:t>
      </w:r>
    </w:p>
    <w:p w:rsidR="00E841C6" w:rsidRPr="002652E2" w:rsidRDefault="00E841C6" w:rsidP="009F3F9C">
      <w:pPr>
        <w:pStyle w:val="SingleTxtG"/>
        <w:ind w:left="2268"/>
        <w:rPr>
          <w:spacing w:val="-2"/>
        </w:rPr>
      </w:pPr>
      <w:r w:rsidRPr="00E841C6">
        <w:rPr>
          <w:lang w:val="fr-FR"/>
        </w:rPr>
        <w:t>d)</w:t>
      </w:r>
      <w:r w:rsidRPr="00E841C6">
        <w:rPr>
          <w:lang w:val="fr-FR"/>
        </w:rPr>
        <w:tab/>
      </w:r>
      <w:r w:rsidR="002652E2" w:rsidRPr="002652E2">
        <w:rPr>
          <w:spacing w:val="-2"/>
          <w:lang w:val="fr-FR"/>
        </w:rPr>
        <w:t>L</w:t>
      </w:r>
      <w:r w:rsidRPr="002652E2">
        <w:rPr>
          <w:spacing w:val="-2"/>
          <w:lang w:val="fr-FR"/>
        </w:rPr>
        <w:t>es températures au cours du transport soient régulièrement surveillées</w:t>
      </w:r>
      <w:r w:rsidR="009F3F9C" w:rsidRPr="002652E2">
        <w:rPr>
          <w:spacing w:val="-2"/>
          <w:lang w:val="fr-FR"/>
        </w:rPr>
        <w:t> </w:t>
      </w:r>
      <w:r w:rsidRPr="002652E2">
        <w:rPr>
          <w:spacing w:val="-2"/>
          <w:lang w:val="fr-FR"/>
        </w:rPr>
        <w:t xml:space="preserve">; </w:t>
      </w:r>
    </w:p>
    <w:p w:rsidR="00E841C6" w:rsidRPr="00E841C6" w:rsidRDefault="00E841C6" w:rsidP="009F3F9C">
      <w:pPr>
        <w:pStyle w:val="SingleTxtG"/>
        <w:ind w:left="2268"/>
        <w:rPr>
          <w:lang w:val="fr-FR"/>
        </w:rPr>
      </w:pPr>
      <w:r w:rsidRPr="00E841C6">
        <w:rPr>
          <w:lang w:val="fr-FR"/>
        </w:rPr>
        <w:t>e)</w:t>
      </w:r>
      <w:r w:rsidRPr="00E841C6">
        <w:rPr>
          <w:lang w:val="fr-FR"/>
        </w:rPr>
        <w:tab/>
      </w:r>
      <w:r w:rsidR="002652E2">
        <w:rPr>
          <w:lang w:val="fr-FR"/>
        </w:rPr>
        <w:t>U</w:t>
      </w:r>
      <w:r w:rsidRPr="00E841C6">
        <w:rPr>
          <w:lang w:val="fr-FR"/>
        </w:rPr>
        <w:t>n système de réfrigération de secours ou des pièces de rechange soient prévus</w:t>
      </w:r>
      <w:r w:rsidR="00F37893">
        <w:rPr>
          <w:lang w:val="fr-FR"/>
        </w:rPr>
        <w:t>.</w:t>
      </w:r>
    </w:p>
    <w:p w:rsidR="00E841C6" w:rsidRPr="00E841C6" w:rsidRDefault="00E841C6" w:rsidP="00E841C6">
      <w:pPr>
        <w:pStyle w:val="SingleTxtG"/>
      </w:pPr>
      <w:r w:rsidRPr="00E841C6">
        <w:rPr>
          <w:lang w:val="fr-FR"/>
        </w:rPr>
        <w:lastRenderedPageBreak/>
        <w:t>7.1.5.3.2</w:t>
      </w:r>
      <w:r w:rsidRPr="00E841C6">
        <w:rPr>
          <w:lang w:val="fr-FR"/>
        </w:rPr>
        <w:tab/>
        <w:t>Tous les dispositifs de commande et les dispositifs capteurs de température du système de réfrigération doivent être facilement accessibles, et toutes les connexions électriques doivent être protégées contre les intempéries. La température de l’air à l’intérieur de l’engin de transport doit être mesurée avec deux capteurs indépendants et les signaux de température doivent être enregistrés de manière que les variations de température soient facilement détectables. Les températures doivent être contrôlées à intervalles de quatre à six heures et consignées. Lors du transport de matières qui ont une température de régulation inférieure à +25</w:t>
      </w:r>
      <w:r w:rsidR="00F37893">
        <w:rPr>
          <w:lang w:val="fr-FR"/>
        </w:rPr>
        <w:t> </w:t>
      </w:r>
      <w:r w:rsidRPr="00E841C6">
        <w:rPr>
          <w:lang w:val="fr-FR"/>
        </w:rPr>
        <w:t xml:space="preserve">°C, l’engin de transport doit être équipé d’un dispositif d’alarme optique et sonore, ayant une alimentation indépendante du système de réfrigération, réglé pour fonctionner à une température égale ou inférieure </w:t>
      </w:r>
      <w:r w:rsidR="00F37893">
        <w:rPr>
          <w:lang w:val="fr-FR"/>
        </w:rPr>
        <w:t>à la température de régulation.</w:t>
      </w:r>
    </w:p>
    <w:p w:rsidR="00E841C6" w:rsidRPr="00E841C6" w:rsidRDefault="00E841C6" w:rsidP="00E841C6">
      <w:pPr>
        <w:pStyle w:val="SingleTxtG"/>
      </w:pPr>
      <w:r w:rsidRPr="00E841C6">
        <w:rPr>
          <w:lang w:val="fr-FR"/>
        </w:rPr>
        <w:t>7.1.5.3.3</w:t>
      </w:r>
      <w:r w:rsidRPr="00E841C6">
        <w:rPr>
          <w:lang w:val="fr-FR"/>
        </w:rPr>
        <w:tab/>
        <w:t>Tout dépassement de la température de régulation au cours du transport doit déclencher une procédure d’alerte, comprenant la réparation éventuelle du dispositif frigorifique ou le renforcement de la capacité de refroidissement (utilisation de matières réfrigérantes liquides ou solides additionnelles, par exemple). On doit en outre contrôler fréquemment la température et se préparer à prendre des mesures d’urgence. Si la température critique est atteinte, celles-ci doivent être appliquées.</w:t>
      </w:r>
    </w:p>
    <w:p w:rsidR="00E841C6" w:rsidRPr="00E841C6" w:rsidRDefault="00F37893" w:rsidP="00E841C6">
      <w:pPr>
        <w:pStyle w:val="SingleTxtG"/>
      </w:pPr>
      <w:r>
        <w:rPr>
          <w:lang w:val="fr-FR"/>
        </w:rPr>
        <w:t>7.1.5.3.4</w:t>
      </w:r>
      <w:r w:rsidR="00E841C6" w:rsidRPr="00E841C6">
        <w:rPr>
          <w:lang w:val="fr-FR"/>
        </w:rPr>
        <w:tab/>
        <w:t>Le moyen de régulation de température choisi pour le transport dépend d’un certain nombre de facteurs, tels que</w:t>
      </w:r>
      <w:r>
        <w:rPr>
          <w:lang w:val="fr-FR"/>
        </w:rPr>
        <w:t> </w:t>
      </w:r>
      <w:r w:rsidR="00E841C6" w:rsidRPr="00E841C6">
        <w:rPr>
          <w:lang w:val="fr-FR"/>
        </w:rPr>
        <w:t xml:space="preserve">: </w:t>
      </w:r>
    </w:p>
    <w:p w:rsidR="00E841C6" w:rsidRPr="00E841C6" w:rsidRDefault="00E841C6" w:rsidP="00F37893">
      <w:pPr>
        <w:pStyle w:val="SingleTxtG"/>
        <w:ind w:left="2268"/>
        <w:rPr>
          <w:lang w:val="fr-FR"/>
        </w:rPr>
      </w:pPr>
      <w:r w:rsidRPr="00E841C6">
        <w:rPr>
          <w:lang w:val="fr-FR"/>
        </w:rPr>
        <w:t>a)</w:t>
      </w:r>
      <w:r w:rsidRPr="00E841C6">
        <w:rPr>
          <w:lang w:val="fr-FR"/>
        </w:rPr>
        <w:tab/>
      </w:r>
      <w:r w:rsidR="00F37893">
        <w:rPr>
          <w:lang w:val="fr-FR"/>
        </w:rPr>
        <w:t>L</w:t>
      </w:r>
      <w:r w:rsidRPr="00E841C6">
        <w:rPr>
          <w:lang w:val="fr-FR"/>
        </w:rPr>
        <w:t>a ou les températures de régulation de la ou des matières à transporter</w:t>
      </w:r>
      <w:r w:rsidR="00F37893">
        <w:rPr>
          <w:lang w:val="fr-FR"/>
        </w:rPr>
        <w:t> </w:t>
      </w:r>
      <w:r w:rsidRPr="00E841C6">
        <w:rPr>
          <w:lang w:val="fr-FR"/>
        </w:rPr>
        <w:t>;</w:t>
      </w:r>
    </w:p>
    <w:p w:rsidR="00E841C6" w:rsidRPr="00E841C6" w:rsidRDefault="00E841C6" w:rsidP="00F37893">
      <w:pPr>
        <w:pStyle w:val="SingleTxtG"/>
        <w:ind w:left="2268"/>
        <w:rPr>
          <w:lang w:val="fr-FR"/>
        </w:rPr>
      </w:pPr>
      <w:r w:rsidRPr="00E841C6">
        <w:rPr>
          <w:lang w:val="fr-FR"/>
        </w:rPr>
        <w:t>b)</w:t>
      </w:r>
      <w:r w:rsidRPr="00E841C6">
        <w:rPr>
          <w:lang w:val="fr-FR"/>
        </w:rPr>
        <w:tab/>
      </w:r>
      <w:r w:rsidR="00F37893">
        <w:rPr>
          <w:lang w:val="fr-FR"/>
        </w:rPr>
        <w:t>L</w:t>
      </w:r>
      <w:r w:rsidRPr="00E841C6">
        <w:rPr>
          <w:lang w:val="fr-FR"/>
        </w:rPr>
        <w:t>’écart entre la température de régulation et les températures ambiantes prévues</w:t>
      </w:r>
      <w:r w:rsidR="00F37893">
        <w:rPr>
          <w:lang w:val="fr-FR"/>
        </w:rPr>
        <w:t> </w:t>
      </w:r>
      <w:r w:rsidRPr="00E841C6">
        <w:rPr>
          <w:lang w:val="fr-FR"/>
        </w:rPr>
        <w:t>;</w:t>
      </w:r>
    </w:p>
    <w:p w:rsidR="00E841C6" w:rsidRPr="00E841C6" w:rsidRDefault="00E841C6" w:rsidP="00F37893">
      <w:pPr>
        <w:pStyle w:val="SingleTxtG"/>
        <w:ind w:left="2268"/>
        <w:rPr>
          <w:lang w:val="fr-FR"/>
        </w:rPr>
      </w:pPr>
      <w:r w:rsidRPr="00E841C6">
        <w:rPr>
          <w:lang w:val="fr-FR"/>
        </w:rPr>
        <w:t>c)</w:t>
      </w:r>
      <w:r w:rsidRPr="00E841C6">
        <w:rPr>
          <w:lang w:val="fr-FR"/>
        </w:rPr>
        <w:tab/>
      </w:r>
      <w:r w:rsidR="00F37893">
        <w:rPr>
          <w:lang w:val="fr-FR"/>
        </w:rPr>
        <w:t>L</w:t>
      </w:r>
      <w:r w:rsidRPr="00E841C6">
        <w:rPr>
          <w:lang w:val="fr-FR"/>
        </w:rPr>
        <w:t>’efficacité de l’isolation thermique</w:t>
      </w:r>
      <w:r w:rsidR="00F37893">
        <w:rPr>
          <w:lang w:val="fr-FR"/>
        </w:rPr>
        <w:t> </w:t>
      </w:r>
      <w:r w:rsidRPr="00E841C6">
        <w:rPr>
          <w:lang w:val="fr-FR"/>
        </w:rPr>
        <w:t>;</w:t>
      </w:r>
    </w:p>
    <w:p w:rsidR="00E841C6" w:rsidRPr="00E841C6" w:rsidRDefault="00E841C6" w:rsidP="00F37893">
      <w:pPr>
        <w:pStyle w:val="SingleTxtG"/>
        <w:ind w:left="2268"/>
        <w:rPr>
          <w:lang w:val="fr-FR"/>
        </w:rPr>
      </w:pPr>
      <w:r w:rsidRPr="00E841C6">
        <w:rPr>
          <w:lang w:val="fr-FR"/>
        </w:rPr>
        <w:t>d)</w:t>
      </w:r>
      <w:r w:rsidRPr="00E841C6">
        <w:rPr>
          <w:lang w:val="fr-FR"/>
        </w:rPr>
        <w:tab/>
      </w:r>
      <w:r w:rsidR="00F37893">
        <w:rPr>
          <w:lang w:val="fr-FR"/>
        </w:rPr>
        <w:t>L</w:t>
      </w:r>
      <w:r w:rsidRPr="00E841C6">
        <w:rPr>
          <w:lang w:val="fr-FR"/>
        </w:rPr>
        <w:t>a durée du transport</w:t>
      </w:r>
      <w:r w:rsidR="00F37893">
        <w:rPr>
          <w:lang w:val="fr-FR"/>
        </w:rPr>
        <w:t> ;</w:t>
      </w:r>
    </w:p>
    <w:p w:rsidR="00E841C6" w:rsidRPr="00E841C6" w:rsidRDefault="00E841C6" w:rsidP="00F37893">
      <w:pPr>
        <w:pStyle w:val="SingleTxtG"/>
        <w:ind w:left="2268"/>
        <w:rPr>
          <w:lang w:val="fr-FR"/>
        </w:rPr>
      </w:pPr>
      <w:r w:rsidRPr="00E841C6">
        <w:rPr>
          <w:lang w:val="fr-FR"/>
        </w:rPr>
        <w:t>e)</w:t>
      </w:r>
      <w:r w:rsidRPr="00E841C6">
        <w:rPr>
          <w:lang w:val="fr-FR"/>
        </w:rPr>
        <w:tab/>
      </w:r>
      <w:r w:rsidR="00F37893">
        <w:rPr>
          <w:lang w:val="fr-FR"/>
        </w:rPr>
        <w:t>L</w:t>
      </w:r>
      <w:r w:rsidRPr="00E841C6">
        <w:rPr>
          <w:lang w:val="fr-FR"/>
        </w:rPr>
        <w:t xml:space="preserve">a marge de sécurité prévue pour les retards en cours de </w:t>
      </w:r>
      <w:r w:rsidR="00F37893">
        <w:rPr>
          <w:lang w:val="fr-FR"/>
        </w:rPr>
        <w:t>route.</w:t>
      </w:r>
    </w:p>
    <w:p w:rsidR="00E841C6" w:rsidRPr="00E841C6" w:rsidRDefault="00F37893" w:rsidP="00E841C6">
      <w:pPr>
        <w:pStyle w:val="SingleTxtG"/>
      </w:pPr>
      <w:r>
        <w:rPr>
          <w:lang w:val="fr-FR"/>
        </w:rPr>
        <w:t>7.1.5.3.5</w:t>
      </w:r>
      <w:r w:rsidR="00E841C6" w:rsidRPr="00E841C6">
        <w:rPr>
          <w:lang w:val="fr-FR"/>
        </w:rPr>
        <w:tab/>
        <w:t>Diverses méthodes sont admises, à certaines conditions, pour la régulation de la température</w:t>
      </w:r>
      <w:r>
        <w:rPr>
          <w:lang w:val="fr-FR"/>
        </w:rPr>
        <w:t> </w:t>
      </w:r>
      <w:r w:rsidR="00E841C6" w:rsidRPr="00E841C6">
        <w:rPr>
          <w:lang w:val="fr-FR"/>
        </w:rPr>
        <w:t>; elles sont énumérées ici par ordre croissant d’efficacité</w:t>
      </w:r>
      <w:r>
        <w:rPr>
          <w:lang w:val="fr-FR"/>
        </w:rPr>
        <w:t> </w:t>
      </w:r>
      <w:r w:rsidR="00E841C6" w:rsidRPr="00E841C6">
        <w:rPr>
          <w:lang w:val="fr-FR"/>
        </w:rPr>
        <w:t>:</w:t>
      </w:r>
    </w:p>
    <w:p w:rsidR="00E841C6" w:rsidRPr="00E841C6" w:rsidRDefault="00E841C6" w:rsidP="00F37893">
      <w:pPr>
        <w:pStyle w:val="SingleTxtG"/>
        <w:ind w:left="2268"/>
      </w:pPr>
      <w:r w:rsidRPr="00E841C6">
        <w:rPr>
          <w:lang w:val="fr-FR"/>
        </w:rPr>
        <w:t>a)</w:t>
      </w:r>
      <w:r w:rsidRPr="00E841C6">
        <w:rPr>
          <w:lang w:val="fr-FR"/>
        </w:rPr>
        <w:tab/>
      </w:r>
      <w:r w:rsidR="00F37893">
        <w:rPr>
          <w:lang w:val="fr-FR"/>
        </w:rPr>
        <w:t>I</w:t>
      </w:r>
      <w:r w:rsidRPr="00E841C6">
        <w:rPr>
          <w:lang w:val="fr-FR"/>
        </w:rPr>
        <w:t>solation thermique</w:t>
      </w:r>
      <w:r w:rsidR="00F37893">
        <w:rPr>
          <w:lang w:val="fr-FR"/>
        </w:rPr>
        <w:t> </w:t>
      </w:r>
      <w:r w:rsidRPr="00E841C6">
        <w:rPr>
          <w:lang w:val="fr-FR"/>
        </w:rPr>
        <w:t>: la température initiale de la ou des matières doit être suffisamment basse par rapport à la température de régulation</w:t>
      </w:r>
      <w:r w:rsidR="00F37893">
        <w:rPr>
          <w:lang w:val="fr-FR"/>
        </w:rPr>
        <w:t> ;</w:t>
      </w:r>
    </w:p>
    <w:p w:rsidR="00E841C6" w:rsidRPr="00E841C6" w:rsidRDefault="00E841C6" w:rsidP="00F37893">
      <w:pPr>
        <w:pStyle w:val="SingleTxtG"/>
        <w:ind w:left="2268"/>
      </w:pPr>
      <w:r w:rsidRPr="00E841C6">
        <w:rPr>
          <w:lang w:val="fr-FR"/>
        </w:rPr>
        <w:t>b)</w:t>
      </w:r>
      <w:r w:rsidRPr="00E841C6">
        <w:rPr>
          <w:lang w:val="fr-FR"/>
        </w:rPr>
        <w:tab/>
      </w:r>
      <w:r w:rsidR="00F37893">
        <w:rPr>
          <w:lang w:val="fr-FR"/>
        </w:rPr>
        <w:t>I</w:t>
      </w:r>
      <w:r w:rsidRPr="00E841C6">
        <w:rPr>
          <w:lang w:val="fr-FR"/>
        </w:rPr>
        <w:t>solation thermique et refroidissement par matières réfrigérantes</w:t>
      </w:r>
      <w:r w:rsidR="00F37893">
        <w:rPr>
          <w:lang w:val="fr-FR"/>
        </w:rPr>
        <w:t> </w:t>
      </w:r>
      <w:r w:rsidRPr="00E841C6">
        <w:rPr>
          <w:lang w:val="fr-FR"/>
        </w:rPr>
        <w:t xml:space="preserve">: </w:t>
      </w:r>
    </w:p>
    <w:p w:rsidR="00E841C6" w:rsidRPr="00E841C6" w:rsidRDefault="00E841C6" w:rsidP="00F37893">
      <w:pPr>
        <w:pStyle w:val="SingleTxtG"/>
        <w:ind w:left="2835"/>
      </w:pPr>
      <w:r w:rsidRPr="00E841C6">
        <w:rPr>
          <w:lang w:val="fr-FR"/>
        </w:rPr>
        <w:t>i)</w:t>
      </w:r>
      <w:r w:rsidRPr="00E841C6">
        <w:rPr>
          <w:lang w:val="fr-FR"/>
        </w:rPr>
        <w:tab/>
      </w:r>
      <w:r w:rsidR="00F37893">
        <w:rPr>
          <w:lang w:val="fr-FR"/>
        </w:rPr>
        <w:t>L</w:t>
      </w:r>
      <w:r w:rsidRPr="00E841C6">
        <w:rPr>
          <w:lang w:val="fr-FR"/>
        </w:rPr>
        <w:t>a quantité de réfrigérant (azote liquide ou neige carbonique, par exemple) transportée dans l’engin de transport doit être suffisante pour la durée du trajet, avec une marge raisonnable pour les retards éventuels</w:t>
      </w:r>
      <w:r w:rsidR="00F37893">
        <w:rPr>
          <w:lang w:val="fr-FR"/>
        </w:rPr>
        <w:t> </w:t>
      </w:r>
      <w:r w:rsidRPr="00E841C6">
        <w:rPr>
          <w:lang w:val="fr-FR"/>
        </w:rPr>
        <w:t>;</w:t>
      </w:r>
    </w:p>
    <w:p w:rsidR="00E841C6" w:rsidRPr="00E841C6" w:rsidRDefault="00E841C6" w:rsidP="00F37893">
      <w:pPr>
        <w:pStyle w:val="SingleTxtG"/>
        <w:ind w:left="2835"/>
      </w:pPr>
      <w:r w:rsidRPr="00E841C6">
        <w:rPr>
          <w:lang w:val="fr-FR"/>
        </w:rPr>
        <w:t>ii)</w:t>
      </w:r>
      <w:r w:rsidRPr="00E841C6">
        <w:rPr>
          <w:lang w:val="fr-FR"/>
        </w:rPr>
        <w:tab/>
      </w:r>
      <w:r w:rsidR="00F37893">
        <w:rPr>
          <w:lang w:val="fr-FR"/>
        </w:rPr>
        <w:t>N</w:t>
      </w:r>
      <w:r w:rsidRPr="00E841C6">
        <w:rPr>
          <w:lang w:val="fr-FR"/>
        </w:rPr>
        <w:t>i l’oxygène liquide, ni l’air liquide ne doivent être utilisés comme réfrigérants</w:t>
      </w:r>
      <w:r w:rsidR="00F37893">
        <w:rPr>
          <w:lang w:val="fr-FR"/>
        </w:rPr>
        <w:t> </w:t>
      </w:r>
      <w:r w:rsidRPr="00E841C6">
        <w:rPr>
          <w:lang w:val="fr-FR"/>
        </w:rPr>
        <w:t>;</w:t>
      </w:r>
    </w:p>
    <w:p w:rsidR="00E841C6" w:rsidRPr="00E841C6" w:rsidRDefault="00E841C6" w:rsidP="00F37893">
      <w:pPr>
        <w:pStyle w:val="SingleTxtG"/>
        <w:ind w:left="2835"/>
      </w:pPr>
      <w:r w:rsidRPr="00E841C6">
        <w:rPr>
          <w:lang w:val="fr-FR"/>
        </w:rPr>
        <w:t>iii)</w:t>
      </w:r>
      <w:r w:rsidRPr="00E841C6">
        <w:rPr>
          <w:lang w:val="fr-FR"/>
        </w:rPr>
        <w:tab/>
      </w:r>
      <w:r w:rsidR="00F37893">
        <w:rPr>
          <w:lang w:val="fr-FR"/>
        </w:rPr>
        <w:t>L</w:t>
      </w:r>
      <w:r w:rsidRPr="00E841C6">
        <w:rPr>
          <w:lang w:val="fr-FR"/>
        </w:rPr>
        <w:t>’effet de réfrigération doit demeurer uniforme même lorsque le réfrigérant est presque entièrement consommé</w:t>
      </w:r>
      <w:r w:rsidR="00F37893">
        <w:rPr>
          <w:lang w:val="fr-FR"/>
        </w:rPr>
        <w:t> ;</w:t>
      </w:r>
    </w:p>
    <w:p w:rsidR="00E841C6" w:rsidRPr="00E841C6" w:rsidRDefault="00E841C6" w:rsidP="00F37893">
      <w:pPr>
        <w:pStyle w:val="SingleTxtG"/>
        <w:ind w:left="2835"/>
      </w:pPr>
      <w:r w:rsidRPr="00E841C6">
        <w:rPr>
          <w:lang w:val="fr-FR"/>
        </w:rPr>
        <w:t>iv)</w:t>
      </w:r>
      <w:r w:rsidRPr="00E841C6">
        <w:rPr>
          <w:lang w:val="fr-FR"/>
        </w:rPr>
        <w:tab/>
      </w:r>
      <w:r w:rsidR="00F37893">
        <w:rPr>
          <w:lang w:val="fr-FR"/>
        </w:rPr>
        <w:t>L</w:t>
      </w:r>
      <w:r w:rsidRPr="00E841C6">
        <w:rPr>
          <w:lang w:val="fr-FR"/>
        </w:rPr>
        <w:t>a nécessité de ventiler l’engin de transport avant d’y pénétrer doit être clairement indiquée par des inscriptions sur la ou les portes de l’engin</w:t>
      </w:r>
      <w:r w:rsidR="00F37893">
        <w:rPr>
          <w:lang w:val="fr-FR"/>
        </w:rPr>
        <w:t> </w:t>
      </w:r>
      <w:r w:rsidRPr="00E841C6">
        <w:rPr>
          <w:lang w:val="fr-FR"/>
        </w:rPr>
        <w:t>;</w:t>
      </w:r>
    </w:p>
    <w:p w:rsidR="00E841C6" w:rsidRPr="00E841C6" w:rsidRDefault="00E841C6" w:rsidP="00F37893">
      <w:pPr>
        <w:pStyle w:val="SingleTxtG"/>
        <w:ind w:left="2268"/>
      </w:pPr>
      <w:r w:rsidRPr="00E841C6">
        <w:rPr>
          <w:lang w:val="fr-FR"/>
        </w:rPr>
        <w:t>c)</w:t>
      </w:r>
      <w:r w:rsidRPr="00E841C6">
        <w:rPr>
          <w:lang w:val="fr-FR"/>
        </w:rPr>
        <w:tab/>
      </w:r>
      <w:r w:rsidR="00F37893">
        <w:rPr>
          <w:lang w:val="fr-FR"/>
        </w:rPr>
        <w:t>R</w:t>
      </w:r>
      <w:r w:rsidRPr="00E841C6">
        <w:rPr>
          <w:lang w:val="fr-FR"/>
        </w:rPr>
        <w:t>éfrigération mécanique simple, à condition que pour la ou les matières à transporter ayant un point d’éclair inférieur à la somme de la température critique plus 5</w:t>
      </w:r>
      <w:r w:rsidR="00F37893">
        <w:rPr>
          <w:lang w:val="fr-FR"/>
        </w:rPr>
        <w:t> </w:t>
      </w:r>
      <w:r w:rsidRPr="00E841C6">
        <w:rPr>
          <w:lang w:val="fr-FR"/>
        </w:rPr>
        <w:t xml:space="preserve">°C, des installations électriques à protection </w:t>
      </w:r>
      <w:r w:rsidRPr="00E841C6">
        <w:rPr>
          <w:lang w:val="fr-FR"/>
        </w:rPr>
        <w:lastRenderedPageBreak/>
        <w:t>contre l’explosion soient utilisées dans le compartiment de refroidissement pour éviter l’inflammation des vapeurs inflammables dégagées</w:t>
      </w:r>
      <w:r w:rsidR="00F37893">
        <w:rPr>
          <w:lang w:val="fr-FR"/>
        </w:rPr>
        <w:t> </w:t>
      </w:r>
      <w:r w:rsidRPr="00E841C6">
        <w:rPr>
          <w:lang w:val="fr-FR"/>
        </w:rPr>
        <w:t xml:space="preserve">; </w:t>
      </w:r>
    </w:p>
    <w:p w:rsidR="00E841C6" w:rsidRPr="00E841C6" w:rsidRDefault="00E841C6" w:rsidP="00F37893">
      <w:pPr>
        <w:pStyle w:val="SingleTxtG"/>
        <w:ind w:left="2268"/>
      </w:pPr>
      <w:r w:rsidRPr="00E841C6">
        <w:rPr>
          <w:lang w:val="fr-FR"/>
        </w:rPr>
        <w:t>d)</w:t>
      </w:r>
      <w:r w:rsidRPr="00E841C6">
        <w:rPr>
          <w:lang w:val="fr-FR"/>
        </w:rPr>
        <w:tab/>
      </w:r>
      <w:r w:rsidR="00F37893">
        <w:rPr>
          <w:lang w:val="fr-FR"/>
        </w:rPr>
        <w:t>S</w:t>
      </w:r>
      <w:r w:rsidRPr="00E841C6">
        <w:rPr>
          <w:lang w:val="fr-FR"/>
        </w:rPr>
        <w:t>ystème mixte à machine frigorifique et à matières réfrigérantes</w:t>
      </w:r>
      <w:r w:rsidR="00F37893">
        <w:rPr>
          <w:lang w:val="fr-FR"/>
        </w:rPr>
        <w:t> </w:t>
      </w:r>
      <w:r w:rsidRPr="00E841C6">
        <w:rPr>
          <w:lang w:val="fr-FR"/>
        </w:rPr>
        <w:t xml:space="preserve">: </w:t>
      </w:r>
    </w:p>
    <w:p w:rsidR="00E841C6" w:rsidRPr="00E841C6" w:rsidRDefault="00E841C6" w:rsidP="00F37893">
      <w:pPr>
        <w:pStyle w:val="SingleTxtG"/>
        <w:ind w:left="2835"/>
      </w:pPr>
      <w:r w:rsidRPr="00E841C6">
        <w:rPr>
          <w:lang w:val="fr-FR"/>
        </w:rPr>
        <w:t>i)</w:t>
      </w:r>
      <w:r w:rsidRPr="00E841C6">
        <w:rPr>
          <w:lang w:val="fr-FR"/>
        </w:rPr>
        <w:tab/>
      </w:r>
      <w:r w:rsidR="00F37893">
        <w:rPr>
          <w:lang w:val="fr-FR"/>
        </w:rPr>
        <w:t>L</w:t>
      </w:r>
      <w:r w:rsidRPr="00E841C6">
        <w:rPr>
          <w:lang w:val="fr-FR"/>
        </w:rPr>
        <w:t>es deux systèmes doivent être indépendants l’un de l’autre</w:t>
      </w:r>
      <w:r w:rsidR="00F37893">
        <w:rPr>
          <w:lang w:val="fr-FR"/>
        </w:rPr>
        <w:t> </w:t>
      </w:r>
      <w:r w:rsidRPr="00E841C6">
        <w:rPr>
          <w:lang w:val="fr-FR"/>
        </w:rPr>
        <w:t>;</w:t>
      </w:r>
    </w:p>
    <w:p w:rsidR="00E841C6" w:rsidRPr="00E841C6" w:rsidRDefault="00E841C6" w:rsidP="00F37893">
      <w:pPr>
        <w:pStyle w:val="SingleTxtG"/>
        <w:ind w:left="2835"/>
      </w:pPr>
      <w:r w:rsidRPr="00E841C6">
        <w:rPr>
          <w:lang w:val="fr-FR"/>
        </w:rPr>
        <w:t>ii)</w:t>
      </w:r>
      <w:r w:rsidRPr="00E841C6">
        <w:rPr>
          <w:lang w:val="fr-FR"/>
        </w:rPr>
        <w:tab/>
      </w:r>
      <w:r w:rsidR="00F37893">
        <w:rPr>
          <w:lang w:val="fr-FR"/>
        </w:rPr>
        <w:t>I</w:t>
      </w:r>
      <w:r w:rsidRPr="00E841C6">
        <w:rPr>
          <w:lang w:val="fr-FR"/>
        </w:rPr>
        <w:t>l doit être satisfait aux dispositions formulées en b) et c)</w:t>
      </w:r>
      <w:r w:rsidR="00F37893">
        <w:rPr>
          <w:lang w:val="fr-FR"/>
        </w:rPr>
        <w:t> </w:t>
      </w:r>
      <w:r w:rsidRPr="00E841C6">
        <w:rPr>
          <w:lang w:val="fr-FR"/>
        </w:rPr>
        <w:t>;</w:t>
      </w:r>
    </w:p>
    <w:p w:rsidR="00E841C6" w:rsidRPr="00E841C6" w:rsidRDefault="00E841C6" w:rsidP="00F37893">
      <w:pPr>
        <w:pStyle w:val="SingleTxtG"/>
        <w:ind w:left="2268"/>
      </w:pPr>
      <w:r w:rsidRPr="00E841C6">
        <w:rPr>
          <w:lang w:val="fr-FR"/>
        </w:rPr>
        <w:t>e)</w:t>
      </w:r>
      <w:r w:rsidRPr="00E841C6">
        <w:rPr>
          <w:lang w:val="fr-FR"/>
        </w:rPr>
        <w:tab/>
      </w:r>
      <w:r w:rsidR="00F37893">
        <w:rPr>
          <w:lang w:val="fr-FR"/>
        </w:rPr>
        <w:t>S</w:t>
      </w:r>
      <w:r w:rsidRPr="00E841C6">
        <w:rPr>
          <w:lang w:val="fr-FR"/>
        </w:rPr>
        <w:t>ystème de réfrigération mécanique double</w:t>
      </w:r>
      <w:r w:rsidR="00F37893">
        <w:rPr>
          <w:lang w:val="fr-FR"/>
        </w:rPr>
        <w:t> </w:t>
      </w:r>
      <w:r w:rsidRPr="00E841C6">
        <w:rPr>
          <w:lang w:val="fr-FR"/>
        </w:rPr>
        <w:t xml:space="preserve">: </w:t>
      </w:r>
    </w:p>
    <w:p w:rsidR="00E841C6" w:rsidRPr="00E841C6" w:rsidRDefault="00E841C6" w:rsidP="00F37893">
      <w:pPr>
        <w:pStyle w:val="SingleTxtG"/>
        <w:ind w:left="2835"/>
      </w:pPr>
      <w:r w:rsidRPr="00E841C6">
        <w:rPr>
          <w:lang w:val="fr-FR"/>
        </w:rPr>
        <w:t>i)</w:t>
      </w:r>
      <w:r w:rsidRPr="00E841C6">
        <w:rPr>
          <w:lang w:val="fr-FR"/>
        </w:rPr>
        <w:tab/>
      </w:r>
      <w:r w:rsidR="00F37893">
        <w:rPr>
          <w:lang w:val="fr-FR"/>
        </w:rPr>
        <w:t>À</w:t>
      </w:r>
      <w:r w:rsidRPr="00E841C6">
        <w:rPr>
          <w:lang w:val="fr-FR"/>
        </w:rPr>
        <w:t xml:space="preserve"> part le dispositif intégré d’alimentation, ces deux systèmes doivent être indépendants entre eux</w:t>
      </w:r>
      <w:r w:rsidR="00F37893">
        <w:rPr>
          <w:lang w:val="fr-FR"/>
        </w:rPr>
        <w:t> </w:t>
      </w:r>
      <w:r w:rsidRPr="00E841C6">
        <w:rPr>
          <w:lang w:val="fr-FR"/>
        </w:rPr>
        <w:t>;</w:t>
      </w:r>
    </w:p>
    <w:p w:rsidR="00E841C6" w:rsidRPr="00E841C6" w:rsidRDefault="00E841C6" w:rsidP="00F37893">
      <w:pPr>
        <w:pStyle w:val="SingleTxtG"/>
        <w:ind w:left="2835"/>
        <w:rPr>
          <w:lang w:val="fr-FR"/>
        </w:rPr>
      </w:pPr>
      <w:r w:rsidRPr="00E841C6">
        <w:rPr>
          <w:lang w:val="fr-FR"/>
        </w:rPr>
        <w:t>ii)</w:t>
      </w:r>
      <w:r w:rsidRPr="00E841C6">
        <w:rPr>
          <w:lang w:val="fr-FR"/>
        </w:rPr>
        <w:tab/>
      </w:r>
      <w:r w:rsidR="00F37893">
        <w:rPr>
          <w:lang w:val="fr-FR"/>
        </w:rPr>
        <w:t>C</w:t>
      </w:r>
      <w:r w:rsidRPr="00E841C6">
        <w:rPr>
          <w:lang w:val="fr-FR"/>
        </w:rPr>
        <w:t>haque système doit pouvoir à lui seul maintenir la température à la valeur voulue</w:t>
      </w:r>
      <w:r w:rsidR="00F37893">
        <w:rPr>
          <w:lang w:val="fr-FR"/>
        </w:rPr>
        <w:t> </w:t>
      </w:r>
      <w:r w:rsidRPr="00E841C6">
        <w:rPr>
          <w:lang w:val="fr-FR"/>
        </w:rPr>
        <w:t>;</w:t>
      </w:r>
    </w:p>
    <w:p w:rsidR="00E841C6" w:rsidRPr="00E841C6" w:rsidRDefault="00E841C6" w:rsidP="00F37893">
      <w:pPr>
        <w:pStyle w:val="SingleTxtG"/>
        <w:ind w:left="2835"/>
      </w:pPr>
      <w:r w:rsidRPr="00E841C6">
        <w:rPr>
          <w:lang w:val="fr-FR"/>
        </w:rPr>
        <w:t>iii)</w:t>
      </w:r>
      <w:r w:rsidRPr="00E841C6">
        <w:rPr>
          <w:lang w:val="fr-FR"/>
        </w:rPr>
        <w:tab/>
      </w:r>
      <w:r w:rsidR="00F37893">
        <w:rPr>
          <w:bCs/>
          <w:lang w:val="fr-FR"/>
        </w:rPr>
        <w:t>S</w:t>
      </w:r>
      <w:r w:rsidRPr="00E841C6">
        <w:rPr>
          <w:bCs/>
          <w:lang w:val="fr-FR"/>
        </w:rPr>
        <w:t>i le point d’éclair de la ou des matières à transporter est inférieur à la température critique augmentée de 5</w:t>
      </w:r>
      <w:r w:rsidR="00F37893">
        <w:rPr>
          <w:bCs/>
          <w:lang w:val="fr-FR"/>
        </w:rPr>
        <w:t> </w:t>
      </w:r>
      <w:r w:rsidRPr="00E841C6">
        <w:rPr>
          <w:bCs/>
          <w:lang w:val="fr-FR"/>
        </w:rPr>
        <w:t>°C, des raccords électriques offrant une protection contre l’explosion doivent être utilisés dans le compartiment de refroidissement pour éviter le risque d’inflammation des vapeurs dégagées.</w:t>
      </w:r>
    </w:p>
    <w:p w:rsidR="00E841C6" w:rsidRPr="00E841C6" w:rsidRDefault="00E841C6" w:rsidP="00E841C6">
      <w:pPr>
        <w:pStyle w:val="SingleTxtG"/>
      </w:pPr>
      <w:r w:rsidRPr="00E841C6">
        <w:rPr>
          <w:lang w:val="fr-FR"/>
        </w:rPr>
        <w:t>7.1.5.3.6</w:t>
      </w:r>
      <w:r w:rsidRPr="00E841C6">
        <w:rPr>
          <w:lang w:val="fr-FR"/>
        </w:rPr>
        <w:tab/>
        <w:t>Si plusieurs colis sont groupés dans un conteneur, un véhicule routier fermé ou une unité de charge, la quantité totale de matière, le type et le nombre de colis, ainsi que leur ordre d’arrimage, ne doivent pas être tels qu’il en résulte un risque d’explosion.</w:t>
      </w:r>
      <w:r w:rsidR="00F37893">
        <w:rPr>
          <w:lang w:val="fr-FR"/>
        </w:rPr>
        <w:t> »</w:t>
      </w:r>
      <w:r w:rsidRPr="00E841C6">
        <w:rPr>
          <w:lang w:val="fr-FR"/>
        </w:rPr>
        <w:t>.</w:t>
      </w:r>
    </w:p>
    <w:p w:rsidR="00E841C6" w:rsidRPr="00E841C6" w:rsidRDefault="00E841C6" w:rsidP="00F37893">
      <w:pPr>
        <w:pStyle w:val="H1G"/>
      </w:pPr>
      <w:r w:rsidRPr="00E841C6">
        <w:rPr>
          <w:lang w:val="fr-FR"/>
        </w:rPr>
        <w:tab/>
      </w:r>
      <w:r w:rsidRPr="00E841C6">
        <w:rPr>
          <w:lang w:val="fr-FR"/>
        </w:rPr>
        <w:tab/>
        <w:t>Amendements corollaires</w:t>
      </w:r>
    </w:p>
    <w:p w:rsidR="00E841C6" w:rsidRPr="00E841C6" w:rsidRDefault="00E841C6" w:rsidP="00E841C6">
      <w:pPr>
        <w:pStyle w:val="SingleTxtG"/>
      </w:pPr>
      <w:r w:rsidRPr="00E841C6">
        <w:rPr>
          <w:lang w:val="fr-FR"/>
        </w:rPr>
        <w:t>Modifier en conséquence la table des matières.</w:t>
      </w:r>
    </w:p>
    <w:p w:rsidR="00E841C6" w:rsidRPr="00E841C6" w:rsidRDefault="00E841C6" w:rsidP="00E841C6">
      <w:pPr>
        <w:pStyle w:val="SingleTxtG"/>
      </w:pPr>
      <w:r w:rsidRPr="00E841C6">
        <w:rPr>
          <w:lang w:val="fr-FR"/>
        </w:rPr>
        <w:t>Modifier en conséquence les références dans les sections 2.4.2.3.2.3, 2.4.2.3.5.4 et 3.1.2.6, dans la disposition spéciale 386 et dans les sections 4.1.7.2.3, 5.4.1.5.4, 5.4.1.5.5, 7.1.5.3.1.3, 7.1.6.2 et 7.1.6.3.</w:t>
      </w:r>
    </w:p>
    <w:p w:rsidR="00E841C6" w:rsidRPr="00E841C6" w:rsidRDefault="00E841C6" w:rsidP="00E841C6">
      <w:pPr>
        <w:pStyle w:val="SingleTxtG"/>
      </w:pPr>
      <w:r w:rsidRPr="00E841C6">
        <w:rPr>
          <w:lang w:val="fr-FR"/>
        </w:rPr>
        <w:t>Modifier la section 7.1.6 pour lire comme suit</w:t>
      </w:r>
      <w:r w:rsidR="00F37893">
        <w:rPr>
          <w:lang w:val="fr-FR"/>
        </w:rPr>
        <w:t> </w:t>
      </w:r>
      <w:r w:rsidRPr="00E841C6">
        <w:rPr>
          <w:lang w:val="fr-FR"/>
        </w:rPr>
        <w:t xml:space="preserve">: </w:t>
      </w:r>
      <w:r w:rsidR="00F37893">
        <w:rPr>
          <w:lang w:val="fr-FR"/>
        </w:rPr>
        <w:t>« </w:t>
      </w:r>
      <w:r w:rsidRPr="00E841C6">
        <w:rPr>
          <w:lang w:val="fr-FR"/>
        </w:rPr>
        <w:t>(</w:t>
      </w:r>
      <w:r w:rsidRPr="00E841C6">
        <w:rPr>
          <w:i/>
          <w:lang w:val="fr-FR"/>
        </w:rPr>
        <w:t>Réservé</w:t>
      </w:r>
      <w:r w:rsidRPr="00E841C6">
        <w:rPr>
          <w:lang w:val="fr-FR"/>
        </w:rPr>
        <w:t>)</w:t>
      </w:r>
      <w:r w:rsidR="00F37893">
        <w:rPr>
          <w:lang w:val="fr-FR"/>
        </w:rPr>
        <w:t> »</w:t>
      </w:r>
      <w:r w:rsidRPr="00E841C6">
        <w:rPr>
          <w:lang w:val="fr-FR"/>
        </w:rPr>
        <w:t>.</w:t>
      </w:r>
    </w:p>
    <w:p w:rsidR="00446FE5" w:rsidRPr="00F37893" w:rsidRDefault="00F37893" w:rsidP="00F37893">
      <w:pPr>
        <w:pStyle w:val="SingleTxtG"/>
        <w:spacing w:before="240" w:after="0"/>
        <w:jc w:val="center"/>
        <w:rPr>
          <w:u w:val="single"/>
        </w:rPr>
      </w:pPr>
      <w:r>
        <w:rPr>
          <w:u w:val="single"/>
        </w:rPr>
        <w:tab/>
      </w:r>
      <w:r>
        <w:rPr>
          <w:u w:val="single"/>
        </w:rPr>
        <w:tab/>
      </w:r>
      <w:r>
        <w:rPr>
          <w:u w:val="single"/>
        </w:rPr>
        <w:tab/>
      </w:r>
    </w:p>
    <w:sectPr w:rsidR="00446FE5" w:rsidRPr="00F37893" w:rsidSect="002A28FA">
      <w:footnotePr>
        <w:numRestart w:val="eachSect"/>
      </w:footnotePr>
      <w:endnotePr>
        <w:numFmt w:val="decimal"/>
      </w:endnotePr>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3A7" w:rsidRDefault="007023A7" w:rsidP="00F95C08">
      <w:pPr>
        <w:spacing w:line="240" w:lineRule="auto"/>
      </w:pPr>
    </w:p>
  </w:endnote>
  <w:endnote w:type="continuationSeparator" w:id="0">
    <w:p w:rsidR="007023A7" w:rsidRPr="00AC3823" w:rsidRDefault="007023A7" w:rsidP="00AC3823">
      <w:pPr>
        <w:pStyle w:val="Footer"/>
      </w:pPr>
    </w:p>
  </w:endnote>
  <w:endnote w:type="continuationNotice" w:id="1">
    <w:p w:rsidR="007023A7" w:rsidRDefault="007023A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6CB" w:rsidRPr="001C36CB" w:rsidRDefault="001C36CB" w:rsidP="001C36CB">
    <w:pPr>
      <w:pStyle w:val="Footer"/>
      <w:tabs>
        <w:tab w:val="right" w:pos="9638"/>
      </w:tabs>
    </w:pPr>
    <w:r w:rsidRPr="001C36CB">
      <w:rPr>
        <w:b/>
        <w:sz w:val="18"/>
      </w:rPr>
      <w:fldChar w:fldCharType="begin"/>
    </w:r>
    <w:r w:rsidRPr="001C36CB">
      <w:rPr>
        <w:b/>
        <w:sz w:val="18"/>
      </w:rPr>
      <w:instrText xml:space="preserve"> PAGE  \* MERGEFORMAT </w:instrText>
    </w:r>
    <w:r w:rsidRPr="001C36CB">
      <w:rPr>
        <w:b/>
        <w:sz w:val="18"/>
      </w:rPr>
      <w:fldChar w:fldCharType="separate"/>
    </w:r>
    <w:r w:rsidR="00901DF8">
      <w:rPr>
        <w:b/>
        <w:noProof/>
        <w:sz w:val="18"/>
      </w:rPr>
      <w:t>6</w:t>
    </w:r>
    <w:r w:rsidRPr="001C36CB">
      <w:rPr>
        <w:b/>
        <w:sz w:val="18"/>
      </w:rPr>
      <w:fldChar w:fldCharType="end"/>
    </w:r>
    <w:r>
      <w:rPr>
        <w:b/>
        <w:sz w:val="18"/>
      </w:rPr>
      <w:tab/>
    </w:r>
    <w:r>
      <w:t>GE.16-15518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6CB" w:rsidRPr="001C36CB" w:rsidRDefault="001C36CB" w:rsidP="001C36CB">
    <w:pPr>
      <w:pStyle w:val="Footer"/>
      <w:tabs>
        <w:tab w:val="right" w:pos="9638"/>
      </w:tabs>
      <w:rPr>
        <w:b/>
        <w:sz w:val="18"/>
      </w:rPr>
    </w:pPr>
    <w:r>
      <w:t>GE.16-15518</w:t>
    </w:r>
    <w:r>
      <w:tab/>
    </w:r>
    <w:r w:rsidRPr="001C36CB">
      <w:rPr>
        <w:b/>
        <w:sz w:val="18"/>
      </w:rPr>
      <w:fldChar w:fldCharType="begin"/>
    </w:r>
    <w:r w:rsidRPr="001C36CB">
      <w:rPr>
        <w:b/>
        <w:sz w:val="18"/>
      </w:rPr>
      <w:instrText xml:space="preserve"> PAGE  \* MERGEFORMAT </w:instrText>
    </w:r>
    <w:r w:rsidRPr="001C36CB">
      <w:rPr>
        <w:b/>
        <w:sz w:val="18"/>
      </w:rPr>
      <w:fldChar w:fldCharType="separate"/>
    </w:r>
    <w:r w:rsidR="00901DF8">
      <w:rPr>
        <w:b/>
        <w:noProof/>
        <w:sz w:val="18"/>
      </w:rPr>
      <w:t>5</w:t>
    </w:r>
    <w:r w:rsidRPr="001C36C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6F" w:rsidRPr="001C36CB" w:rsidRDefault="001C36CB" w:rsidP="001C36CB">
    <w:pPr>
      <w:pStyle w:val="Footer"/>
      <w:spacing w:before="120"/>
      <w:rPr>
        <w:sz w:val="20"/>
      </w:rPr>
    </w:pPr>
    <w:r>
      <w:rPr>
        <w:sz w:val="20"/>
      </w:rPr>
      <w:t>GE.</w:t>
    </w:r>
    <w:r w:rsidR="0068456F">
      <w:rPr>
        <w:noProof/>
        <w:lang w:val="en-GB" w:eastAsia="en-GB"/>
      </w:rPr>
      <w:drawing>
        <wp:anchor distT="0" distB="0" distL="114300" distR="114300" simplePos="0" relativeHeight="251659264" behindDoc="0" locked="0" layoutInCell="1" allowOverlap="0" wp14:anchorId="5ABEC169" wp14:editId="630EC87C">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16-15518  (F)    141016    171016</w:t>
    </w:r>
    <w:r>
      <w:rPr>
        <w:sz w:val="20"/>
      </w:rPr>
      <w:br/>
    </w:r>
    <w:r w:rsidRPr="001C36CB">
      <w:rPr>
        <w:rFonts w:ascii="C39T30Lfz" w:hAnsi="C39T30Lfz"/>
        <w:sz w:val="56"/>
      </w:rPr>
      <w:t></w:t>
    </w:r>
    <w:r w:rsidRPr="001C36CB">
      <w:rPr>
        <w:rFonts w:ascii="C39T30Lfz" w:hAnsi="C39T30Lfz"/>
        <w:sz w:val="56"/>
      </w:rPr>
      <w:t></w:t>
    </w:r>
    <w:r w:rsidRPr="001C36CB">
      <w:rPr>
        <w:rFonts w:ascii="C39T30Lfz" w:hAnsi="C39T30Lfz"/>
        <w:sz w:val="56"/>
      </w:rPr>
      <w:t></w:t>
    </w:r>
    <w:r w:rsidRPr="001C36CB">
      <w:rPr>
        <w:rFonts w:ascii="C39T30Lfz" w:hAnsi="C39T30Lfz"/>
        <w:sz w:val="56"/>
      </w:rPr>
      <w:t></w:t>
    </w:r>
    <w:r w:rsidRPr="001C36CB">
      <w:rPr>
        <w:rFonts w:ascii="C39T30Lfz" w:hAnsi="C39T30Lfz"/>
        <w:sz w:val="56"/>
      </w:rPr>
      <w:t></w:t>
    </w:r>
    <w:r w:rsidRPr="001C36CB">
      <w:rPr>
        <w:rFonts w:ascii="C39T30Lfz" w:hAnsi="C39T30Lfz"/>
        <w:sz w:val="56"/>
      </w:rPr>
      <w:t></w:t>
    </w:r>
    <w:r w:rsidRPr="001C36CB">
      <w:rPr>
        <w:rFonts w:ascii="C39T30Lfz" w:hAnsi="C39T30Lfz"/>
        <w:sz w:val="56"/>
      </w:rPr>
      <w:t></w:t>
    </w:r>
    <w:r w:rsidRPr="001C36CB">
      <w:rPr>
        <w:rFonts w:ascii="C39T30Lfz" w:hAnsi="C39T30Lfz"/>
        <w:sz w:val="56"/>
      </w:rPr>
      <w:t></w:t>
    </w:r>
    <w:r w:rsidRPr="001C36CB">
      <w:rPr>
        <w:rFonts w:ascii="C39T30Lfz" w:hAnsi="C39T30Lfz"/>
        <w:sz w:val="56"/>
      </w:rPr>
      <w:t></w:t>
    </w:r>
    <w:r>
      <w:rPr>
        <w:noProof/>
        <w:sz w:val="20"/>
        <w:lang w:val="en-GB" w:eastAsia="en-GB"/>
      </w:rPr>
      <w:drawing>
        <wp:anchor distT="0" distB="0" distL="114300" distR="114300" simplePos="0" relativeHeight="251660288" behindDoc="0" locked="0" layoutInCell="1" allowOverlap="1" wp14:anchorId="492E3A1A" wp14:editId="0D77D75B">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ST/SG/AC.10/C.3/2016/7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ST/SG/AC.10/C.3/2016/7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3A7" w:rsidRPr="00AC3823" w:rsidRDefault="007023A7" w:rsidP="00AC3823">
      <w:pPr>
        <w:pStyle w:val="Footer"/>
        <w:tabs>
          <w:tab w:val="right" w:pos="2155"/>
        </w:tabs>
        <w:spacing w:after="80" w:line="240" w:lineRule="atLeast"/>
        <w:ind w:left="680"/>
        <w:rPr>
          <w:u w:val="single"/>
        </w:rPr>
      </w:pPr>
      <w:r>
        <w:rPr>
          <w:u w:val="single"/>
        </w:rPr>
        <w:tab/>
      </w:r>
    </w:p>
  </w:footnote>
  <w:footnote w:type="continuationSeparator" w:id="0">
    <w:p w:rsidR="007023A7" w:rsidRPr="00AC3823" w:rsidRDefault="007023A7" w:rsidP="00AC3823">
      <w:pPr>
        <w:pStyle w:val="Footer"/>
        <w:tabs>
          <w:tab w:val="right" w:pos="2155"/>
        </w:tabs>
        <w:spacing w:after="80" w:line="240" w:lineRule="atLeast"/>
        <w:ind w:left="680"/>
        <w:rPr>
          <w:u w:val="single"/>
        </w:rPr>
      </w:pPr>
      <w:r>
        <w:rPr>
          <w:u w:val="single"/>
        </w:rPr>
        <w:tab/>
      </w:r>
    </w:p>
  </w:footnote>
  <w:footnote w:type="continuationNotice" w:id="1">
    <w:p w:rsidR="007023A7" w:rsidRPr="00AC3823" w:rsidRDefault="007023A7">
      <w:pPr>
        <w:spacing w:line="240" w:lineRule="auto"/>
        <w:rPr>
          <w:sz w:val="2"/>
          <w:szCs w:val="2"/>
        </w:rPr>
      </w:pPr>
    </w:p>
  </w:footnote>
  <w:footnote w:id="2">
    <w:p w:rsidR="001C36CB" w:rsidRPr="001C36CB" w:rsidRDefault="001C36CB">
      <w:pPr>
        <w:pStyle w:val="FootnoteText"/>
      </w:pPr>
      <w:r>
        <w:tab/>
      </w:r>
      <w:r>
        <w:rPr>
          <w:rStyle w:val="FootnoteReference"/>
        </w:rPr>
        <w:footnoteRef/>
      </w:r>
      <w:r>
        <w:tab/>
      </w:r>
      <w:r w:rsidRPr="001C36CB">
        <w:t>Conformément au programme de travail du Sous-Comité pour la période 2015-2016, adopté par le Comité à sa septième session (voir ST/SG/AC.10/C.3/92, par.</w:t>
      </w:r>
      <w:r>
        <w:t> </w:t>
      </w:r>
      <w:r w:rsidRPr="001C36CB">
        <w:t>95, et ST/SG/AC.10/42, par.</w:t>
      </w:r>
      <w:r>
        <w:t> </w:t>
      </w:r>
      <w:r w:rsidRPr="001C36CB">
        <w:t>15).</w:t>
      </w:r>
    </w:p>
  </w:footnote>
  <w:footnote w:id="3">
    <w:p w:rsidR="002A28FA" w:rsidRDefault="002A28FA">
      <w:pPr>
        <w:pStyle w:val="FootnoteText"/>
      </w:pPr>
      <w:r>
        <w:tab/>
      </w:r>
      <w:r>
        <w:rPr>
          <w:rStyle w:val="FootnoteReference"/>
        </w:rPr>
        <w:footnoteRef/>
      </w:r>
      <w:r>
        <w:tab/>
      </w:r>
      <w:r w:rsidRPr="002A28FA">
        <w:t>On obtient la température de polymérisation auto-accélérée (TPAA) d’un produit conformément aux</w:t>
      </w:r>
      <w:r>
        <w:t> </w:t>
      </w:r>
      <w:r w:rsidRPr="002A28FA">
        <w:t>instructions du Manuel d’épreuves et de critères. On peut également procéder aux épreuves relatives à la TDAA décrites à la section 28 (épreuves de la série H) pour déterminer une température de polymérisation auto-accélérée.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6CB" w:rsidRPr="001C36CB" w:rsidRDefault="001C36CB">
    <w:pPr>
      <w:pStyle w:val="Header"/>
    </w:pPr>
    <w:r>
      <w:t>ST/SG/AC.10/C.3/2016/70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6CB" w:rsidRPr="001C36CB" w:rsidRDefault="001C36CB" w:rsidP="001C36CB">
    <w:pPr>
      <w:pStyle w:val="Header"/>
      <w:jc w:val="right"/>
    </w:pPr>
    <w:r>
      <w:t>ST/SG/AC.10/C.3/2016/70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5945764B"/>
    <w:multiLevelType w:val="hybridMultilevel"/>
    <w:tmpl w:val="F014CA48"/>
    <w:lvl w:ilvl="0" w:tplc="A740CAE0">
      <w:start w:val="1"/>
      <w:numFmt w:val="decimal"/>
      <w:lvlText w:val="%1."/>
      <w:lvlJc w:val="left"/>
      <w:pPr>
        <w:ind w:left="1689" w:hanging="555"/>
      </w:pPr>
      <w:rPr>
        <w:rFonts w:hint="default"/>
        <w:b w:val="0"/>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nsid w:val="756917F9"/>
    <w:multiLevelType w:val="hybridMultilevel"/>
    <w:tmpl w:val="DB609356"/>
    <w:lvl w:ilvl="0" w:tplc="100C000F">
      <w:start w:val="1"/>
      <w:numFmt w:val="decimal"/>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3A7"/>
    <w:rsid w:val="00017F94"/>
    <w:rsid w:val="00023842"/>
    <w:rsid w:val="000305D3"/>
    <w:rsid w:val="000334F9"/>
    <w:rsid w:val="0007796D"/>
    <w:rsid w:val="000B7790"/>
    <w:rsid w:val="00111F2F"/>
    <w:rsid w:val="00132EA9"/>
    <w:rsid w:val="0014365E"/>
    <w:rsid w:val="00176178"/>
    <w:rsid w:val="001C36CB"/>
    <w:rsid w:val="001F525A"/>
    <w:rsid w:val="00223272"/>
    <w:rsid w:val="0024779E"/>
    <w:rsid w:val="002652E2"/>
    <w:rsid w:val="00283190"/>
    <w:rsid w:val="002832AC"/>
    <w:rsid w:val="002A28FA"/>
    <w:rsid w:val="002A75BE"/>
    <w:rsid w:val="002D7C93"/>
    <w:rsid w:val="00335CF7"/>
    <w:rsid w:val="00361688"/>
    <w:rsid w:val="00441C3B"/>
    <w:rsid w:val="00446FE5"/>
    <w:rsid w:val="00452396"/>
    <w:rsid w:val="004E468C"/>
    <w:rsid w:val="005505B7"/>
    <w:rsid w:val="00573BE5"/>
    <w:rsid w:val="00586ED3"/>
    <w:rsid w:val="00596AA9"/>
    <w:rsid w:val="0068456F"/>
    <w:rsid w:val="007023A7"/>
    <w:rsid w:val="0071601D"/>
    <w:rsid w:val="007A62E6"/>
    <w:rsid w:val="0080684C"/>
    <w:rsid w:val="00871C75"/>
    <w:rsid w:val="008776DC"/>
    <w:rsid w:val="00901DF8"/>
    <w:rsid w:val="009705C8"/>
    <w:rsid w:val="009C1CF4"/>
    <w:rsid w:val="009F3F9C"/>
    <w:rsid w:val="00A30353"/>
    <w:rsid w:val="00AC3823"/>
    <w:rsid w:val="00AE323C"/>
    <w:rsid w:val="00B00181"/>
    <w:rsid w:val="00B00B0D"/>
    <w:rsid w:val="00B765F7"/>
    <w:rsid w:val="00BA0CA9"/>
    <w:rsid w:val="00BA3E86"/>
    <w:rsid w:val="00C02897"/>
    <w:rsid w:val="00D3439C"/>
    <w:rsid w:val="00DB10CA"/>
    <w:rsid w:val="00DB1831"/>
    <w:rsid w:val="00DD3BFD"/>
    <w:rsid w:val="00DF6678"/>
    <w:rsid w:val="00E841C6"/>
    <w:rsid w:val="00EA0504"/>
    <w:rsid w:val="00EF2E22"/>
    <w:rsid w:val="00F37893"/>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table" w:customStyle="1" w:styleId="Tabellenraster2">
    <w:name w:val="Tabellenraster2"/>
    <w:basedOn w:val="TableNormal"/>
    <w:rsid w:val="00E841C6"/>
    <w:pPr>
      <w:spacing w:after="0" w:line="240" w:lineRule="auto"/>
    </w:pPr>
    <w:rPr>
      <w:rFonts w:ascii="Times New Roman" w:hAnsi="Times New Roman" w:cs="Times New Roman"/>
      <w:sz w:val="20"/>
      <w:szCs w:val="20"/>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table" w:customStyle="1" w:styleId="Tabellenraster2">
    <w:name w:val="Tabellenraster2"/>
    <w:basedOn w:val="TableNormal"/>
    <w:rsid w:val="00E841C6"/>
    <w:pPr>
      <w:spacing w:after="0" w:line="240" w:lineRule="auto"/>
    </w:pPr>
    <w:rPr>
      <w:rFonts w:ascii="Times New Roman" w:hAnsi="Times New Roman" w:cs="Times New Roman"/>
      <w:sz w:val="20"/>
      <w:szCs w:val="20"/>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905025">
      <w:bodyDiv w:val="1"/>
      <w:marLeft w:val="0"/>
      <w:marRight w:val="0"/>
      <w:marTop w:val="0"/>
      <w:marBottom w:val="0"/>
      <w:divBdr>
        <w:top w:val="none" w:sz="0" w:space="0" w:color="auto"/>
        <w:left w:val="none" w:sz="0" w:space="0" w:color="auto"/>
        <w:bottom w:val="none" w:sz="0" w:space="0" w:color="auto"/>
        <w:right w:val="none" w:sz="0" w:space="0" w:color="auto"/>
      </w:divBdr>
    </w:div>
    <w:div w:id="749274291">
      <w:bodyDiv w:val="1"/>
      <w:marLeft w:val="0"/>
      <w:marRight w:val="0"/>
      <w:marTop w:val="0"/>
      <w:marBottom w:val="0"/>
      <w:divBdr>
        <w:top w:val="none" w:sz="0" w:space="0" w:color="auto"/>
        <w:left w:val="none" w:sz="0" w:space="0" w:color="auto"/>
        <w:bottom w:val="none" w:sz="0" w:space="0" w:color="auto"/>
        <w:right w:val="none" w:sz="0" w:space="0" w:color="auto"/>
      </w:divBdr>
    </w:div>
    <w:div w:id="1186405222">
      <w:bodyDiv w:val="1"/>
      <w:marLeft w:val="0"/>
      <w:marRight w:val="0"/>
      <w:marTop w:val="0"/>
      <w:marBottom w:val="0"/>
      <w:divBdr>
        <w:top w:val="none" w:sz="0" w:space="0" w:color="auto"/>
        <w:left w:val="none" w:sz="0" w:space="0" w:color="auto"/>
        <w:bottom w:val="none" w:sz="0" w:space="0" w:color="auto"/>
        <w:right w:val="none" w:sz="0" w:space="0" w:color="auto"/>
      </w:divBdr>
    </w:div>
    <w:div w:id="1425496730">
      <w:bodyDiv w:val="1"/>
      <w:marLeft w:val="0"/>
      <w:marRight w:val="0"/>
      <w:marTop w:val="0"/>
      <w:marBottom w:val="0"/>
      <w:divBdr>
        <w:top w:val="none" w:sz="0" w:space="0" w:color="auto"/>
        <w:left w:val="none" w:sz="0" w:space="0" w:color="auto"/>
        <w:bottom w:val="none" w:sz="0" w:space="0" w:color="auto"/>
        <w:right w:val="none" w:sz="0" w:space="0" w:color="auto"/>
      </w:divBdr>
    </w:div>
    <w:div w:id="212549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2222</Words>
  <Characters>12672</Characters>
  <Application>Microsoft Office Word</Application>
  <DocSecurity>0</DocSecurity>
  <Lines>105</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ST/SG/AC.10/C.3/2016/70</vt:lpstr>
      <vt:lpstr>ST/SG/AC.10/C.3/2016/70</vt:lpstr>
    </vt:vector>
  </TitlesOfParts>
  <Company>DCM</Company>
  <LinksUpToDate>false</LinksUpToDate>
  <CharactersWithSpaces>14865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ST/SG/AC.10/C.3/2016/70</dc:title>
  <dc:subject>Final</dc:subject>
  <dc:creator>Fabienne Crelier</dc:creator>
  <cp:lastModifiedBy>Laurence Berthet</cp:lastModifiedBy>
  <cp:revision>2</cp:revision>
  <cp:lastPrinted>2016-10-18T07:26:00Z</cp:lastPrinted>
  <dcterms:created xsi:type="dcterms:W3CDTF">2016-10-18T07:26:00Z</dcterms:created>
  <dcterms:modified xsi:type="dcterms:W3CDTF">2016-10-18T07:26:00Z</dcterms:modified>
</cp:coreProperties>
</file>