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90F9D" w:rsidTr="000305D3">
        <w:trPr>
          <w:trHeight w:hRule="exact" w:val="851"/>
        </w:trPr>
        <w:tc>
          <w:tcPr>
            <w:tcW w:w="1276" w:type="dxa"/>
            <w:tcBorders>
              <w:bottom w:val="single" w:sz="4" w:space="0" w:color="auto"/>
            </w:tcBorders>
          </w:tcPr>
          <w:p w:rsidR="00132EA9" w:rsidRPr="00790F9D" w:rsidRDefault="00132EA9" w:rsidP="00CC0FAA"/>
        </w:tc>
        <w:tc>
          <w:tcPr>
            <w:tcW w:w="2268" w:type="dxa"/>
            <w:tcBorders>
              <w:bottom w:val="single" w:sz="4" w:space="0" w:color="auto"/>
            </w:tcBorders>
            <w:vAlign w:val="bottom"/>
          </w:tcPr>
          <w:p w:rsidR="00132EA9" w:rsidRPr="00790F9D" w:rsidRDefault="00132EA9" w:rsidP="00461FED">
            <w:pPr>
              <w:spacing w:after="80" w:line="300" w:lineRule="exact"/>
              <w:rPr>
                <w:sz w:val="28"/>
              </w:rPr>
            </w:pPr>
            <w:r w:rsidRPr="00790F9D">
              <w:rPr>
                <w:sz w:val="28"/>
              </w:rPr>
              <w:t>Nations Unies</w:t>
            </w:r>
          </w:p>
        </w:tc>
        <w:tc>
          <w:tcPr>
            <w:tcW w:w="6095" w:type="dxa"/>
            <w:gridSpan w:val="2"/>
            <w:tcBorders>
              <w:bottom w:val="single" w:sz="4" w:space="0" w:color="auto"/>
            </w:tcBorders>
            <w:vAlign w:val="bottom"/>
          </w:tcPr>
          <w:p w:rsidR="00132EA9" w:rsidRPr="00790F9D" w:rsidRDefault="00CC0FAA" w:rsidP="003C7D8C">
            <w:pPr>
              <w:jc w:val="right"/>
            </w:pPr>
            <w:r w:rsidRPr="00790F9D">
              <w:rPr>
                <w:sz w:val="40"/>
              </w:rPr>
              <w:t>ST</w:t>
            </w:r>
            <w:r w:rsidRPr="00790F9D">
              <w:t>/SG/AC.10/C.3/201</w:t>
            </w:r>
            <w:r w:rsidR="00D13C8D">
              <w:t>6</w:t>
            </w:r>
            <w:r w:rsidRPr="00790F9D">
              <w:t>/</w:t>
            </w:r>
            <w:r w:rsidR="00D13C8D">
              <w:t>2</w:t>
            </w:r>
            <w:r w:rsidR="003C7D8C">
              <w:t>8</w:t>
            </w:r>
          </w:p>
        </w:tc>
      </w:tr>
      <w:tr w:rsidR="00132EA9" w:rsidRPr="00790F9D" w:rsidTr="00461FED">
        <w:trPr>
          <w:trHeight w:hRule="exact" w:val="2835"/>
        </w:trPr>
        <w:tc>
          <w:tcPr>
            <w:tcW w:w="1276" w:type="dxa"/>
            <w:tcBorders>
              <w:top w:val="single" w:sz="4" w:space="0" w:color="auto"/>
              <w:bottom w:val="single" w:sz="12" w:space="0" w:color="auto"/>
            </w:tcBorders>
          </w:tcPr>
          <w:p w:rsidR="00132EA9" w:rsidRPr="00790F9D" w:rsidRDefault="002D34CD" w:rsidP="00461FED">
            <w:pPr>
              <w:spacing w:before="120"/>
              <w:jc w:val="center"/>
            </w:pPr>
            <w:r>
              <w:rPr>
                <w:noProof/>
                <w:lang w:val="en-GB" w:eastAsia="en-GB"/>
              </w:rPr>
              <w:drawing>
                <wp:inline distT="0" distB="0" distL="0" distR="0">
                  <wp:extent cx="716280" cy="586740"/>
                  <wp:effectExtent l="0" t="0" r="7620" b="381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90F9D" w:rsidRDefault="00132EA9" w:rsidP="00461FED">
            <w:pPr>
              <w:spacing w:before="120" w:line="420" w:lineRule="exact"/>
              <w:rPr>
                <w:b/>
                <w:sz w:val="40"/>
                <w:szCs w:val="40"/>
              </w:rPr>
            </w:pPr>
            <w:r w:rsidRPr="00790F9D">
              <w:rPr>
                <w:b/>
                <w:sz w:val="40"/>
                <w:szCs w:val="40"/>
              </w:rPr>
              <w:t>Secrétariat</w:t>
            </w:r>
          </w:p>
        </w:tc>
        <w:tc>
          <w:tcPr>
            <w:tcW w:w="2835" w:type="dxa"/>
            <w:tcBorders>
              <w:top w:val="single" w:sz="4" w:space="0" w:color="auto"/>
              <w:bottom w:val="single" w:sz="12" w:space="0" w:color="auto"/>
            </w:tcBorders>
          </w:tcPr>
          <w:p w:rsidR="00132EA9" w:rsidRPr="00790F9D" w:rsidRDefault="00CC0FAA" w:rsidP="00461FED">
            <w:pPr>
              <w:spacing w:before="240"/>
            </w:pPr>
            <w:r w:rsidRPr="00790F9D">
              <w:t>Distr. générale</w:t>
            </w:r>
          </w:p>
          <w:p w:rsidR="00CC0FAA" w:rsidRPr="00790F9D" w:rsidRDefault="00801C26" w:rsidP="00CC0FAA">
            <w:pPr>
              <w:spacing w:line="240" w:lineRule="exact"/>
            </w:pPr>
            <w:r>
              <w:t>13</w:t>
            </w:r>
            <w:r w:rsidR="00D13C8D">
              <w:t xml:space="preserve"> avril 2016</w:t>
            </w:r>
          </w:p>
          <w:p w:rsidR="00B52EDB" w:rsidRDefault="00B52EDB" w:rsidP="00CC0FAA">
            <w:pPr>
              <w:spacing w:line="240" w:lineRule="exact"/>
            </w:pPr>
          </w:p>
          <w:p w:rsidR="00CC0FAA" w:rsidRPr="00790F9D" w:rsidRDefault="00CC0FAA" w:rsidP="00CC0FAA">
            <w:pPr>
              <w:spacing w:line="240" w:lineRule="exact"/>
            </w:pPr>
            <w:r w:rsidRPr="00790F9D">
              <w:t>Français</w:t>
            </w:r>
          </w:p>
          <w:p w:rsidR="00CC0FAA" w:rsidRPr="00790F9D" w:rsidRDefault="00CC0FAA" w:rsidP="00CC0FAA">
            <w:pPr>
              <w:spacing w:line="240" w:lineRule="exact"/>
            </w:pPr>
            <w:r w:rsidRPr="00790F9D">
              <w:t xml:space="preserve">Original: </w:t>
            </w:r>
            <w:r w:rsidR="00B87AE4">
              <w:t xml:space="preserve">français et </w:t>
            </w:r>
            <w:r w:rsidRPr="00790F9D">
              <w:t>anglais</w:t>
            </w:r>
          </w:p>
        </w:tc>
      </w:tr>
    </w:tbl>
    <w:p w:rsidR="00CC0FAA" w:rsidRPr="00CA0680" w:rsidRDefault="00CC0FA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C0FAA" w:rsidRPr="00CA0680" w:rsidRDefault="00CC0FAA" w:rsidP="000305D3">
      <w:pPr>
        <w:spacing w:before="120"/>
        <w:rPr>
          <w:b/>
        </w:rPr>
      </w:pPr>
      <w:r w:rsidRPr="00CA0680">
        <w:rPr>
          <w:b/>
        </w:rPr>
        <w:t>Sous</w:t>
      </w:r>
      <w:r>
        <w:rPr>
          <w:b/>
        </w:rPr>
        <w:t>-</w:t>
      </w:r>
      <w:r w:rsidRPr="00CA0680">
        <w:rPr>
          <w:b/>
        </w:rPr>
        <w:t>Comité d’experts du transport des marchandises dangereuses</w:t>
      </w:r>
    </w:p>
    <w:p w:rsidR="00CC0FAA" w:rsidRDefault="00CC0FAA" w:rsidP="000305D3">
      <w:pPr>
        <w:spacing w:before="120"/>
        <w:rPr>
          <w:b/>
        </w:rPr>
      </w:pPr>
      <w:r>
        <w:rPr>
          <w:b/>
        </w:rPr>
        <w:t>Quarante-</w:t>
      </w:r>
      <w:r w:rsidR="00D13C8D">
        <w:rPr>
          <w:b/>
        </w:rPr>
        <w:t>neuvième</w:t>
      </w:r>
      <w:r>
        <w:rPr>
          <w:b/>
        </w:rPr>
        <w:t xml:space="preserve"> </w:t>
      </w:r>
      <w:r w:rsidRPr="00CA0680">
        <w:rPr>
          <w:b/>
        </w:rPr>
        <w:t>session</w:t>
      </w:r>
    </w:p>
    <w:p w:rsidR="00CC0FAA" w:rsidRDefault="00CC0FAA" w:rsidP="000305D3">
      <w:r>
        <w:t>Genève, 2</w:t>
      </w:r>
      <w:r w:rsidR="00D13C8D">
        <w:t>7</w:t>
      </w:r>
      <w:r w:rsidR="008F38E8">
        <w:t xml:space="preserve"> juin – </w:t>
      </w:r>
      <w:r w:rsidR="00D13C8D">
        <w:t>6 juillet 2016</w:t>
      </w:r>
    </w:p>
    <w:p w:rsidR="00D13C8D" w:rsidRPr="00D13C8D" w:rsidRDefault="00C80532" w:rsidP="00D13C8D">
      <w:r>
        <w:t>Point 5</w:t>
      </w:r>
      <w:bookmarkStart w:id="0" w:name="_GoBack"/>
      <w:bookmarkEnd w:id="0"/>
      <w:r w:rsidR="00D13C8D" w:rsidRPr="00D13C8D">
        <w:t xml:space="preserve"> (</w:t>
      </w:r>
      <w:r w:rsidR="003C7D8C">
        <w:t>b</w:t>
      </w:r>
      <w:r w:rsidR="00D13C8D" w:rsidRPr="00D13C8D">
        <w:t>) de l’ordre du jour provisoire</w:t>
      </w:r>
    </w:p>
    <w:p w:rsidR="00A51F1B" w:rsidRPr="005314AA" w:rsidRDefault="003C7D8C" w:rsidP="00D13C8D">
      <w:pPr>
        <w:rPr>
          <w:b/>
        </w:rPr>
      </w:pPr>
      <w:r>
        <w:rPr>
          <w:b/>
        </w:rPr>
        <w:t>Transport de gaz: questions diverses</w:t>
      </w:r>
    </w:p>
    <w:p w:rsidR="003C7D8C" w:rsidRPr="00024168" w:rsidRDefault="00A51F1B" w:rsidP="003C7D8C">
      <w:pPr>
        <w:pStyle w:val="HChG"/>
        <w:rPr>
          <w:rFonts w:eastAsia="MS Mincho"/>
          <w:lang w:val="fr-CA"/>
        </w:rPr>
      </w:pPr>
      <w:r w:rsidRPr="002F793B">
        <w:tab/>
      </w:r>
      <w:r w:rsidRPr="002F793B">
        <w:tab/>
      </w:r>
      <w:r w:rsidR="003C7D8C" w:rsidRPr="00024168">
        <w:rPr>
          <w:lang w:val="fr-CA"/>
        </w:rPr>
        <w:t xml:space="preserve">Commentaires supplémentaires sur l’adoption du document ST/SG/AC.10/C.3/2015/39 et les incidences imprévues </w:t>
      </w:r>
      <w:r w:rsidR="003C7D8C" w:rsidRPr="00024168">
        <w:rPr>
          <w:cs/>
          <w:lang w:val="fr-CA"/>
        </w:rPr>
        <w:t xml:space="preserve">– </w:t>
      </w:r>
      <w:r w:rsidR="003C7D8C" w:rsidRPr="00024168">
        <w:rPr>
          <w:lang w:val="fr-CA"/>
        </w:rPr>
        <w:t>versions nouvelles et révisées des normes ISO adoptées au paragraphe 6.2.2</w:t>
      </w:r>
    </w:p>
    <w:p w:rsidR="003C7D8C" w:rsidRPr="003C7D8C" w:rsidRDefault="003C7D8C" w:rsidP="003C7D8C">
      <w:pPr>
        <w:pStyle w:val="H1G"/>
      </w:pPr>
      <w:r w:rsidRPr="00024168">
        <w:rPr>
          <w:lang w:val="fr-CA"/>
        </w:rPr>
        <w:tab/>
      </w:r>
      <w:r w:rsidRPr="00024168">
        <w:rPr>
          <w:lang w:val="fr-CA"/>
        </w:rPr>
        <w:tab/>
        <w:t>Communication des experts du Canada, de l’Australie et des États-Unis d’Amérique</w:t>
      </w:r>
      <w:r>
        <w:rPr>
          <w:rStyle w:val="FootnoteReference"/>
        </w:rPr>
        <w:footnoteReference w:id="2"/>
      </w:r>
      <w:r w:rsidR="00B91A7B" w:rsidRPr="002D4AD0">
        <w:rPr>
          <w:vertAlign w:val="superscript"/>
          <w:lang w:val="fr-CA"/>
        </w:rPr>
        <w:t>,</w:t>
      </w:r>
      <w:r w:rsidR="00B91A7B">
        <w:rPr>
          <w:rStyle w:val="FootnoteReference"/>
        </w:rPr>
        <w:footnoteReference w:id="3"/>
      </w:r>
    </w:p>
    <w:p w:rsidR="003C7D8C" w:rsidRPr="00024168" w:rsidRDefault="003C7D8C" w:rsidP="003C7D8C">
      <w:pPr>
        <w:pStyle w:val="HChG"/>
        <w:spacing w:before="240" w:after="120"/>
        <w:rPr>
          <w:rFonts w:eastAsia="MS Mincho"/>
          <w:lang w:val="fr-CA"/>
        </w:rPr>
      </w:pPr>
      <w:r w:rsidRPr="00024168">
        <w:rPr>
          <w:lang w:val="fr-CA"/>
        </w:rPr>
        <w:tab/>
      </w:r>
      <w:r w:rsidRPr="00024168">
        <w:rPr>
          <w:lang w:val="fr-CA"/>
        </w:rPr>
        <w:tab/>
        <w:t>Objet</w:t>
      </w:r>
    </w:p>
    <w:p w:rsidR="003C7D8C" w:rsidRPr="00024168" w:rsidRDefault="003C7D8C" w:rsidP="003C7D8C">
      <w:pPr>
        <w:pStyle w:val="SingleTxtG"/>
        <w:rPr>
          <w:lang w:val="fr-CA"/>
        </w:rPr>
      </w:pPr>
      <w:r>
        <w:rPr>
          <w:lang w:val="fr-CA"/>
        </w:rPr>
        <w:t>1.</w:t>
      </w:r>
      <w:r>
        <w:rPr>
          <w:lang w:val="fr-CA"/>
        </w:rPr>
        <w:tab/>
      </w:r>
      <w:r w:rsidRPr="00024168">
        <w:rPr>
          <w:lang w:val="fr-CA"/>
        </w:rPr>
        <w:t>Soulever des problèmes supplémentaires liés à l’adoption complète de la norme ISO 21172</w:t>
      </w:r>
      <w:r w:rsidR="00B91A7B">
        <w:rPr>
          <w:lang w:val="fr-CA"/>
        </w:rPr>
        <w:t>-</w:t>
      </w:r>
      <w:r w:rsidRPr="00024168">
        <w:rPr>
          <w:lang w:val="fr-CA"/>
        </w:rPr>
        <w:t>1:2015 dans le Règlement type, et proposer la modification de la référence à la norme ISO 21172</w:t>
      </w:r>
      <w:r w:rsidR="00B91A7B">
        <w:rPr>
          <w:lang w:val="fr-CA"/>
        </w:rPr>
        <w:t>-</w:t>
      </w:r>
      <w:r w:rsidRPr="00024168">
        <w:rPr>
          <w:lang w:val="fr-CA"/>
        </w:rPr>
        <w:t>1:2015 qui réglerait ces problèmes.</w:t>
      </w:r>
    </w:p>
    <w:p w:rsidR="003C7D8C" w:rsidRPr="00024168" w:rsidRDefault="003C7D8C" w:rsidP="003C7D8C">
      <w:pPr>
        <w:pStyle w:val="UNParagraphStyle"/>
        <w:numPr>
          <w:ilvl w:val="0"/>
          <w:numId w:val="0"/>
        </w:numPr>
        <w:ind w:left="1134"/>
        <w:rPr>
          <w:lang w:val="fr-CA"/>
        </w:rPr>
      </w:pPr>
      <w:r>
        <w:rPr>
          <w:lang w:val="fr-CA"/>
        </w:rPr>
        <w:t>2.</w:t>
      </w:r>
      <w:r>
        <w:rPr>
          <w:lang w:val="fr-CA"/>
        </w:rPr>
        <w:tab/>
      </w:r>
      <w:r w:rsidRPr="00024168">
        <w:rPr>
          <w:lang w:val="fr-CA"/>
        </w:rPr>
        <w:t>Le</w:t>
      </w:r>
      <w:r w:rsidR="006258B2">
        <w:rPr>
          <w:lang w:val="fr-CA"/>
        </w:rPr>
        <w:t>s documents suivants sont cités</w:t>
      </w:r>
      <w:r w:rsidRPr="00024168">
        <w:rPr>
          <w:lang w:val="fr-CA"/>
        </w:rPr>
        <w:t>:</w:t>
      </w:r>
    </w:p>
    <w:p w:rsidR="003C7D8C" w:rsidRPr="003C7D8C" w:rsidRDefault="003C7D8C" w:rsidP="003C7D8C">
      <w:pPr>
        <w:pStyle w:val="UNParagraphStyle"/>
        <w:numPr>
          <w:ilvl w:val="0"/>
          <w:numId w:val="0"/>
        </w:numPr>
        <w:ind w:left="1701"/>
        <w:rPr>
          <w:color w:val="000000" w:themeColor="text1"/>
          <w:lang w:val="en-GB"/>
        </w:rPr>
      </w:pPr>
      <w:proofErr w:type="gramStart"/>
      <w:r w:rsidRPr="003C7D8C">
        <w:rPr>
          <w:color w:val="000000" w:themeColor="text1"/>
          <w:lang w:val="en-GB"/>
        </w:rPr>
        <w:t>a</w:t>
      </w:r>
      <w:proofErr w:type="gramEnd"/>
      <w:r w:rsidRPr="003C7D8C">
        <w:rPr>
          <w:color w:val="000000" w:themeColor="text1"/>
          <w:lang w:val="en-GB"/>
        </w:rPr>
        <w:t>)</w:t>
      </w:r>
      <w:r w:rsidRPr="003C7D8C">
        <w:rPr>
          <w:color w:val="000000" w:themeColor="text1"/>
          <w:lang w:val="en-GB"/>
        </w:rPr>
        <w:tab/>
      </w:r>
      <w:hyperlink r:id="rId10" w:history="1">
        <w:r w:rsidRPr="003C7D8C">
          <w:rPr>
            <w:rStyle w:val="Hyperlink"/>
            <w:color w:val="000000" w:themeColor="text1"/>
            <w:lang w:val="en-GB"/>
          </w:rPr>
          <w:t>ST/SG/AC.10/C.3/2015/39</w:t>
        </w:r>
      </w:hyperlink>
      <w:r w:rsidRPr="003C7D8C">
        <w:rPr>
          <w:color w:val="000000" w:themeColor="text1"/>
          <w:lang w:val="en-GB"/>
        </w:rPr>
        <w:t>;</w:t>
      </w:r>
    </w:p>
    <w:p w:rsidR="003C7D8C" w:rsidRPr="003C7D8C" w:rsidRDefault="003C7D8C" w:rsidP="003C7D8C">
      <w:pPr>
        <w:pStyle w:val="UNParagraphStyle"/>
        <w:numPr>
          <w:ilvl w:val="0"/>
          <w:numId w:val="0"/>
        </w:numPr>
        <w:ind w:left="1701"/>
        <w:rPr>
          <w:color w:val="000000" w:themeColor="text1"/>
          <w:lang w:val="en-GB"/>
        </w:rPr>
      </w:pPr>
      <w:r>
        <w:rPr>
          <w:color w:val="000000" w:themeColor="text1"/>
          <w:lang w:val="fr-CA"/>
        </w:rPr>
        <w:t>b)</w:t>
      </w:r>
      <w:r>
        <w:rPr>
          <w:color w:val="000000" w:themeColor="text1"/>
          <w:lang w:val="fr-CA"/>
        </w:rPr>
        <w:tab/>
      </w:r>
      <w:r w:rsidR="00B91A7B">
        <w:t>Document informel INF.49 (48</w:t>
      </w:r>
      <w:r w:rsidR="00B91A7B" w:rsidRPr="002D4AD0">
        <w:rPr>
          <w:vertAlign w:val="superscript"/>
        </w:rPr>
        <w:t>ème</w:t>
      </w:r>
      <w:r w:rsidR="00B91A7B">
        <w:t xml:space="preserve"> session)</w:t>
      </w:r>
    </w:p>
    <w:p w:rsidR="003C7D8C" w:rsidRPr="00024168" w:rsidRDefault="003C7D8C" w:rsidP="003C7D8C">
      <w:pPr>
        <w:pStyle w:val="HChG"/>
        <w:rPr>
          <w:rFonts w:eastAsia="MS Mincho"/>
          <w:lang w:val="fr-CA"/>
        </w:rPr>
      </w:pPr>
      <w:r w:rsidRPr="003C7D8C">
        <w:rPr>
          <w:lang w:val="en-GB"/>
        </w:rPr>
        <w:lastRenderedPageBreak/>
        <w:tab/>
      </w:r>
      <w:r w:rsidRPr="003C7D8C">
        <w:rPr>
          <w:lang w:val="en-GB"/>
        </w:rPr>
        <w:tab/>
        <w:t>In</w:t>
      </w:r>
      <w:proofErr w:type="spellStart"/>
      <w:r w:rsidRPr="00024168">
        <w:rPr>
          <w:lang w:val="fr-CA"/>
        </w:rPr>
        <w:t>troduction</w:t>
      </w:r>
      <w:proofErr w:type="spellEnd"/>
    </w:p>
    <w:p w:rsidR="003C7D8C" w:rsidRPr="00024168" w:rsidRDefault="003C7D8C" w:rsidP="003C7D8C">
      <w:pPr>
        <w:pStyle w:val="SingleTxtG"/>
        <w:rPr>
          <w:lang w:val="fr-CA"/>
        </w:rPr>
      </w:pPr>
      <w:r>
        <w:rPr>
          <w:lang w:val="fr-CA"/>
        </w:rPr>
        <w:t>3.</w:t>
      </w:r>
      <w:r>
        <w:rPr>
          <w:lang w:val="fr-CA"/>
        </w:rPr>
        <w:tab/>
      </w:r>
      <w:r w:rsidRPr="00024168">
        <w:rPr>
          <w:lang w:val="fr-CA"/>
        </w:rPr>
        <w:t>Dans le document ST/SG/AC.10/C.3/2015/39, l</w:t>
      </w:r>
      <w:r w:rsidRPr="00024168">
        <w:rPr>
          <w:cs/>
          <w:lang w:val="fr-CA"/>
        </w:rPr>
        <w:t>’</w:t>
      </w:r>
      <w:r w:rsidRPr="00024168">
        <w:rPr>
          <w:lang w:val="fr-CA"/>
        </w:rPr>
        <w:t>Organisation internationale de normalisation (ISO) propose d</w:t>
      </w:r>
      <w:r w:rsidRPr="00024168">
        <w:rPr>
          <w:cs/>
          <w:lang w:val="fr-CA"/>
        </w:rPr>
        <w:t>’</w:t>
      </w:r>
      <w:r w:rsidRPr="00024168">
        <w:rPr>
          <w:lang w:val="fr-CA"/>
        </w:rPr>
        <w:t xml:space="preserve">ajouter deux normes ISO révisées et une nouvelle norme ISO dans le paragraphe 6.2.2 du Règlement type. Le document ST/SG/AC.10/C.3/2015/39 </w:t>
      </w:r>
      <w:r w:rsidR="00B91A7B">
        <w:rPr>
          <w:lang w:val="fr-CA"/>
        </w:rPr>
        <w:t xml:space="preserve">a été </w:t>
      </w:r>
      <w:r w:rsidRPr="00024168">
        <w:rPr>
          <w:lang w:val="fr-CA"/>
        </w:rPr>
        <w:t xml:space="preserve">adopté par le Sous-comité </w:t>
      </w:r>
      <w:r w:rsidR="00B91A7B">
        <w:rPr>
          <w:lang w:val="fr-CA"/>
        </w:rPr>
        <w:t>tel que proposé par l’ISO (voir ST/SG/AC.10/C.3/96, paragraphes 65-68 et additif 1)</w:t>
      </w:r>
      <w:r w:rsidRPr="00024168">
        <w:rPr>
          <w:lang w:val="fr-CA"/>
        </w:rPr>
        <w:t>.</w:t>
      </w:r>
    </w:p>
    <w:p w:rsidR="003C7D8C" w:rsidRPr="00024168" w:rsidRDefault="003C7D8C" w:rsidP="003C7D8C">
      <w:pPr>
        <w:pStyle w:val="SingleTxtG"/>
        <w:rPr>
          <w:lang w:val="fr-CA"/>
        </w:rPr>
      </w:pPr>
      <w:r>
        <w:rPr>
          <w:lang w:val="fr-CA"/>
        </w:rPr>
        <w:t>4.</w:t>
      </w:r>
      <w:r>
        <w:rPr>
          <w:lang w:val="fr-CA"/>
        </w:rPr>
        <w:tab/>
      </w:r>
      <w:r w:rsidRPr="00024168">
        <w:rPr>
          <w:lang w:val="fr-CA"/>
        </w:rPr>
        <w:t>Au paragraphe 6 du document ST/SG/AC.10/C.3/2015/39, une nouvelle référence à la norme ISO 21172</w:t>
      </w:r>
      <w:r>
        <w:rPr>
          <w:lang w:val="fr-CA"/>
        </w:rPr>
        <w:t>-</w:t>
      </w:r>
      <w:r w:rsidRPr="00024168">
        <w:rPr>
          <w:lang w:val="fr-CA"/>
        </w:rPr>
        <w:t>1:2015 a été ajoutée, avec un nouveau paragraphe 6.2.2.1.8 et le nouveau tableau présentés ci-dessous.</w:t>
      </w:r>
    </w:p>
    <w:p w:rsidR="003C7D8C" w:rsidRPr="00024168" w:rsidRDefault="003C7D8C" w:rsidP="003C7D8C">
      <w:pPr>
        <w:pStyle w:val="SingleTxtG"/>
        <w:ind w:left="1701"/>
        <w:rPr>
          <w:lang w:val="fr-CA"/>
        </w:rPr>
      </w:pPr>
      <w:r w:rsidRPr="00024168">
        <w:rPr>
          <w:lang w:val="fr-CA"/>
        </w:rPr>
        <w:t>6.2.2.1.8</w:t>
      </w:r>
      <w:r w:rsidRPr="00024168">
        <w:rPr>
          <w:lang w:val="fr-CA"/>
        </w:rPr>
        <w:tab/>
        <w:t xml:space="preserve">La norme </w:t>
      </w:r>
      <w:r w:rsidR="00BB269E">
        <w:rPr>
          <w:lang w:val="fr-CA"/>
        </w:rPr>
        <w:t>ci-après</w:t>
      </w:r>
      <w:r w:rsidRPr="00024168">
        <w:rPr>
          <w:lang w:val="fr-CA"/>
        </w:rPr>
        <w:t xml:space="preserve"> s</w:t>
      </w:r>
      <w:r w:rsidRPr="00024168">
        <w:rPr>
          <w:cs/>
          <w:lang w:val="fr-CA"/>
        </w:rPr>
        <w:t>’</w:t>
      </w:r>
      <w:r w:rsidRPr="00024168">
        <w:rPr>
          <w:lang w:val="fr-CA"/>
        </w:rPr>
        <w:t xml:space="preserve">applique à la conception, à la construction, ainsi </w:t>
      </w:r>
      <w:r w:rsidR="00BB269E">
        <w:rPr>
          <w:lang w:val="fr-CA"/>
        </w:rPr>
        <w:t>qu’aux contrôles et aux épreuves initiaux</w:t>
      </w:r>
      <w:r w:rsidRPr="00024168">
        <w:rPr>
          <w:lang w:val="fr-CA"/>
        </w:rPr>
        <w:t xml:space="preserve"> des </w:t>
      </w:r>
      <w:r w:rsidR="00BB269E">
        <w:rPr>
          <w:lang w:val="fr-CA"/>
        </w:rPr>
        <w:t xml:space="preserve">fûts à pression </w:t>
      </w:r>
      <w:r w:rsidRPr="00024168">
        <w:rPr>
          <w:lang w:val="fr-CA"/>
        </w:rPr>
        <w:t xml:space="preserve">UN, </w:t>
      </w:r>
      <w:r w:rsidR="00BB269E">
        <w:rPr>
          <w:lang w:val="fr-CA"/>
        </w:rPr>
        <w:t xml:space="preserve">si ce n’est que les prescriptions de contrôle relatives au </w:t>
      </w:r>
      <w:r w:rsidRPr="00024168">
        <w:rPr>
          <w:lang w:val="fr-CA"/>
        </w:rPr>
        <w:t>système d</w:t>
      </w:r>
      <w:r w:rsidRPr="00024168">
        <w:rPr>
          <w:cs/>
          <w:lang w:val="fr-CA"/>
        </w:rPr>
        <w:t>’</w:t>
      </w:r>
      <w:r w:rsidRPr="00024168">
        <w:rPr>
          <w:lang w:val="fr-CA"/>
        </w:rPr>
        <w:t xml:space="preserve">évaluation de la conformité et </w:t>
      </w:r>
      <w:r w:rsidR="00BB269E">
        <w:rPr>
          <w:lang w:val="fr-CA"/>
        </w:rPr>
        <w:t>l’agrément doi</w:t>
      </w:r>
      <w:r w:rsidR="002D4AD0">
        <w:rPr>
          <w:lang w:val="fr-CA"/>
        </w:rPr>
        <w:t>ven</w:t>
      </w:r>
      <w:r w:rsidR="00BB269E">
        <w:rPr>
          <w:lang w:val="fr-CA"/>
        </w:rPr>
        <w:t>t être conforme</w:t>
      </w:r>
      <w:r w:rsidR="002D4AD0">
        <w:rPr>
          <w:lang w:val="fr-CA"/>
        </w:rPr>
        <w:t>s</w:t>
      </w:r>
      <w:r w:rsidR="00BB269E">
        <w:rPr>
          <w:lang w:val="fr-CA"/>
        </w:rPr>
        <w:t xml:space="preserve"> au </w:t>
      </w:r>
      <w:r w:rsidR="006258B2">
        <w:rPr>
          <w:lang w:val="fr-CA"/>
        </w:rPr>
        <w:t>6.2.2.5</w:t>
      </w:r>
      <w:r w:rsidRPr="00024168">
        <w:rPr>
          <w:lang w:val="fr-C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3C7D8C" w:rsidRPr="00024168" w:rsidTr="003C7D8C">
        <w:tc>
          <w:tcPr>
            <w:tcW w:w="1560" w:type="dxa"/>
            <w:shd w:val="clear" w:color="auto" w:fill="auto"/>
            <w:vAlign w:val="center"/>
          </w:tcPr>
          <w:p w:rsidR="003C7D8C" w:rsidRPr="00024168" w:rsidRDefault="003C7D8C" w:rsidP="003C7D8C">
            <w:pPr>
              <w:jc w:val="center"/>
              <w:rPr>
                <w:b/>
                <w:lang w:val="fr-CA"/>
              </w:rPr>
            </w:pPr>
            <w:r w:rsidRPr="00024168">
              <w:rPr>
                <w:b/>
                <w:lang w:val="fr-CA"/>
              </w:rPr>
              <w:t>Référence</w:t>
            </w:r>
          </w:p>
        </w:tc>
        <w:tc>
          <w:tcPr>
            <w:tcW w:w="3969" w:type="dxa"/>
            <w:shd w:val="clear" w:color="auto" w:fill="auto"/>
            <w:vAlign w:val="center"/>
          </w:tcPr>
          <w:p w:rsidR="003C7D8C" w:rsidRPr="00024168" w:rsidRDefault="003C7D8C" w:rsidP="003C7D8C">
            <w:pPr>
              <w:jc w:val="center"/>
              <w:rPr>
                <w:b/>
                <w:lang w:val="fr-CA"/>
              </w:rPr>
            </w:pPr>
            <w:r w:rsidRPr="00024168">
              <w:rPr>
                <w:b/>
                <w:lang w:val="fr-CA"/>
              </w:rPr>
              <w:t>Titre</w:t>
            </w:r>
          </w:p>
        </w:tc>
        <w:tc>
          <w:tcPr>
            <w:tcW w:w="1842" w:type="dxa"/>
            <w:shd w:val="clear" w:color="auto" w:fill="auto"/>
            <w:vAlign w:val="center"/>
          </w:tcPr>
          <w:p w:rsidR="003C7D8C" w:rsidRPr="00024168" w:rsidRDefault="003C7D8C" w:rsidP="003C7D8C">
            <w:pPr>
              <w:jc w:val="center"/>
              <w:rPr>
                <w:b/>
                <w:lang w:val="fr-CA"/>
              </w:rPr>
            </w:pPr>
            <w:r w:rsidRPr="00024168">
              <w:rPr>
                <w:b/>
                <w:lang w:val="fr-CA"/>
              </w:rPr>
              <w:t>Applicable à la fabrication</w:t>
            </w:r>
          </w:p>
        </w:tc>
      </w:tr>
      <w:tr w:rsidR="003C7D8C" w:rsidRPr="00024168" w:rsidTr="003C7D8C">
        <w:tc>
          <w:tcPr>
            <w:tcW w:w="1560" w:type="dxa"/>
            <w:shd w:val="clear" w:color="auto" w:fill="auto"/>
          </w:tcPr>
          <w:p w:rsidR="003C7D8C" w:rsidRPr="00024168" w:rsidRDefault="003C7D8C" w:rsidP="003C7D8C">
            <w:pPr>
              <w:rPr>
                <w:lang w:val="fr-CA"/>
              </w:rPr>
            </w:pPr>
            <w:r w:rsidRPr="00024168">
              <w:rPr>
                <w:lang w:val="fr-CA"/>
              </w:rPr>
              <w:t>ISO 21172-1: 2015</w:t>
            </w:r>
          </w:p>
        </w:tc>
        <w:tc>
          <w:tcPr>
            <w:tcW w:w="3969" w:type="dxa"/>
            <w:shd w:val="clear" w:color="auto" w:fill="auto"/>
          </w:tcPr>
          <w:p w:rsidR="003C7D8C" w:rsidRPr="00024168" w:rsidRDefault="003C7D8C">
            <w:pPr>
              <w:jc w:val="both"/>
              <w:rPr>
                <w:lang w:val="fr-CA"/>
              </w:rPr>
            </w:pPr>
            <w:r w:rsidRPr="00024168">
              <w:rPr>
                <w:lang w:val="fr-CA"/>
              </w:rPr>
              <w:t xml:space="preserve">Bouteilles à gaz </w:t>
            </w:r>
            <w:r w:rsidRPr="00024168">
              <w:rPr>
                <w:cs/>
                <w:lang w:val="fr-CA"/>
              </w:rPr>
              <w:t>–</w:t>
            </w:r>
            <w:r w:rsidR="00D214BB">
              <w:rPr>
                <w:cs/>
                <w:lang w:val="fr-CA"/>
              </w:rPr>
              <w:t xml:space="preserve"> </w:t>
            </w:r>
            <w:r w:rsidR="002D5A95">
              <w:rPr>
                <w:lang w:val="fr-CA"/>
              </w:rPr>
              <w:t xml:space="preserve">Fûts soudés de capacité inférieure ou égale à 3000 litres destinés au </w:t>
            </w:r>
            <w:r w:rsidRPr="00024168">
              <w:rPr>
                <w:lang w:val="fr-CA"/>
              </w:rPr>
              <w:t xml:space="preserve">transport de gaz </w:t>
            </w:r>
            <w:r w:rsidRPr="00024168">
              <w:rPr>
                <w:cs/>
                <w:lang w:val="fr-CA"/>
              </w:rPr>
              <w:t xml:space="preserve">– </w:t>
            </w:r>
            <w:r w:rsidRPr="00024168">
              <w:rPr>
                <w:lang w:val="fr-CA"/>
              </w:rPr>
              <w:t xml:space="preserve">Conception et construction </w:t>
            </w:r>
            <w:r w:rsidRPr="00024168">
              <w:rPr>
                <w:cs/>
                <w:lang w:val="fr-CA"/>
              </w:rPr>
              <w:t xml:space="preserve">– </w:t>
            </w:r>
            <w:r w:rsidRPr="00024168">
              <w:rPr>
                <w:lang w:val="fr-CA"/>
              </w:rPr>
              <w:t xml:space="preserve">Partie 1 : Capacité </w:t>
            </w:r>
            <w:r w:rsidR="002D5A95">
              <w:rPr>
                <w:lang w:val="fr-CA"/>
              </w:rPr>
              <w:t xml:space="preserve">jusqu’à </w:t>
            </w:r>
            <w:r w:rsidRPr="00024168">
              <w:rPr>
                <w:lang w:val="fr-CA"/>
              </w:rPr>
              <w:t xml:space="preserve">1 000 litres   </w:t>
            </w:r>
          </w:p>
        </w:tc>
        <w:tc>
          <w:tcPr>
            <w:tcW w:w="1842" w:type="dxa"/>
            <w:shd w:val="clear" w:color="auto" w:fill="auto"/>
          </w:tcPr>
          <w:p w:rsidR="003C7D8C" w:rsidRPr="00024168" w:rsidRDefault="003C7D8C" w:rsidP="003C7D8C">
            <w:pPr>
              <w:rPr>
                <w:lang w:val="fr-CA"/>
              </w:rPr>
            </w:pPr>
            <w:proofErr w:type="spellStart"/>
            <w:r w:rsidRPr="00024168">
              <w:rPr>
                <w:lang w:val="fr-CA"/>
              </w:rPr>
              <w:t>Jusqu</w:t>
            </w:r>
            <w:proofErr w:type="spellEnd"/>
            <w:r w:rsidRPr="00024168">
              <w:rPr>
                <w:cs/>
                <w:lang w:val="fr-CA"/>
              </w:rPr>
              <w:t>’</w:t>
            </w:r>
            <w:r w:rsidRPr="00024168">
              <w:rPr>
                <w:lang w:val="fr-CA"/>
              </w:rPr>
              <w:t>à nouvel ordre</w:t>
            </w:r>
          </w:p>
        </w:tc>
      </w:tr>
    </w:tbl>
    <w:p w:rsidR="003C7D8C" w:rsidRPr="00024168" w:rsidRDefault="003C7D8C" w:rsidP="003C7D8C">
      <w:pPr>
        <w:pStyle w:val="SingleTxtG"/>
        <w:spacing w:before="120"/>
        <w:rPr>
          <w:lang w:val="fr-CA"/>
        </w:rPr>
      </w:pPr>
      <w:r>
        <w:rPr>
          <w:lang w:val="fr-CA"/>
        </w:rPr>
        <w:t>5.</w:t>
      </w:r>
      <w:r>
        <w:rPr>
          <w:lang w:val="fr-CA"/>
        </w:rPr>
        <w:tab/>
      </w:r>
      <w:r w:rsidRPr="00024168">
        <w:rPr>
          <w:lang w:val="fr-CA"/>
        </w:rPr>
        <w:t>L</w:t>
      </w:r>
      <w:r w:rsidRPr="00024168">
        <w:rPr>
          <w:cs/>
          <w:lang w:val="fr-CA"/>
        </w:rPr>
        <w:t>’</w:t>
      </w:r>
      <w:r w:rsidRPr="00024168">
        <w:rPr>
          <w:lang w:val="fr-CA"/>
        </w:rPr>
        <w:t>adoption de la norme ISO 21172— 1:2015 dans le Règlement type répond à un besoin de longue date concernant l</w:t>
      </w:r>
      <w:r w:rsidRPr="00024168">
        <w:rPr>
          <w:cs/>
          <w:lang w:val="fr-CA"/>
        </w:rPr>
        <w:t>’</w:t>
      </w:r>
      <w:r w:rsidRPr="00024168">
        <w:rPr>
          <w:lang w:val="fr-CA"/>
        </w:rPr>
        <w:t>établissement d</w:t>
      </w:r>
      <w:r w:rsidRPr="00024168">
        <w:rPr>
          <w:cs/>
          <w:lang w:val="fr-CA"/>
        </w:rPr>
        <w:t>’</w:t>
      </w:r>
      <w:r w:rsidRPr="00024168">
        <w:rPr>
          <w:lang w:val="fr-CA"/>
        </w:rPr>
        <w:t xml:space="preserve">exigences pour les </w:t>
      </w:r>
      <w:r w:rsidR="002D5A95">
        <w:rPr>
          <w:lang w:val="fr-CA"/>
        </w:rPr>
        <w:t>fûts à</w:t>
      </w:r>
      <w:r w:rsidRPr="00024168">
        <w:rPr>
          <w:lang w:val="fr-CA"/>
        </w:rPr>
        <w:t xml:space="preserve"> pression. </w:t>
      </w:r>
    </w:p>
    <w:p w:rsidR="003C7D8C" w:rsidRPr="00024168" w:rsidRDefault="003C7D8C" w:rsidP="003C7D8C">
      <w:pPr>
        <w:pStyle w:val="SingleTxtG"/>
        <w:rPr>
          <w:lang w:val="fr-CA"/>
        </w:rPr>
      </w:pPr>
      <w:r>
        <w:rPr>
          <w:lang w:val="fr-CA"/>
        </w:rPr>
        <w:t>6.</w:t>
      </w:r>
      <w:r>
        <w:rPr>
          <w:lang w:val="fr-CA"/>
        </w:rPr>
        <w:tab/>
      </w:r>
      <w:r w:rsidRPr="00024168">
        <w:rPr>
          <w:lang w:val="fr-CA"/>
        </w:rPr>
        <w:t>L</w:t>
      </w:r>
      <w:r w:rsidRPr="00024168">
        <w:rPr>
          <w:cs/>
          <w:lang w:val="fr-CA"/>
        </w:rPr>
        <w:t>’</w:t>
      </w:r>
      <w:r w:rsidRPr="00024168">
        <w:rPr>
          <w:lang w:val="fr-CA"/>
        </w:rPr>
        <w:t>énoncé suivant figure à la section 7.3.3.4 de la norme provisoire ISO/DIS</w:t>
      </w:r>
      <w:r>
        <w:rPr>
          <w:lang w:val="fr-CA"/>
        </w:rPr>
        <w:t> </w:t>
      </w:r>
      <w:r w:rsidRPr="00024168">
        <w:rPr>
          <w:lang w:val="fr-CA"/>
        </w:rPr>
        <w:t>21172</w:t>
      </w:r>
      <w:r>
        <w:rPr>
          <w:lang w:val="fr-CA"/>
        </w:rPr>
        <w:noBreakHyphen/>
      </w:r>
      <w:r w:rsidR="006258B2">
        <w:rPr>
          <w:lang w:val="fr-CA"/>
        </w:rPr>
        <w:t>1</w:t>
      </w:r>
      <w:r w:rsidRPr="00024168">
        <w:rPr>
          <w:lang w:val="fr-CA"/>
        </w:rPr>
        <w:t xml:space="preserve">:  </w:t>
      </w:r>
    </w:p>
    <w:p w:rsidR="003C7D8C" w:rsidRPr="00024168" w:rsidRDefault="006258B2" w:rsidP="003C7D8C">
      <w:pPr>
        <w:pStyle w:val="UNParagraphStyle"/>
        <w:numPr>
          <w:ilvl w:val="0"/>
          <w:numId w:val="0"/>
        </w:numPr>
        <w:ind w:left="1701"/>
        <w:rPr>
          <w:lang w:val="fr-CA"/>
        </w:rPr>
      </w:pPr>
      <w:r>
        <w:rPr>
          <w:lang w:val="fr-CA"/>
        </w:rPr>
        <w:t>«AVERTISSEMENT</w:t>
      </w:r>
      <w:r w:rsidR="003C7D8C" w:rsidRPr="00024168">
        <w:rPr>
          <w:lang w:val="fr-CA"/>
        </w:rPr>
        <w:t xml:space="preserve">: Les mesures de précaution appropriées doivent être prises lorsque les </w:t>
      </w:r>
      <w:r w:rsidR="002D5A95">
        <w:rPr>
          <w:lang w:val="fr-CA"/>
        </w:rPr>
        <w:t xml:space="preserve">fûts à pression </w:t>
      </w:r>
      <w:r w:rsidR="003C7D8C" w:rsidRPr="00024168">
        <w:rPr>
          <w:lang w:val="fr-CA"/>
        </w:rPr>
        <w:t>UN à fonds bombés convexes à la pression sont utilisés pour un s</w:t>
      </w:r>
      <w:r>
        <w:rPr>
          <w:lang w:val="fr-CA"/>
        </w:rPr>
        <w:t>ervice potentiellement corrosif</w:t>
      </w:r>
      <w:r w:rsidR="003C7D8C" w:rsidRPr="00024168">
        <w:rPr>
          <w:lang w:val="fr-CA"/>
        </w:rPr>
        <w:t>» [traduction].</w:t>
      </w:r>
    </w:p>
    <w:p w:rsidR="003C7D8C" w:rsidRPr="00024168" w:rsidRDefault="003C7D8C" w:rsidP="003C7D8C">
      <w:pPr>
        <w:pStyle w:val="SingleTxtG"/>
        <w:rPr>
          <w:lang w:val="fr-CA"/>
        </w:rPr>
      </w:pPr>
      <w:r>
        <w:rPr>
          <w:lang w:val="fr-CA"/>
        </w:rPr>
        <w:t>7.</w:t>
      </w:r>
      <w:r>
        <w:rPr>
          <w:lang w:val="fr-CA"/>
        </w:rPr>
        <w:tab/>
      </w:r>
      <w:r w:rsidRPr="00024168">
        <w:rPr>
          <w:lang w:val="fr-CA"/>
        </w:rPr>
        <w:t>Cet avertissement a été modifié pour devenir une restriction réelle dans la section 6.3.3.4 de la norme ISO/FDIS 21172-1, à la suite d</w:t>
      </w:r>
      <w:r w:rsidRPr="00024168">
        <w:rPr>
          <w:cs/>
          <w:lang w:val="fr-CA"/>
        </w:rPr>
        <w:t>’</w:t>
      </w:r>
      <w:r w:rsidRPr="00024168">
        <w:rPr>
          <w:lang w:val="fr-CA"/>
        </w:rPr>
        <w:t>une modification de proposition présentée par un membre de l</w:t>
      </w:r>
      <w:r w:rsidRPr="00024168">
        <w:rPr>
          <w:cs/>
          <w:lang w:val="fr-CA"/>
        </w:rPr>
        <w:t>’</w:t>
      </w:r>
      <w:r w:rsidRPr="00024168">
        <w:rPr>
          <w:lang w:val="fr-CA"/>
        </w:rPr>
        <w:t xml:space="preserve">ISO dans le cadre du vote sur la norme ISO/DIS 21172-1. </w:t>
      </w:r>
    </w:p>
    <w:p w:rsidR="003C7D8C" w:rsidRPr="00024168" w:rsidRDefault="003C7D8C" w:rsidP="003C7D8C">
      <w:pPr>
        <w:pStyle w:val="SingleTxtG"/>
        <w:rPr>
          <w:lang w:val="fr-CA"/>
        </w:rPr>
      </w:pPr>
      <w:r>
        <w:rPr>
          <w:lang w:val="fr-CA"/>
        </w:rPr>
        <w:t>8.</w:t>
      </w:r>
      <w:r>
        <w:rPr>
          <w:lang w:val="fr-CA"/>
        </w:rPr>
        <w:tab/>
      </w:r>
      <w:r w:rsidRPr="00024168">
        <w:rPr>
          <w:lang w:val="fr-CA"/>
        </w:rPr>
        <w:t>L’un des principes fondamentaux de la politique de l’ISO sur la gouvernance mondiale consiste à ne favoriser les exigences d’aucune région ni d’aucun pays précis lorsque les besoins ou les intérêts de divers pays ou régions sont différents. Ce principe est également pertinent aux travaux du</w:t>
      </w:r>
      <w:r w:rsidR="00D214BB">
        <w:rPr>
          <w:lang w:val="fr-CA"/>
        </w:rPr>
        <w:t xml:space="preserve"> </w:t>
      </w:r>
      <w:r w:rsidR="00AC7A67">
        <w:rPr>
          <w:lang w:val="fr-CA"/>
        </w:rPr>
        <w:t>Sous-Comité</w:t>
      </w:r>
      <w:r w:rsidRPr="00024168">
        <w:rPr>
          <w:lang w:val="fr-CA"/>
        </w:rPr>
        <w:t>, qui doit s’assurer que le Règlement type de l’ONU maintient une perspective mondiale. La longue tradition d’utilisation dans diverses régions sans aucun problème de sécurité ainsi que l’absence de données en cas de problème de sécurité justifient la reconnaissance de cette caractéristique de conception couramment employée dans le Règlement type de l’ONU.</w:t>
      </w:r>
    </w:p>
    <w:p w:rsidR="003C7D8C" w:rsidRPr="00024168" w:rsidRDefault="003C7D8C" w:rsidP="003C7D8C">
      <w:pPr>
        <w:pStyle w:val="HChG"/>
        <w:rPr>
          <w:lang w:val="fr-CA"/>
        </w:rPr>
      </w:pPr>
      <w:r>
        <w:rPr>
          <w:lang w:val="fr-CA"/>
        </w:rPr>
        <w:tab/>
      </w:r>
      <w:r>
        <w:rPr>
          <w:lang w:val="fr-CA"/>
        </w:rPr>
        <w:tab/>
      </w:r>
      <w:r w:rsidRPr="00024168">
        <w:rPr>
          <w:lang w:val="fr-CA"/>
        </w:rPr>
        <w:t>Considérations</w:t>
      </w:r>
    </w:p>
    <w:p w:rsidR="003C7D8C" w:rsidRPr="00024168" w:rsidRDefault="003C7D8C" w:rsidP="003C7D8C">
      <w:pPr>
        <w:pStyle w:val="UNParagraphStyle"/>
        <w:numPr>
          <w:ilvl w:val="0"/>
          <w:numId w:val="0"/>
        </w:numPr>
        <w:ind w:left="1134"/>
        <w:rPr>
          <w:lang w:val="fr-CA"/>
        </w:rPr>
      </w:pPr>
      <w:r>
        <w:rPr>
          <w:lang w:val="fr-CA"/>
        </w:rPr>
        <w:t>9.</w:t>
      </w:r>
      <w:r>
        <w:rPr>
          <w:lang w:val="fr-CA"/>
        </w:rPr>
        <w:tab/>
      </w:r>
      <w:r w:rsidRPr="00024168">
        <w:rPr>
          <w:lang w:val="fr-CA"/>
        </w:rPr>
        <w:t>Les</w:t>
      </w:r>
      <w:r w:rsidR="00D214BB">
        <w:rPr>
          <w:lang w:val="fr-CA"/>
        </w:rPr>
        <w:t xml:space="preserve"> </w:t>
      </w:r>
      <w:r w:rsidR="00AC7A67">
        <w:rPr>
          <w:lang w:val="fr-CA"/>
        </w:rPr>
        <w:t>fûts à pression</w:t>
      </w:r>
      <w:r w:rsidR="006258B2">
        <w:rPr>
          <w:lang w:val="fr-CA"/>
        </w:rPr>
        <w:t>, aussi communément appelés «</w:t>
      </w:r>
      <w:r w:rsidRPr="00024168">
        <w:rPr>
          <w:lang w:val="fr-CA"/>
        </w:rPr>
        <w:t>ré</w:t>
      </w:r>
      <w:r w:rsidR="006258B2">
        <w:rPr>
          <w:lang w:val="fr-CA"/>
        </w:rPr>
        <w:t>servoirs à grande capacité», «</w:t>
      </w:r>
      <w:r w:rsidRPr="00024168">
        <w:rPr>
          <w:lang w:val="fr-CA"/>
        </w:rPr>
        <w:t>contenants d</w:t>
      </w:r>
      <w:r w:rsidRPr="00024168">
        <w:rPr>
          <w:cs/>
          <w:lang w:val="fr-CA"/>
        </w:rPr>
        <w:t>’</w:t>
      </w:r>
      <w:r w:rsidR="006258B2">
        <w:rPr>
          <w:lang w:val="fr-CA"/>
        </w:rPr>
        <w:t>une tonne» ou «</w:t>
      </w:r>
      <w:r w:rsidRPr="00024168">
        <w:rPr>
          <w:lang w:val="fr-CA"/>
        </w:rPr>
        <w:t>réservoirs pour citernes</w:t>
      </w:r>
      <w:r w:rsidR="006258B2">
        <w:rPr>
          <w:lang w:val="fr-CA"/>
        </w:rPr>
        <w:t xml:space="preserve"> routières à éléments multiples</w:t>
      </w:r>
      <w:r w:rsidRPr="00024168">
        <w:rPr>
          <w:lang w:val="fr-CA"/>
        </w:rPr>
        <w:t>», à fonds bombés convexes à la pression, sont utilisés pour le transport de gaz corrosifs en Amérique du Nord depuis 1936. Ce type de contenant présente un bilan de sécurité exemplaire lorsque les inspections et les mises à l</w:t>
      </w:r>
      <w:r w:rsidRPr="00024168">
        <w:rPr>
          <w:cs/>
          <w:lang w:val="fr-CA"/>
        </w:rPr>
        <w:t>’</w:t>
      </w:r>
      <w:r w:rsidRPr="00024168">
        <w:rPr>
          <w:lang w:val="fr-CA"/>
        </w:rPr>
        <w:t xml:space="preserve">essai sont effectuées selon la fréquence prescrite; les contenants fabriqués en 1936 sont toujours en service. Des renseignements sur l’inspection, la mise à l’essai, le nettoyage et la remise en état de ces contenants sont </w:t>
      </w:r>
      <w:r w:rsidRPr="00024168">
        <w:rPr>
          <w:lang w:val="fr-CA"/>
        </w:rPr>
        <w:lastRenderedPageBreak/>
        <w:t xml:space="preserve">fournis dans les recommandations de l’industrie. Le document du </w:t>
      </w:r>
      <w:proofErr w:type="spellStart"/>
      <w:r w:rsidRPr="00024168">
        <w:rPr>
          <w:lang w:val="fr-CA"/>
        </w:rPr>
        <w:t>Chlorine</w:t>
      </w:r>
      <w:proofErr w:type="spellEnd"/>
      <w:r w:rsidRPr="00024168">
        <w:rPr>
          <w:lang w:val="fr-CA"/>
        </w:rPr>
        <w:t xml:space="preserve"> Institute intitulé </w:t>
      </w:r>
      <w:r w:rsidRPr="00024168">
        <w:rPr>
          <w:i/>
          <w:lang w:val="fr-CA"/>
        </w:rPr>
        <w:t xml:space="preserve">Pamphlet 17 </w:t>
      </w:r>
      <w:r w:rsidRPr="00024168">
        <w:rPr>
          <w:i/>
          <w:cs/>
          <w:lang w:val="fr-CA"/>
        </w:rPr>
        <w:t xml:space="preserve">– </w:t>
      </w:r>
      <w:r w:rsidRPr="00024168">
        <w:rPr>
          <w:i/>
          <w:lang w:val="fr-CA"/>
        </w:rPr>
        <w:t xml:space="preserve">Packaging Plant </w:t>
      </w:r>
      <w:proofErr w:type="spellStart"/>
      <w:r w:rsidRPr="00024168">
        <w:rPr>
          <w:i/>
          <w:lang w:val="fr-CA"/>
        </w:rPr>
        <w:t>Safety</w:t>
      </w:r>
      <w:proofErr w:type="spellEnd"/>
      <w:r w:rsidRPr="00024168">
        <w:rPr>
          <w:i/>
          <w:lang w:val="fr-CA"/>
        </w:rPr>
        <w:t xml:space="preserve"> and </w:t>
      </w:r>
      <w:proofErr w:type="spellStart"/>
      <w:r w:rsidRPr="00024168">
        <w:rPr>
          <w:i/>
          <w:lang w:val="fr-CA"/>
        </w:rPr>
        <w:t>Operational</w:t>
      </w:r>
      <w:proofErr w:type="spellEnd"/>
      <w:r w:rsidRPr="00024168">
        <w:rPr>
          <w:i/>
          <w:lang w:val="fr-CA"/>
        </w:rPr>
        <w:t xml:space="preserve"> Guidelines</w:t>
      </w:r>
      <w:r w:rsidRPr="00024168">
        <w:rPr>
          <w:lang w:val="fr-CA"/>
        </w:rPr>
        <w:t xml:space="preserve"> (brochure n</w:t>
      </w:r>
      <w:r w:rsidRPr="00024168">
        <w:rPr>
          <w:vertAlign w:val="superscript"/>
          <w:lang w:val="fr-CA"/>
        </w:rPr>
        <w:t>o</w:t>
      </w:r>
      <w:r w:rsidRPr="00024168">
        <w:rPr>
          <w:lang w:val="fr-CA"/>
        </w:rPr>
        <w:t xml:space="preserve"> 17 </w:t>
      </w:r>
      <w:r w:rsidRPr="00024168">
        <w:rPr>
          <w:cs/>
          <w:lang w:val="fr-CA"/>
        </w:rPr>
        <w:t xml:space="preserve">– </w:t>
      </w:r>
      <w:r w:rsidRPr="00024168">
        <w:rPr>
          <w:lang w:val="fr-CA"/>
        </w:rPr>
        <w:t xml:space="preserve">lignes directrices sur la sécurité et l’exploitation d’une usine de conditionnement) en constitue un exemple. Ce document est </w:t>
      </w:r>
      <w:r w:rsidR="00AC7A67">
        <w:rPr>
          <w:lang w:val="fr-CA"/>
        </w:rPr>
        <w:t xml:space="preserve">disponible </w:t>
      </w:r>
      <w:r w:rsidRPr="00024168">
        <w:rPr>
          <w:lang w:val="fr-CA"/>
        </w:rPr>
        <w:t xml:space="preserve">(en anglais </w:t>
      </w:r>
      <w:r w:rsidR="00A63F9B">
        <w:rPr>
          <w:lang w:val="fr-CA"/>
        </w:rPr>
        <w:t>seulement) à l’adresse suivante</w:t>
      </w:r>
      <w:r w:rsidRPr="00024168">
        <w:rPr>
          <w:lang w:val="fr-CA"/>
        </w:rPr>
        <w:t xml:space="preserve">: </w:t>
      </w:r>
      <w:hyperlink r:id="rId11" w:history="1">
        <w:r w:rsidRPr="00024168">
          <w:rPr>
            <w:rStyle w:val="Hyperlink"/>
            <w:lang w:val="fr-CA"/>
          </w:rPr>
          <w:t>http://bit.ly/1MxMWYG</w:t>
        </w:r>
      </w:hyperlink>
      <w:r w:rsidRPr="00024168">
        <w:rPr>
          <w:lang w:val="fr-CA"/>
        </w:rPr>
        <w:t>.</w:t>
      </w:r>
    </w:p>
    <w:p w:rsidR="003C7D8C" w:rsidRPr="00024168" w:rsidRDefault="003C7D8C" w:rsidP="003C7D8C">
      <w:pPr>
        <w:pStyle w:val="SingleTxtG"/>
        <w:rPr>
          <w:lang w:val="fr-CA"/>
        </w:rPr>
      </w:pPr>
      <w:r>
        <w:rPr>
          <w:lang w:val="fr-CA"/>
        </w:rPr>
        <w:t>10.</w:t>
      </w:r>
      <w:r>
        <w:rPr>
          <w:lang w:val="fr-CA"/>
        </w:rPr>
        <w:tab/>
      </w:r>
      <w:r w:rsidRPr="00024168">
        <w:rPr>
          <w:lang w:val="fr-CA"/>
        </w:rPr>
        <w:t>À la lumière des renseignements recueillis au sein de l’industrie du chlore, aucun incident lié à la construction ou à la conception de ces contenants, comme des traces de corrosion aux soudures supérieures, n’a été consigné dans les données accessibles.</w:t>
      </w:r>
    </w:p>
    <w:p w:rsidR="003C7D8C" w:rsidRPr="00024168" w:rsidRDefault="003C7D8C" w:rsidP="003C7D8C">
      <w:pPr>
        <w:pStyle w:val="SingleTxtG"/>
        <w:rPr>
          <w:lang w:val="fr-CA"/>
        </w:rPr>
      </w:pPr>
      <w:r>
        <w:rPr>
          <w:lang w:val="fr-CA"/>
        </w:rPr>
        <w:t>11.</w:t>
      </w:r>
      <w:r>
        <w:rPr>
          <w:lang w:val="fr-CA"/>
        </w:rPr>
        <w:tab/>
      </w:r>
      <w:r w:rsidRPr="00024168">
        <w:rPr>
          <w:lang w:val="fr-CA"/>
        </w:rPr>
        <w:t xml:space="preserve">De plus, les données de l’industrie australienne ne révèlent aucun incident depuis 1997, et ce, sur les 178 598 remplissages de contenants de type « 106 » documentés. Deux (2) incidents survenus en Australie sont liés à la défaillance de ce type de baril; cependant, dans ces deux cas, un important incendie a ravagé le véhicule ou l’immeuble dans lequel les </w:t>
      </w:r>
      <w:r w:rsidR="00AC7A67">
        <w:rPr>
          <w:lang w:val="fr-CA"/>
        </w:rPr>
        <w:t xml:space="preserve">fûts </w:t>
      </w:r>
      <w:r w:rsidRPr="00024168">
        <w:rPr>
          <w:lang w:val="fr-CA"/>
        </w:rPr>
        <w:t>se trouvaient. Depuis l’introduction des contenants de type « 106 » dans les années 1950 en Australie, aucun incident n’a été signalé en lien avec la corrosion interne ou externe de ces barils.</w:t>
      </w:r>
    </w:p>
    <w:p w:rsidR="003C7D8C" w:rsidRPr="00024168" w:rsidRDefault="003C7D8C" w:rsidP="003C7D8C">
      <w:pPr>
        <w:pStyle w:val="SingleTxtG"/>
        <w:rPr>
          <w:lang w:val="fr-CA"/>
        </w:rPr>
      </w:pPr>
      <w:r>
        <w:rPr>
          <w:lang w:val="fr-CA"/>
        </w:rPr>
        <w:t>12.</w:t>
      </w:r>
      <w:r>
        <w:rPr>
          <w:lang w:val="fr-CA"/>
        </w:rPr>
        <w:tab/>
      </w:r>
      <w:r w:rsidRPr="00024168">
        <w:rPr>
          <w:lang w:val="fr-CA"/>
        </w:rPr>
        <w:t xml:space="preserve">Ces contenants sont habituellement utilisés aux fins de distribution de </w:t>
      </w:r>
      <w:r>
        <w:rPr>
          <w:lang w:val="fr-CA"/>
        </w:rPr>
        <w:t xml:space="preserve">gaz de </w:t>
      </w:r>
      <w:r w:rsidRPr="00024168">
        <w:rPr>
          <w:lang w:val="fr-CA"/>
        </w:rPr>
        <w:t xml:space="preserve">chlore et </w:t>
      </w:r>
      <w:r>
        <w:rPr>
          <w:lang w:val="fr-CA"/>
        </w:rPr>
        <w:t>de sulfure d’hydrogène</w:t>
      </w:r>
      <w:r w:rsidRPr="00024168">
        <w:rPr>
          <w:lang w:val="fr-CA"/>
        </w:rPr>
        <w:t>. Une image d’un contenant d’une tonne de chlore (spécification </w:t>
      </w:r>
      <w:r>
        <w:rPr>
          <w:lang w:val="fr-CA"/>
        </w:rPr>
        <w:t xml:space="preserve">TC </w:t>
      </w:r>
      <w:r w:rsidRPr="00024168">
        <w:rPr>
          <w:lang w:val="fr-CA"/>
        </w:rPr>
        <w:t>106A500X) est affichée ci-dessous aux fins d’illustration.</w:t>
      </w:r>
    </w:p>
    <w:p w:rsidR="003C7D8C" w:rsidRPr="00024168" w:rsidRDefault="003C7D8C" w:rsidP="003C7D8C">
      <w:pPr>
        <w:pStyle w:val="UNParagraphStyle"/>
        <w:numPr>
          <w:ilvl w:val="0"/>
          <w:numId w:val="0"/>
        </w:numPr>
        <w:ind w:left="1134"/>
        <w:jc w:val="center"/>
        <w:rPr>
          <w:lang w:val="fr-CA"/>
        </w:rPr>
      </w:pPr>
      <w:r>
        <w:rPr>
          <w:noProof/>
          <w:lang w:val="en-GB" w:eastAsia="en-GB"/>
        </w:rPr>
        <w:drawing>
          <wp:inline distT="0" distB="0" distL="0" distR="0" wp14:anchorId="3B1D0698" wp14:editId="6392DBDE">
            <wp:extent cx="1558290" cy="1558290"/>
            <wp:effectExtent l="0" t="0" r="3810" b="3810"/>
            <wp:docPr id="1" name="Picture 1" descr="4602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02_D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inline>
        </w:drawing>
      </w:r>
    </w:p>
    <w:p w:rsidR="003C7D8C" w:rsidRPr="00024168" w:rsidRDefault="003C7D8C" w:rsidP="003C7D8C">
      <w:pPr>
        <w:pStyle w:val="SingleTxtG"/>
        <w:rPr>
          <w:lang w:val="fr-CA"/>
        </w:rPr>
      </w:pPr>
      <w:r>
        <w:rPr>
          <w:lang w:val="fr-CA"/>
        </w:rPr>
        <w:t>13.</w:t>
      </w:r>
      <w:r>
        <w:rPr>
          <w:lang w:val="fr-CA"/>
        </w:rPr>
        <w:tab/>
      </w:r>
      <w:r w:rsidRPr="00024168">
        <w:rPr>
          <w:lang w:val="fr-CA"/>
        </w:rPr>
        <w:t>Compte tenu de la conce</w:t>
      </w:r>
      <w:r w:rsidR="006258B2">
        <w:rPr>
          <w:lang w:val="fr-CA"/>
        </w:rPr>
        <w:t>ption de ce contenant de type «106</w:t>
      </w:r>
      <w:r w:rsidRPr="00024168">
        <w:rPr>
          <w:lang w:val="fr-CA"/>
        </w:rPr>
        <w:t>», il est inutile de souder les anneaux roulants ou la collerette de protection de la soupape au baril du contenant. Un principe généralement accepté veut que les éléments soudés affaiblissent l’ensemble du contenant; certains incidents impliquant des</w:t>
      </w:r>
      <w:r w:rsidR="006258B2">
        <w:rPr>
          <w:lang w:val="fr-CA"/>
        </w:rPr>
        <w:t xml:space="preserve"> contenants de chlore de type «110</w:t>
      </w:r>
      <w:r w:rsidRPr="00024168">
        <w:rPr>
          <w:lang w:val="fr-CA"/>
        </w:rPr>
        <w:t>» semblent confirmer ce principe. De plus, les fonds bombés convexes à la pression offrent une grande protection aux soupapes des</w:t>
      </w:r>
      <w:r w:rsidR="00D214BB">
        <w:rPr>
          <w:lang w:val="fr-CA"/>
        </w:rPr>
        <w:t xml:space="preserve"> </w:t>
      </w:r>
      <w:r w:rsidR="00AC7A67">
        <w:rPr>
          <w:lang w:val="fr-CA"/>
        </w:rPr>
        <w:t>fûts</w:t>
      </w:r>
      <w:r w:rsidRPr="00024168">
        <w:rPr>
          <w:lang w:val="fr-CA"/>
        </w:rPr>
        <w:t>; dans certaines régions, cette configuration des soupapes a permis d’offrir une protection supérieure aux soupapes de mécanismes utilisés dans les réservoirs sous pression qui ne sont pas dotés de fonds bombés convexes à la pression (p. ex., des couvercles métalliques).</w:t>
      </w:r>
    </w:p>
    <w:p w:rsidR="003C7D8C" w:rsidRPr="00024168" w:rsidRDefault="003C7D8C" w:rsidP="003C7D8C">
      <w:pPr>
        <w:pStyle w:val="SingleTxtG"/>
        <w:rPr>
          <w:lang w:val="fr-CA"/>
        </w:rPr>
      </w:pPr>
      <w:r>
        <w:rPr>
          <w:lang w:val="fr-CA"/>
        </w:rPr>
        <w:t>14.</w:t>
      </w:r>
      <w:r>
        <w:rPr>
          <w:lang w:val="fr-CA"/>
        </w:rPr>
        <w:tab/>
      </w:r>
      <w:r w:rsidR="006258B2">
        <w:rPr>
          <w:lang w:val="fr-CA"/>
        </w:rPr>
        <w:t>Le contenant de type «106</w:t>
      </w:r>
      <w:r w:rsidRPr="00024168">
        <w:rPr>
          <w:lang w:val="fr-CA"/>
        </w:rPr>
        <w:t>» permet d’utiliser un outil simple et fiable afin de sceller temporairement les trous causés par la rouille de l’anneau externe et des soupapes non étanches (ce</w:t>
      </w:r>
      <w:r w:rsidR="006258B2">
        <w:rPr>
          <w:lang w:val="fr-CA"/>
        </w:rPr>
        <w:t>t outil est couramment appelé «trousse de chlore B</w:t>
      </w:r>
      <w:r w:rsidRPr="00024168">
        <w:rPr>
          <w:lang w:val="fr-CA"/>
        </w:rPr>
        <w:t>»). La conception du contenant de type « 106 » permet d’utiliser cet outil de façon sécuritaire et efficace. Bien que la trousse B s’applique également au contenant d</w:t>
      </w:r>
      <w:r w:rsidR="006258B2">
        <w:rPr>
          <w:lang w:val="fr-CA"/>
        </w:rPr>
        <w:t>e type «110</w:t>
      </w:r>
      <w:r w:rsidRPr="00024168">
        <w:rPr>
          <w:lang w:val="fr-CA"/>
        </w:rPr>
        <w:t>», la formation et les ressources vastes que les experts de l’industrie fournissent sont axées sur l’utilisation de la trouss</w:t>
      </w:r>
      <w:r w:rsidR="006258B2">
        <w:rPr>
          <w:lang w:val="fr-CA"/>
        </w:rPr>
        <w:t>e B avec le contenant de type «106</w:t>
      </w:r>
      <w:r w:rsidRPr="00024168">
        <w:rPr>
          <w:lang w:val="fr-CA"/>
        </w:rPr>
        <w:t xml:space="preserve">», compte tenu de l’utilisation répandue de ce type de contenant. Des renseignements supplémentaires sur la trousse de chlore B sont fournis (en anglais seulement) à l’adresse suivante : </w:t>
      </w:r>
      <w:hyperlink r:id="rId13" w:history="1">
        <w:r w:rsidRPr="00024168">
          <w:rPr>
            <w:rStyle w:val="Hyperlink"/>
            <w:lang w:val="fr-CA"/>
          </w:rPr>
          <w:t>http://b</w:t>
        </w:r>
        <w:bookmarkStart w:id="1" w:name="_Hlt446055775"/>
        <w:r w:rsidRPr="00024168">
          <w:rPr>
            <w:rStyle w:val="Hyperlink"/>
            <w:lang w:val="fr-CA"/>
          </w:rPr>
          <w:t>i</w:t>
        </w:r>
        <w:bookmarkEnd w:id="1"/>
        <w:r w:rsidRPr="00024168">
          <w:rPr>
            <w:rStyle w:val="Hyperlink"/>
            <w:lang w:val="fr-CA"/>
          </w:rPr>
          <w:t>t.ly/1LuIUpb</w:t>
        </w:r>
      </w:hyperlink>
      <w:r w:rsidRPr="00024168">
        <w:rPr>
          <w:lang w:val="fr-CA"/>
        </w:rPr>
        <w:t>.</w:t>
      </w:r>
    </w:p>
    <w:p w:rsidR="003C7D8C" w:rsidRPr="00024168" w:rsidRDefault="003C7D8C" w:rsidP="003C7D8C">
      <w:pPr>
        <w:pStyle w:val="SingleTxtG"/>
        <w:rPr>
          <w:lang w:val="fr-CA"/>
        </w:rPr>
      </w:pPr>
      <w:r>
        <w:rPr>
          <w:lang w:val="fr-CA"/>
        </w:rPr>
        <w:t>15.</w:t>
      </w:r>
      <w:r>
        <w:rPr>
          <w:lang w:val="fr-CA"/>
        </w:rPr>
        <w:tab/>
      </w:r>
      <w:r w:rsidRPr="00024168">
        <w:rPr>
          <w:lang w:val="fr-CA"/>
        </w:rPr>
        <w:t>En ce qui concerne la santé p</w:t>
      </w:r>
      <w:r w:rsidR="006258B2">
        <w:rPr>
          <w:lang w:val="fr-CA"/>
        </w:rPr>
        <w:t>ublique, le contenant de type «106</w:t>
      </w:r>
      <w:r w:rsidRPr="00024168">
        <w:rPr>
          <w:lang w:val="fr-CA"/>
        </w:rPr>
        <w:t xml:space="preserve">» est le plus couramment utilisé aux fins de transport de chlore destiné au traitement de l’eau, à l’échelle mondiale. La restriction adoptée au paragraphe 6.2.2.1.8 impose un fardeau quant à </w:t>
      </w:r>
      <w:r w:rsidRPr="00024168">
        <w:rPr>
          <w:lang w:val="fr-CA"/>
        </w:rPr>
        <w:lastRenderedPageBreak/>
        <w:t>l’obtention de chlore aux fins de traitement de l’eau, et peut nuire aux pays qui dépendent de ces contenants sécuritaires pour combler leurs besoins en matière de traitement de l’eau.</w:t>
      </w:r>
    </w:p>
    <w:p w:rsidR="003C7D8C" w:rsidRPr="00024168" w:rsidRDefault="003C7D8C" w:rsidP="003C7D8C">
      <w:pPr>
        <w:pStyle w:val="SingleTxtG"/>
        <w:rPr>
          <w:lang w:val="fr-CA"/>
        </w:rPr>
      </w:pPr>
      <w:r>
        <w:rPr>
          <w:lang w:val="fr-CA"/>
        </w:rPr>
        <w:t>16.</w:t>
      </w:r>
      <w:r>
        <w:rPr>
          <w:lang w:val="fr-CA"/>
        </w:rPr>
        <w:tab/>
      </w:r>
      <w:r w:rsidRPr="00024168">
        <w:rPr>
          <w:lang w:val="fr-CA"/>
        </w:rPr>
        <w:t xml:space="preserve">En </w:t>
      </w:r>
      <w:r w:rsidR="00AC7A67">
        <w:rPr>
          <w:lang w:val="fr-CA"/>
        </w:rPr>
        <w:t xml:space="preserve">Fédération de </w:t>
      </w:r>
      <w:r w:rsidRPr="00024168">
        <w:rPr>
          <w:lang w:val="fr-CA"/>
        </w:rPr>
        <w:t xml:space="preserve">Russie, les </w:t>
      </w:r>
      <w:r w:rsidR="00AC7A67">
        <w:rPr>
          <w:lang w:val="fr-CA"/>
        </w:rPr>
        <w:t xml:space="preserve">fûts </w:t>
      </w:r>
      <w:r w:rsidRPr="00024168">
        <w:rPr>
          <w:lang w:val="fr-CA"/>
        </w:rPr>
        <w:t>dotés de fonds bombés convexes à</w:t>
      </w:r>
      <w:r w:rsidR="006258B2">
        <w:rPr>
          <w:lang w:val="fr-CA"/>
        </w:rPr>
        <w:t xml:space="preserve"> la pression (p. ex., de type «110</w:t>
      </w:r>
      <w:r w:rsidRPr="00024168">
        <w:rPr>
          <w:lang w:val="fr-CA"/>
        </w:rPr>
        <w:t xml:space="preserve">») sont habituellement utilisés aux fins de transport de chlore et d’autres produits corrosifs. Il y a environ dix (10) ans, une pénurie de chlore a touché les stations d’épuration de la région du Nord-Ouest (région de </w:t>
      </w:r>
      <w:proofErr w:type="spellStart"/>
      <w:r w:rsidRPr="00024168">
        <w:rPr>
          <w:lang w:val="fr-CA"/>
        </w:rPr>
        <w:t>Saint-P</w:t>
      </w:r>
      <w:r w:rsidR="00AC7A67">
        <w:rPr>
          <w:lang w:val="fr-CA"/>
        </w:rPr>
        <w:t>e</w:t>
      </w:r>
      <w:r w:rsidRPr="00024168">
        <w:rPr>
          <w:lang w:val="fr-CA"/>
        </w:rPr>
        <w:t>tersbourg</w:t>
      </w:r>
      <w:proofErr w:type="spellEnd"/>
      <w:r w:rsidRPr="00024168">
        <w:rPr>
          <w:lang w:val="fr-CA"/>
        </w:rPr>
        <w:t>). Les autorités réglementaires ont mandaté le</w:t>
      </w:r>
      <w:r w:rsidRPr="00024168">
        <w:rPr>
          <w:i/>
          <w:lang w:val="fr-CA"/>
        </w:rPr>
        <w:t xml:space="preserve"> </w:t>
      </w:r>
      <w:proofErr w:type="spellStart"/>
      <w:r w:rsidRPr="00024168">
        <w:rPr>
          <w:i/>
          <w:lang w:val="fr-CA"/>
        </w:rPr>
        <w:t>Russian</w:t>
      </w:r>
      <w:proofErr w:type="spellEnd"/>
      <w:r w:rsidRPr="00024168">
        <w:rPr>
          <w:i/>
          <w:lang w:val="fr-CA"/>
        </w:rPr>
        <w:t xml:space="preserve"> </w:t>
      </w:r>
      <w:proofErr w:type="spellStart"/>
      <w:r w:rsidRPr="00024168">
        <w:rPr>
          <w:i/>
          <w:lang w:val="fr-CA"/>
        </w:rPr>
        <w:t>Chlorine</w:t>
      </w:r>
      <w:proofErr w:type="spellEnd"/>
      <w:r w:rsidRPr="00024168">
        <w:rPr>
          <w:i/>
          <w:lang w:val="fr-CA"/>
        </w:rPr>
        <w:t xml:space="preserve"> </w:t>
      </w:r>
      <w:proofErr w:type="spellStart"/>
      <w:r w:rsidRPr="00024168">
        <w:rPr>
          <w:i/>
          <w:lang w:val="fr-CA"/>
        </w:rPr>
        <w:t>Safety</w:t>
      </w:r>
      <w:proofErr w:type="spellEnd"/>
      <w:r w:rsidRPr="00024168">
        <w:rPr>
          <w:i/>
          <w:lang w:val="fr-CA"/>
        </w:rPr>
        <w:t xml:space="preserve"> Centre</w:t>
      </w:r>
      <w:r w:rsidRPr="00024168">
        <w:rPr>
          <w:lang w:val="fr-CA"/>
        </w:rPr>
        <w:t xml:space="preserve"> (centre de la sécurité du chlore de la Russie) de réaliser une évaluation de la sécurité et une analyse comparative exhau</w:t>
      </w:r>
      <w:r w:rsidR="006258B2">
        <w:rPr>
          <w:lang w:val="fr-CA"/>
        </w:rPr>
        <w:t>stives des contenants de type «106» et «110</w:t>
      </w:r>
      <w:r w:rsidRPr="00024168">
        <w:rPr>
          <w:lang w:val="fr-CA"/>
        </w:rPr>
        <w:t>» afin de déterminer s’il était sécuritaire et possible de recevoir du chlore d’autres pays, situés à proximité de la région, qui utili</w:t>
      </w:r>
      <w:r w:rsidR="006258B2">
        <w:rPr>
          <w:lang w:val="fr-CA"/>
        </w:rPr>
        <w:t>saient des contenants de type «106</w:t>
      </w:r>
      <w:r w:rsidRPr="00024168">
        <w:rPr>
          <w:lang w:val="fr-CA"/>
        </w:rPr>
        <w:t xml:space="preserve">». Cette analyse a démontré que les deux contenants respectaient entièrement les règlements techniques de la </w:t>
      </w:r>
      <w:r w:rsidR="00AC7A67">
        <w:rPr>
          <w:lang w:val="fr-CA"/>
        </w:rPr>
        <w:t xml:space="preserve">Fédération de </w:t>
      </w:r>
      <w:r w:rsidRPr="00024168">
        <w:rPr>
          <w:lang w:val="fr-CA"/>
        </w:rPr>
        <w:t>Russie, et l’organisme de réglementation de l’État a ensuite autorisé officiellement l’util</w:t>
      </w:r>
      <w:r w:rsidR="006258B2">
        <w:rPr>
          <w:lang w:val="fr-CA"/>
        </w:rPr>
        <w:t>isation de contenants de type «106</w:t>
      </w:r>
      <w:r w:rsidRPr="00024168">
        <w:rPr>
          <w:lang w:val="fr-CA"/>
        </w:rPr>
        <w:t>» au sein de la Fédération de Russie.</w:t>
      </w:r>
    </w:p>
    <w:p w:rsidR="003C7D8C" w:rsidRDefault="003C7D8C" w:rsidP="003C7D8C">
      <w:pPr>
        <w:pStyle w:val="SingleTxtG"/>
        <w:rPr>
          <w:lang w:val="fr-CA"/>
        </w:rPr>
      </w:pPr>
      <w:r>
        <w:rPr>
          <w:lang w:val="fr-CA"/>
        </w:rPr>
        <w:t>17.</w:t>
      </w:r>
      <w:r>
        <w:rPr>
          <w:lang w:val="fr-CA"/>
        </w:rPr>
        <w:tab/>
      </w:r>
      <w:r w:rsidRPr="00024168">
        <w:rPr>
          <w:lang w:val="fr-CA"/>
        </w:rPr>
        <w:t>L’annexe </w:t>
      </w:r>
      <w:r w:rsidR="00AC7A67">
        <w:rPr>
          <w:lang w:val="fr-CA"/>
        </w:rPr>
        <w:t>au présent document</w:t>
      </w:r>
      <w:r w:rsidRPr="00024168">
        <w:rPr>
          <w:lang w:val="fr-CA"/>
        </w:rPr>
        <w:t xml:space="preserve"> présente une liste de pays qui u</w:t>
      </w:r>
      <w:r w:rsidR="006258B2">
        <w:rPr>
          <w:lang w:val="fr-CA"/>
        </w:rPr>
        <w:t>tilisent le contenant de type «</w:t>
      </w:r>
      <w:r w:rsidRPr="00024168">
        <w:rPr>
          <w:lang w:val="fr-CA"/>
        </w:rPr>
        <w:t>1</w:t>
      </w:r>
      <w:r w:rsidR="006258B2">
        <w:rPr>
          <w:lang w:val="fr-CA"/>
        </w:rPr>
        <w:t>06</w:t>
      </w:r>
      <w:r w:rsidRPr="00024168">
        <w:rPr>
          <w:lang w:val="fr-CA"/>
        </w:rPr>
        <w:t>» principalement aux fins de transport du chlore, mais aussi aux fins de transport d’autres produits corrosifs.</w:t>
      </w:r>
      <w:r w:rsidR="00D214BB">
        <w:rPr>
          <w:lang w:val="fr-CA"/>
        </w:rPr>
        <w:t xml:space="preserve"> </w:t>
      </w:r>
      <w:r w:rsidR="00AC7A67">
        <w:rPr>
          <w:lang w:val="fr-CA"/>
        </w:rPr>
        <w:t xml:space="preserve">Cette liste comprend de nombreux pays sur tous les continents de la planète, bien que l’utilisation de ces fûts en </w:t>
      </w:r>
      <w:proofErr w:type="spellStart"/>
      <w:r w:rsidR="00AC7A67">
        <w:rPr>
          <w:lang w:val="fr-CA"/>
        </w:rPr>
        <w:t>Antartique</w:t>
      </w:r>
      <w:proofErr w:type="spellEnd"/>
      <w:r w:rsidR="00AC7A67">
        <w:rPr>
          <w:lang w:val="fr-CA"/>
        </w:rPr>
        <w:t xml:space="preserve"> n’ait pu être vérifiée</w:t>
      </w:r>
      <w:r w:rsidRPr="00024168">
        <w:rPr>
          <w:lang w:val="fr-CA"/>
        </w:rPr>
        <w:t>.</w:t>
      </w:r>
    </w:p>
    <w:p w:rsidR="003C7D8C" w:rsidRPr="00024168" w:rsidRDefault="006258B2" w:rsidP="006258B2">
      <w:pPr>
        <w:pStyle w:val="HChG"/>
        <w:rPr>
          <w:lang w:val="fr-CA"/>
        </w:rPr>
      </w:pPr>
      <w:r>
        <w:rPr>
          <w:lang w:val="fr-CA"/>
        </w:rPr>
        <w:tab/>
      </w:r>
      <w:r>
        <w:rPr>
          <w:lang w:val="fr-CA"/>
        </w:rPr>
        <w:tab/>
      </w:r>
      <w:r w:rsidR="003C7D8C" w:rsidRPr="00024168">
        <w:rPr>
          <w:lang w:val="fr-CA"/>
        </w:rPr>
        <w:t>Proposition de modification du paragraphe 6.2.2.1.8</w:t>
      </w:r>
    </w:p>
    <w:p w:rsidR="003C7D8C" w:rsidRPr="00024168" w:rsidRDefault="006258B2" w:rsidP="006258B2">
      <w:pPr>
        <w:pStyle w:val="SingleTxtG"/>
        <w:rPr>
          <w:lang w:val="fr-CA"/>
        </w:rPr>
      </w:pPr>
      <w:r>
        <w:rPr>
          <w:lang w:val="fr-CA"/>
        </w:rPr>
        <w:t>18.</w:t>
      </w:r>
      <w:r>
        <w:rPr>
          <w:lang w:val="fr-CA"/>
        </w:rPr>
        <w:tab/>
      </w:r>
      <w:r w:rsidR="003C7D8C" w:rsidRPr="00024168">
        <w:rPr>
          <w:lang w:val="fr-CA"/>
        </w:rPr>
        <w:t>Il est proposé d’ajouter l’une des formulations présentées ci-dessous à la suite du titre de la nouvelle norme, dans le nouveau tableau du paragraphe 6.2.2.1.8.</w:t>
      </w:r>
    </w:p>
    <w:p w:rsidR="003C7D8C" w:rsidRPr="006258B2" w:rsidRDefault="006258B2" w:rsidP="006258B2">
      <w:pPr>
        <w:pStyle w:val="H1G"/>
      </w:pPr>
      <w:r w:rsidRPr="006258B2">
        <w:tab/>
      </w:r>
      <w:r w:rsidRPr="006258B2">
        <w:tab/>
      </w:r>
      <w:r w:rsidR="003C7D8C" w:rsidRPr="006258B2">
        <w:t>Première option</w:t>
      </w:r>
    </w:p>
    <w:p w:rsidR="003C7D8C" w:rsidRPr="00024168" w:rsidRDefault="00AC7A67" w:rsidP="006258B2">
      <w:pPr>
        <w:pStyle w:val="UNParagraphStyle"/>
        <w:numPr>
          <w:ilvl w:val="0"/>
          <w:numId w:val="0"/>
        </w:numPr>
        <w:ind w:left="1134"/>
        <w:rPr>
          <w:i/>
          <w:lang w:val="fr-CA"/>
        </w:rPr>
      </w:pPr>
      <w:r>
        <w:rPr>
          <w:b/>
          <w:i/>
          <w:lang w:val="fr-CA"/>
        </w:rPr>
        <w:t>NOTA</w:t>
      </w:r>
      <w:r w:rsidR="003C7D8C" w:rsidRPr="00024168">
        <w:rPr>
          <w:b/>
          <w:i/>
          <w:lang w:val="fr-CA"/>
        </w:rPr>
        <w:t>:</w:t>
      </w:r>
      <w:r w:rsidR="003C7D8C" w:rsidRPr="00024168">
        <w:rPr>
          <w:i/>
          <w:lang w:val="fr-CA"/>
        </w:rPr>
        <w:t xml:space="preserve"> Indépendamment de la section 6.3.3.4 de la présente norme, les </w:t>
      </w:r>
      <w:r>
        <w:rPr>
          <w:i/>
          <w:lang w:val="fr-CA"/>
        </w:rPr>
        <w:t xml:space="preserve">fûts à </w:t>
      </w:r>
      <w:r w:rsidR="003C7D8C" w:rsidRPr="00024168">
        <w:rPr>
          <w:i/>
          <w:lang w:val="fr-CA"/>
        </w:rPr>
        <w:t xml:space="preserve">pression en acier soudés à fonds bombés convexes à la pression peuvent être utilisés aux fins de transport de </w:t>
      </w:r>
      <w:r>
        <w:rPr>
          <w:i/>
          <w:lang w:val="fr-CA"/>
        </w:rPr>
        <w:t xml:space="preserve">matières </w:t>
      </w:r>
      <w:r w:rsidR="003C7D8C" w:rsidRPr="00024168">
        <w:rPr>
          <w:i/>
          <w:lang w:val="fr-CA"/>
        </w:rPr>
        <w:t>corrosives, à condition de satisfaire à toutes les exigences applicables du Règlement.</w:t>
      </w:r>
    </w:p>
    <w:p w:rsidR="003C7D8C" w:rsidRPr="006258B2" w:rsidRDefault="006258B2" w:rsidP="006258B2">
      <w:pPr>
        <w:pStyle w:val="H1G"/>
      </w:pPr>
      <w:r>
        <w:tab/>
      </w:r>
      <w:r>
        <w:tab/>
      </w:r>
      <w:r w:rsidR="003C7D8C" w:rsidRPr="006258B2">
        <w:t>Deuxième option</w:t>
      </w:r>
    </w:p>
    <w:p w:rsidR="003C7D8C" w:rsidRPr="00024168" w:rsidRDefault="00AC7A67" w:rsidP="006258B2">
      <w:pPr>
        <w:pStyle w:val="UNParagraphStyle"/>
        <w:numPr>
          <w:ilvl w:val="0"/>
          <w:numId w:val="0"/>
        </w:numPr>
        <w:ind w:left="1134"/>
        <w:rPr>
          <w:i/>
          <w:lang w:val="fr-CA"/>
        </w:rPr>
      </w:pPr>
      <w:r>
        <w:rPr>
          <w:b/>
          <w:i/>
          <w:lang w:val="fr-CA"/>
        </w:rPr>
        <w:t>NOTA</w:t>
      </w:r>
      <w:r w:rsidR="003C7D8C" w:rsidRPr="00024168">
        <w:rPr>
          <w:b/>
          <w:i/>
          <w:lang w:val="fr-CA"/>
        </w:rPr>
        <w:t>:</w:t>
      </w:r>
      <w:r w:rsidR="003C7D8C" w:rsidRPr="00024168">
        <w:rPr>
          <w:i/>
          <w:lang w:val="fr-CA"/>
        </w:rPr>
        <w:t xml:space="preserve"> Indépendamment de la section 6.3.3.4 de la présente norme, les </w:t>
      </w:r>
      <w:r>
        <w:rPr>
          <w:i/>
          <w:lang w:val="fr-CA"/>
        </w:rPr>
        <w:t>fûts à</w:t>
      </w:r>
      <w:r w:rsidR="003C7D8C" w:rsidRPr="00024168">
        <w:rPr>
          <w:i/>
          <w:lang w:val="fr-CA"/>
        </w:rPr>
        <w:t xml:space="preserve"> pression en acier soudés à fonds bombés convexes à la pression peuvent être utilisés aux fins de transport de </w:t>
      </w:r>
      <w:r>
        <w:rPr>
          <w:i/>
          <w:lang w:val="fr-CA"/>
        </w:rPr>
        <w:t xml:space="preserve">matières </w:t>
      </w:r>
      <w:r w:rsidR="003C7D8C" w:rsidRPr="00024168">
        <w:rPr>
          <w:i/>
          <w:lang w:val="fr-CA"/>
        </w:rPr>
        <w:t>corrosives, à condition de satisfaire à toutes les exigences applicables du Règlement, sous réserve de l’approbation de l’autorité compétente du pays où ils sont utilisés.</w:t>
      </w:r>
    </w:p>
    <w:p w:rsidR="00AC7A67" w:rsidRDefault="003C7D8C" w:rsidP="003C7D8C">
      <w:pPr>
        <w:pStyle w:val="UNSectionTitle"/>
        <w:rPr>
          <w:cs/>
          <w:lang w:val="fr-CA"/>
        </w:rPr>
      </w:pPr>
      <w:r w:rsidRPr="00024168">
        <w:rPr>
          <w:lang w:val="fr-CA"/>
        </w:rPr>
        <w:br w:type="page"/>
      </w:r>
      <w:r w:rsidRPr="00024168">
        <w:rPr>
          <w:lang w:val="fr-CA"/>
        </w:rPr>
        <w:lastRenderedPageBreak/>
        <w:t>Annexe </w:t>
      </w:r>
    </w:p>
    <w:p w:rsidR="003C7D8C" w:rsidRPr="00024168" w:rsidRDefault="003C7D8C" w:rsidP="003C7D8C">
      <w:pPr>
        <w:pStyle w:val="UNSectionTitle"/>
        <w:rPr>
          <w:lang w:val="fr-CA"/>
        </w:rPr>
      </w:pPr>
      <w:r w:rsidRPr="00024168">
        <w:rPr>
          <w:lang w:val="fr-CA"/>
        </w:rPr>
        <w:t>Pays qui utilisent ou ont u</w:t>
      </w:r>
      <w:r w:rsidR="006258B2">
        <w:rPr>
          <w:lang w:val="fr-CA"/>
        </w:rPr>
        <w:t>tilisé des contenants de type «106</w:t>
      </w:r>
      <w:r w:rsidRPr="00024168">
        <w:rPr>
          <w:lang w:val="fr-CA"/>
        </w:rPr>
        <w:t xml:space="preserve">» aux fins de transport </w:t>
      </w:r>
      <w:r>
        <w:rPr>
          <w:lang w:val="fr-CA"/>
        </w:rPr>
        <w:t xml:space="preserve">de </w:t>
      </w:r>
      <w:r w:rsidR="00AC7A67">
        <w:rPr>
          <w:lang w:val="fr-CA"/>
        </w:rPr>
        <w:t xml:space="preserve">matières </w:t>
      </w:r>
      <w:r>
        <w:rPr>
          <w:lang w:val="fr-CA"/>
        </w:rPr>
        <w:t>corrosives</w:t>
      </w:r>
    </w:p>
    <w:p w:rsidR="00A63F9B" w:rsidRDefault="00A63F9B" w:rsidP="00A63F9B">
      <w:pPr>
        <w:pStyle w:val="SingleTxtG"/>
        <w:rPr>
          <w:lang w:val="fr-CA"/>
        </w:rPr>
      </w:pPr>
      <w:r>
        <w:rPr>
          <w:lang w:val="fr-CA"/>
        </w:rPr>
        <w:t>NOTA: Les territoires hors-métropole ne sont pas pris en compte</w:t>
      </w:r>
    </w:p>
    <w:p w:rsidR="003C7D8C" w:rsidRPr="00024168" w:rsidRDefault="003C7D8C" w:rsidP="006258B2">
      <w:pPr>
        <w:pStyle w:val="UNParagraphStyle"/>
        <w:numPr>
          <w:ilvl w:val="0"/>
          <w:numId w:val="0"/>
        </w:numPr>
        <w:spacing w:before="120"/>
        <w:ind w:left="1134" w:right="346"/>
        <w:rPr>
          <w:lang w:val="fr-CA"/>
        </w:rPr>
      </w:pPr>
      <w:r w:rsidRPr="00024168">
        <w:rPr>
          <w:u w:val="single"/>
          <w:lang w:val="fr-CA"/>
        </w:rPr>
        <w:t>Amérique du Nord</w:t>
      </w:r>
      <w:r w:rsidR="00AC7A67">
        <w:rPr>
          <w:u w:val="single"/>
          <w:lang w:val="fr-CA"/>
        </w:rPr>
        <w:t>, Amérique centrale et Caraïbes</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Bahamas</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Canada</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Costa Rica</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El Salvador</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États-Unis d</w:t>
      </w:r>
      <w:r w:rsidRPr="00024168">
        <w:rPr>
          <w:cs/>
          <w:lang w:val="fr-CA"/>
        </w:rPr>
        <w:t>’</w:t>
      </w:r>
      <w:r w:rsidRPr="00024168">
        <w:rPr>
          <w:lang w:val="fr-CA"/>
        </w:rPr>
        <w:t>Amérique</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Guatemala</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Honduras</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Jamaïque</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Mexique</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Nicaragua</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Panama</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République dominicaine</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Sainte-Lucie</w:t>
      </w:r>
    </w:p>
    <w:p w:rsidR="003C7D8C" w:rsidRPr="00024168" w:rsidRDefault="003C7D8C" w:rsidP="003C7D8C">
      <w:pPr>
        <w:pStyle w:val="UNParagraphStyle"/>
        <w:numPr>
          <w:ilvl w:val="0"/>
          <w:numId w:val="22"/>
        </w:numPr>
        <w:spacing w:after="0" w:line="240" w:lineRule="auto"/>
        <w:ind w:left="1848" w:right="348" w:hanging="357"/>
        <w:rPr>
          <w:lang w:val="fr-CA"/>
        </w:rPr>
      </w:pPr>
      <w:r w:rsidRPr="00024168">
        <w:rPr>
          <w:lang w:val="fr-CA"/>
        </w:rPr>
        <w:t>Trinité-et-Tobago</w:t>
      </w:r>
    </w:p>
    <w:p w:rsidR="003C7D8C" w:rsidRPr="00024168" w:rsidRDefault="003C7D8C" w:rsidP="006258B2">
      <w:pPr>
        <w:pStyle w:val="UNParagraphStyle"/>
        <w:numPr>
          <w:ilvl w:val="0"/>
          <w:numId w:val="0"/>
        </w:numPr>
        <w:spacing w:before="120"/>
        <w:ind w:left="1134" w:right="346"/>
        <w:rPr>
          <w:lang w:val="fr-CA"/>
        </w:rPr>
      </w:pPr>
      <w:r w:rsidRPr="00024168">
        <w:rPr>
          <w:u w:val="single"/>
          <w:lang w:val="fr-CA"/>
        </w:rPr>
        <w:t>Amérique du Sud</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Argentine</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Bolivie</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Brésil</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Chili</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Colombie</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Équateur</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Guyane</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Paraguay</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Pérou</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Suriname</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Uruguay</w:t>
      </w:r>
    </w:p>
    <w:p w:rsidR="003C7D8C" w:rsidRPr="00024168" w:rsidRDefault="003C7D8C" w:rsidP="003C7D8C">
      <w:pPr>
        <w:pStyle w:val="UNParagraphStyle"/>
        <w:numPr>
          <w:ilvl w:val="0"/>
          <w:numId w:val="23"/>
        </w:numPr>
        <w:spacing w:after="0" w:line="240" w:lineRule="auto"/>
        <w:ind w:right="348"/>
        <w:rPr>
          <w:lang w:val="fr-CA"/>
        </w:rPr>
      </w:pPr>
      <w:r w:rsidRPr="00024168">
        <w:rPr>
          <w:lang w:val="fr-CA"/>
        </w:rPr>
        <w:t>Venezuela</w:t>
      </w:r>
    </w:p>
    <w:p w:rsidR="003C7D8C" w:rsidRPr="00024168" w:rsidRDefault="003C7D8C" w:rsidP="006258B2">
      <w:pPr>
        <w:pStyle w:val="UNParagraphStyle"/>
        <w:numPr>
          <w:ilvl w:val="0"/>
          <w:numId w:val="0"/>
        </w:numPr>
        <w:spacing w:before="120"/>
        <w:ind w:left="1134" w:right="346"/>
        <w:rPr>
          <w:lang w:val="fr-CA"/>
        </w:rPr>
      </w:pPr>
      <w:r w:rsidRPr="00024168">
        <w:rPr>
          <w:u w:val="single"/>
          <w:lang w:val="fr-CA"/>
        </w:rPr>
        <w:t>Asie</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Arabie saoudite</w:t>
      </w:r>
    </w:p>
    <w:p w:rsidR="003C7D8C" w:rsidRDefault="003C7D8C" w:rsidP="003C7D8C">
      <w:pPr>
        <w:pStyle w:val="UNParagraphStyle"/>
        <w:numPr>
          <w:ilvl w:val="0"/>
          <w:numId w:val="24"/>
        </w:numPr>
        <w:spacing w:after="0" w:line="240" w:lineRule="auto"/>
        <w:ind w:right="348"/>
        <w:rPr>
          <w:lang w:val="fr-CA"/>
        </w:rPr>
      </w:pPr>
      <w:r w:rsidRPr="00024168">
        <w:rPr>
          <w:lang w:val="fr-CA"/>
        </w:rPr>
        <w:t>Bahreïn</w:t>
      </w:r>
    </w:p>
    <w:p w:rsidR="003C7D8C" w:rsidRPr="00024168" w:rsidRDefault="003C7D8C" w:rsidP="003C7D8C">
      <w:pPr>
        <w:pStyle w:val="UNParagraphStyle"/>
        <w:numPr>
          <w:ilvl w:val="0"/>
          <w:numId w:val="24"/>
        </w:numPr>
        <w:spacing w:after="0" w:line="240" w:lineRule="auto"/>
        <w:ind w:right="348"/>
        <w:rPr>
          <w:lang w:val="fr-CA"/>
        </w:rPr>
      </w:pPr>
      <w:r>
        <w:rPr>
          <w:lang w:val="fr-CA"/>
        </w:rPr>
        <w:t>Bangladesh</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Cambodge</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Chine</w:t>
      </w:r>
    </w:p>
    <w:p w:rsidR="003C7D8C" w:rsidRDefault="003C7D8C" w:rsidP="003C7D8C">
      <w:pPr>
        <w:pStyle w:val="UNParagraphStyle"/>
        <w:numPr>
          <w:ilvl w:val="0"/>
          <w:numId w:val="24"/>
        </w:numPr>
        <w:spacing w:after="0" w:line="240" w:lineRule="auto"/>
        <w:ind w:right="348"/>
        <w:rPr>
          <w:lang w:val="fr-CA"/>
        </w:rPr>
      </w:pPr>
      <w:r w:rsidRPr="00024168">
        <w:rPr>
          <w:lang w:val="fr-CA"/>
        </w:rPr>
        <w:t>Émirats arabes unis</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Inde</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Japon</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Jordanie</w:t>
      </w:r>
    </w:p>
    <w:p w:rsidR="003C7D8C" w:rsidRDefault="003C7D8C" w:rsidP="003C7D8C">
      <w:pPr>
        <w:pStyle w:val="UNParagraphStyle"/>
        <w:numPr>
          <w:ilvl w:val="0"/>
          <w:numId w:val="24"/>
        </w:numPr>
        <w:spacing w:after="0" w:line="240" w:lineRule="auto"/>
        <w:ind w:right="348"/>
        <w:rPr>
          <w:lang w:val="fr-CA"/>
        </w:rPr>
      </w:pPr>
      <w:proofErr w:type="spellStart"/>
      <w:r>
        <w:rPr>
          <w:lang w:val="fr-CA"/>
        </w:rPr>
        <w:t>Koweit</w:t>
      </w:r>
      <w:proofErr w:type="spellEnd"/>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Malaisie</w:t>
      </w:r>
    </w:p>
    <w:p w:rsidR="003C7D8C" w:rsidRPr="00024168" w:rsidRDefault="003C7D8C" w:rsidP="003C7D8C">
      <w:pPr>
        <w:pStyle w:val="UNParagraphStyle"/>
        <w:numPr>
          <w:ilvl w:val="0"/>
          <w:numId w:val="24"/>
        </w:numPr>
        <w:spacing w:after="0" w:line="240" w:lineRule="auto"/>
        <w:ind w:right="348"/>
        <w:rPr>
          <w:lang w:val="fr-CA"/>
        </w:rPr>
      </w:pPr>
      <w:r>
        <w:rPr>
          <w:lang w:val="fr-CA"/>
        </w:rPr>
        <w:t>Népal</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Oman</w:t>
      </w:r>
    </w:p>
    <w:p w:rsidR="003C7D8C" w:rsidRDefault="003C7D8C" w:rsidP="003C7D8C">
      <w:pPr>
        <w:pStyle w:val="UNParagraphStyle"/>
        <w:numPr>
          <w:ilvl w:val="0"/>
          <w:numId w:val="24"/>
        </w:numPr>
        <w:spacing w:after="0" w:line="240" w:lineRule="auto"/>
        <w:ind w:right="348"/>
        <w:rPr>
          <w:lang w:val="fr-CA"/>
        </w:rPr>
      </w:pPr>
      <w:r>
        <w:rPr>
          <w:lang w:val="fr-CA"/>
        </w:rPr>
        <w:t>Pakistan</w:t>
      </w:r>
    </w:p>
    <w:p w:rsidR="003C7D8C" w:rsidRDefault="003C7D8C" w:rsidP="003C7D8C">
      <w:pPr>
        <w:pStyle w:val="UNParagraphStyle"/>
        <w:numPr>
          <w:ilvl w:val="0"/>
          <w:numId w:val="24"/>
        </w:numPr>
        <w:spacing w:after="0" w:line="240" w:lineRule="auto"/>
        <w:ind w:right="348"/>
        <w:rPr>
          <w:lang w:val="fr-CA"/>
        </w:rPr>
      </w:pPr>
      <w:r>
        <w:rPr>
          <w:lang w:val="fr-CA"/>
        </w:rPr>
        <w:lastRenderedPageBreak/>
        <w:t>Philippines</w:t>
      </w:r>
    </w:p>
    <w:p w:rsidR="003C7D8C" w:rsidRDefault="003C7D8C" w:rsidP="003C7D8C">
      <w:pPr>
        <w:pStyle w:val="UNParagraphStyle"/>
        <w:numPr>
          <w:ilvl w:val="0"/>
          <w:numId w:val="24"/>
        </w:numPr>
        <w:spacing w:after="0" w:line="240" w:lineRule="auto"/>
        <w:ind w:right="348"/>
        <w:rPr>
          <w:lang w:val="fr-CA"/>
        </w:rPr>
      </w:pPr>
      <w:r w:rsidRPr="00024168">
        <w:rPr>
          <w:lang w:val="fr-CA"/>
        </w:rPr>
        <w:t>Qatar</w:t>
      </w:r>
    </w:p>
    <w:p w:rsidR="00AC7A67" w:rsidRDefault="00AC7A67" w:rsidP="003C7D8C">
      <w:pPr>
        <w:pStyle w:val="UNParagraphStyle"/>
        <w:numPr>
          <w:ilvl w:val="0"/>
          <w:numId w:val="24"/>
        </w:numPr>
        <w:spacing w:after="0" w:line="240" w:lineRule="auto"/>
        <w:ind w:right="348"/>
        <w:rPr>
          <w:lang w:val="fr-CA"/>
        </w:rPr>
      </w:pPr>
      <w:r>
        <w:rPr>
          <w:lang w:val="fr-CA"/>
        </w:rPr>
        <w:t>République de Corée</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Sri Lanka</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Thaïlande</w:t>
      </w:r>
    </w:p>
    <w:p w:rsidR="003C7D8C" w:rsidRPr="00024168" w:rsidRDefault="003C7D8C" w:rsidP="003C7D8C">
      <w:pPr>
        <w:pStyle w:val="UNParagraphStyle"/>
        <w:numPr>
          <w:ilvl w:val="0"/>
          <w:numId w:val="24"/>
        </w:numPr>
        <w:spacing w:after="0" w:line="240" w:lineRule="auto"/>
        <w:ind w:right="348"/>
        <w:rPr>
          <w:lang w:val="fr-CA"/>
        </w:rPr>
      </w:pPr>
      <w:r w:rsidRPr="00024168">
        <w:rPr>
          <w:lang w:val="fr-CA"/>
        </w:rPr>
        <w:t>Vietnam</w:t>
      </w:r>
    </w:p>
    <w:p w:rsidR="003C7D8C" w:rsidRDefault="003C7D8C" w:rsidP="006258B2">
      <w:pPr>
        <w:pStyle w:val="UNParagraphStyle"/>
        <w:numPr>
          <w:ilvl w:val="0"/>
          <w:numId w:val="0"/>
        </w:numPr>
        <w:spacing w:before="120"/>
        <w:ind w:left="1134" w:right="346"/>
      </w:pPr>
      <w:r>
        <w:rPr>
          <w:u w:val="single"/>
        </w:rPr>
        <w:t>Afrique</w:t>
      </w:r>
    </w:p>
    <w:p w:rsidR="003C7D8C" w:rsidRDefault="003C7D8C" w:rsidP="003C7D8C">
      <w:pPr>
        <w:pStyle w:val="UNParagraphStyle"/>
        <w:numPr>
          <w:ilvl w:val="0"/>
          <w:numId w:val="25"/>
        </w:numPr>
        <w:spacing w:after="0" w:line="240" w:lineRule="auto"/>
      </w:pPr>
      <w:r>
        <w:t>Afrique du sud</w:t>
      </w:r>
    </w:p>
    <w:p w:rsidR="003C7D8C" w:rsidRDefault="003C7D8C" w:rsidP="003C7D8C">
      <w:pPr>
        <w:pStyle w:val="UNParagraphStyle"/>
        <w:numPr>
          <w:ilvl w:val="0"/>
          <w:numId w:val="25"/>
        </w:numPr>
        <w:spacing w:after="0" w:line="240" w:lineRule="auto"/>
      </w:pPr>
      <w:r>
        <w:t>Algérie</w:t>
      </w:r>
    </w:p>
    <w:p w:rsidR="003C7D8C" w:rsidRDefault="003C7D8C" w:rsidP="003C7D8C">
      <w:pPr>
        <w:pStyle w:val="UNParagraphStyle"/>
        <w:numPr>
          <w:ilvl w:val="0"/>
          <w:numId w:val="25"/>
        </w:numPr>
        <w:spacing w:after="0" w:line="240" w:lineRule="auto"/>
      </w:pPr>
      <w:r>
        <w:t>Égypte</w:t>
      </w:r>
    </w:p>
    <w:p w:rsidR="003C7D8C" w:rsidRDefault="003C7D8C" w:rsidP="003C7D8C">
      <w:pPr>
        <w:pStyle w:val="UNParagraphStyle"/>
        <w:numPr>
          <w:ilvl w:val="0"/>
          <w:numId w:val="25"/>
        </w:numPr>
        <w:spacing w:after="0" w:line="240" w:lineRule="auto"/>
      </w:pPr>
      <w:r>
        <w:t>Éthiopie</w:t>
      </w:r>
    </w:p>
    <w:p w:rsidR="003C7D8C" w:rsidRDefault="003C7D8C" w:rsidP="003C7D8C">
      <w:pPr>
        <w:pStyle w:val="UNParagraphStyle"/>
        <w:numPr>
          <w:ilvl w:val="0"/>
          <w:numId w:val="25"/>
        </w:numPr>
        <w:spacing w:after="0" w:line="240" w:lineRule="auto"/>
      </w:pPr>
      <w:r>
        <w:t>Maurice</w:t>
      </w:r>
    </w:p>
    <w:p w:rsidR="003C7D8C" w:rsidRDefault="006258B2" w:rsidP="003C7D8C">
      <w:pPr>
        <w:pStyle w:val="UNParagraphStyle"/>
        <w:numPr>
          <w:ilvl w:val="0"/>
          <w:numId w:val="25"/>
        </w:numPr>
        <w:spacing w:after="0" w:line="240" w:lineRule="auto"/>
      </w:pPr>
      <w:r>
        <w:t>Niger</w:t>
      </w:r>
    </w:p>
    <w:p w:rsidR="003C7D8C" w:rsidRDefault="00AC7A67" w:rsidP="003C7D8C">
      <w:pPr>
        <w:pStyle w:val="UNParagraphStyle"/>
        <w:numPr>
          <w:ilvl w:val="0"/>
          <w:numId w:val="25"/>
        </w:numPr>
        <w:spacing w:after="0" w:line="240" w:lineRule="auto"/>
      </w:pPr>
      <w:r>
        <w:t>Ou</w:t>
      </w:r>
      <w:r w:rsidR="003C7D8C">
        <w:t>ganda</w:t>
      </w:r>
    </w:p>
    <w:p w:rsidR="003C7D8C" w:rsidRDefault="003C7D8C" w:rsidP="003C7D8C">
      <w:pPr>
        <w:pStyle w:val="UNParagraphStyle"/>
        <w:numPr>
          <w:ilvl w:val="0"/>
          <w:numId w:val="25"/>
        </w:numPr>
        <w:spacing w:after="0" w:line="240" w:lineRule="auto"/>
      </w:pPr>
      <w:r>
        <w:t>Zambie</w:t>
      </w:r>
    </w:p>
    <w:p w:rsidR="003C7D8C" w:rsidRDefault="003C7D8C" w:rsidP="003C7D8C">
      <w:pPr>
        <w:pStyle w:val="UNParagraphStyle"/>
        <w:numPr>
          <w:ilvl w:val="0"/>
          <w:numId w:val="25"/>
        </w:numPr>
        <w:spacing w:after="0" w:line="240" w:lineRule="auto"/>
      </w:pPr>
      <w:r>
        <w:t>Zimbabwe</w:t>
      </w:r>
    </w:p>
    <w:p w:rsidR="003C7D8C" w:rsidRDefault="003C7D8C" w:rsidP="006258B2">
      <w:pPr>
        <w:pStyle w:val="UNParagraphStyle"/>
        <w:numPr>
          <w:ilvl w:val="0"/>
          <w:numId w:val="0"/>
        </w:numPr>
        <w:spacing w:before="120"/>
        <w:ind w:left="1134" w:right="346"/>
        <w:rPr>
          <w:u w:val="single"/>
        </w:rPr>
      </w:pPr>
      <w:r>
        <w:rPr>
          <w:u w:val="single"/>
        </w:rPr>
        <w:t>Océanie</w:t>
      </w:r>
    </w:p>
    <w:p w:rsidR="003C7D8C" w:rsidRPr="002B17DA" w:rsidRDefault="003C7D8C" w:rsidP="003C7D8C">
      <w:pPr>
        <w:pStyle w:val="UNParagraphStyle"/>
        <w:numPr>
          <w:ilvl w:val="0"/>
          <w:numId w:val="25"/>
        </w:numPr>
        <w:spacing w:after="0" w:line="240" w:lineRule="auto"/>
      </w:pPr>
      <w:r w:rsidRPr="002B17DA">
        <w:t>Australie</w:t>
      </w:r>
    </w:p>
    <w:p w:rsidR="003C7D8C" w:rsidRPr="002B17DA" w:rsidRDefault="003C7D8C" w:rsidP="003C7D8C">
      <w:pPr>
        <w:pStyle w:val="UNParagraphStyle"/>
        <w:numPr>
          <w:ilvl w:val="0"/>
          <w:numId w:val="25"/>
        </w:numPr>
        <w:spacing w:after="0" w:line="240" w:lineRule="auto"/>
      </w:pPr>
      <w:r w:rsidRPr="002B17DA">
        <w:t>Nouvelle-Zélande</w:t>
      </w:r>
    </w:p>
    <w:p w:rsidR="003C7D8C" w:rsidRPr="00290ACF" w:rsidRDefault="003C7D8C" w:rsidP="006258B2">
      <w:pPr>
        <w:pStyle w:val="UNParagraphStyle"/>
        <w:numPr>
          <w:ilvl w:val="0"/>
          <w:numId w:val="0"/>
        </w:numPr>
        <w:spacing w:before="120"/>
        <w:ind w:left="1134" w:right="346"/>
        <w:rPr>
          <w:u w:val="single"/>
        </w:rPr>
      </w:pPr>
      <w:r>
        <w:rPr>
          <w:u w:val="single"/>
        </w:rPr>
        <w:t>Europe</w:t>
      </w:r>
    </w:p>
    <w:p w:rsidR="003C7D8C" w:rsidRDefault="003C7D8C" w:rsidP="003C7D8C">
      <w:pPr>
        <w:pStyle w:val="UNParagraphStyle"/>
        <w:numPr>
          <w:ilvl w:val="0"/>
          <w:numId w:val="25"/>
        </w:numPr>
        <w:spacing w:after="0" w:line="240" w:lineRule="auto"/>
      </w:pPr>
      <w:r>
        <w:t>Allemagne</w:t>
      </w:r>
    </w:p>
    <w:p w:rsidR="003C7D8C" w:rsidRDefault="003C7D8C" w:rsidP="003C7D8C">
      <w:pPr>
        <w:pStyle w:val="UNParagraphStyle"/>
        <w:numPr>
          <w:ilvl w:val="0"/>
          <w:numId w:val="25"/>
        </w:numPr>
        <w:spacing w:after="0" w:line="240" w:lineRule="auto"/>
      </w:pPr>
      <w:r>
        <w:t>Belgique</w:t>
      </w:r>
    </w:p>
    <w:p w:rsidR="003C7D8C" w:rsidRDefault="003C7D8C" w:rsidP="003C7D8C">
      <w:pPr>
        <w:pStyle w:val="UNParagraphStyle"/>
        <w:numPr>
          <w:ilvl w:val="0"/>
          <w:numId w:val="25"/>
        </w:numPr>
        <w:spacing w:after="0" w:line="240" w:lineRule="auto"/>
      </w:pPr>
      <w:r>
        <w:t>Chypre</w:t>
      </w:r>
    </w:p>
    <w:p w:rsidR="003C7D8C" w:rsidRDefault="003C7D8C" w:rsidP="003C7D8C">
      <w:pPr>
        <w:pStyle w:val="UNParagraphStyle"/>
        <w:numPr>
          <w:ilvl w:val="0"/>
          <w:numId w:val="25"/>
        </w:numPr>
        <w:spacing w:after="0" w:line="240" w:lineRule="auto"/>
      </w:pPr>
      <w:r>
        <w:t>Danemark</w:t>
      </w:r>
    </w:p>
    <w:p w:rsidR="0045439E" w:rsidRPr="00290ACF" w:rsidRDefault="0045439E" w:rsidP="003C7D8C">
      <w:pPr>
        <w:pStyle w:val="UNParagraphStyle"/>
        <w:numPr>
          <w:ilvl w:val="0"/>
          <w:numId w:val="25"/>
        </w:numPr>
        <w:spacing w:after="0" w:line="240" w:lineRule="auto"/>
      </w:pPr>
      <w:r>
        <w:t>Fédération de Russie</w:t>
      </w:r>
    </w:p>
    <w:p w:rsidR="003C7D8C" w:rsidRDefault="003C7D8C" w:rsidP="003C7D8C">
      <w:pPr>
        <w:pStyle w:val="UNParagraphStyle"/>
        <w:numPr>
          <w:ilvl w:val="0"/>
          <w:numId w:val="25"/>
        </w:numPr>
        <w:spacing w:after="0" w:line="240" w:lineRule="auto"/>
      </w:pPr>
      <w:r>
        <w:t>France</w:t>
      </w:r>
    </w:p>
    <w:p w:rsidR="003C7D8C" w:rsidRDefault="003C7D8C" w:rsidP="003C7D8C">
      <w:pPr>
        <w:pStyle w:val="UNParagraphStyle"/>
        <w:numPr>
          <w:ilvl w:val="0"/>
          <w:numId w:val="25"/>
        </w:numPr>
        <w:spacing w:after="0" w:line="240" w:lineRule="auto"/>
      </w:pPr>
      <w:r>
        <w:t>Grèce</w:t>
      </w:r>
    </w:p>
    <w:p w:rsidR="003C7D8C" w:rsidRDefault="003C7D8C" w:rsidP="003C7D8C">
      <w:pPr>
        <w:pStyle w:val="UNParagraphStyle"/>
        <w:numPr>
          <w:ilvl w:val="0"/>
          <w:numId w:val="25"/>
        </w:numPr>
        <w:spacing w:after="0" w:line="240" w:lineRule="auto"/>
      </w:pPr>
      <w:r>
        <w:t>Italie</w:t>
      </w:r>
    </w:p>
    <w:p w:rsidR="003C7D8C" w:rsidRDefault="003C7D8C" w:rsidP="003C7D8C">
      <w:pPr>
        <w:pStyle w:val="UNParagraphStyle"/>
        <w:numPr>
          <w:ilvl w:val="0"/>
          <w:numId w:val="25"/>
        </w:numPr>
        <w:spacing w:after="0" w:line="240" w:lineRule="auto"/>
      </w:pPr>
      <w:r>
        <w:t>Pays-Bas</w:t>
      </w:r>
    </w:p>
    <w:p w:rsidR="003C7D8C" w:rsidRDefault="006258B2" w:rsidP="003C7D8C">
      <w:pPr>
        <w:pStyle w:val="UNParagraphStyle"/>
        <w:numPr>
          <w:ilvl w:val="0"/>
          <w:numId w:val="25"/>
        </w:numPr>
        <w:spacing w:after="0" w:line="240" w:lineRule="auto"/>
      </w:pPr>
      <w:r>
        <w:t>Royaume-Uni</w:t>
      </w:r>
    </w:p>
    <w:p w:rsidR="006258B2" w:rsidRPr="006258B2" w:rsidRDefault="006258B2" w:rsidP="006258B2">
      <w:pPr>
        <w:pStyle w:val="UNParagraphStyle"/>
        <w:numPr>
          <w:ilvl w:val="0"/>
          <w:numId w:val="0"/>
        </w:numPr>
        <w:spacing w:before="240" w:after="0"/>
        <w:ind w:left="1134"/>
        <w:jc w:val="center"/>
        <w:rPr>
          <w:u w:val="single"/>
        </w:rPr>
      </w:pPr>
      <w:r>
        <w:rPr>
          <w:u w:val="single"/>
        </w:rPr>
        <w:tab/>
      </w:r>
      <w:r>
        <w:rPr>
          <w:u w:val="single"/>
        </w:rPr>
        <w:tab/>
      </w:r>
      <w:r>
        <w:rPr>
          <w:u w:val="single"/>
        </w:rPr>
        <w:tab/>
      </w:r>
    </w:p>
    <w:sectPr w:rsidR="006258B2" w:rsidRPr="006258B2" w:rsidSect="00CC0FAA">
      <w:headerReference w:type="even" r:id="rId14"/>
      <w:headerReference w:type="default" r:id="rId15"/>
      <w:footerReference w:type="even" r:id="rId16"/>
      <w:footerReference w:type="defaul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8C" w:rsidRDefault="003C7D8C" w:rsidP="00F95C08">
      <w:pPr>
        <w:spacing w:line="240" w:lineRule="auto"/>
      </w:pPr>
    </w:p>
  </w:endnote>
  <w:endnote w:type="continuationSeparator" w:id="0">
    <w:p w:rsidR="003C7D8C" w:rsidRPr="00AC3823" w:rsidRDefault="003C7D8C" w:rsidP="00AC3823">
      <w:pPr>
        <w:pStyle w:val="Footer"/>
      </w:pPr>
    </w:p>
  </w:endnote>
  <w:endnote w:type="continuationNotice" w:id="1">
    <w:p w:rsidR="003C7D8C" w:rsidRDefault="003C7D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8C" w:rsidRPr="00CC0FAA" w:rsidRDefault="003C7D8C" w:rsidP="00CC0FAA">
    <w:pPr>
      <w:pStyle w:val="Footer"/>
      <w:tabs>
        <w:tab w:val="right" w:pos="9638"/>
      </w:tabs>
    </w:pPr>
    <w:r w:rsidRPr="00CC0FAA">
      <w:rPr>
        <w:b/>
        <w:sz w:val="18"/>
      </w:rPr>
      <w:fldChar w:fldCharType="begin"/>
    </w:r>
    <w:r w:rsidRPr="00CC0FAA">
      <w:rPr>
        <w:b/>
        <w:sz w:val="18"/>
      </w:rPr>
      <w:instrText xml:space="preserve"> PAGE  \* MERGEFORMAT </w:instrText>
    </w:r>
    <w:r w:rsidRPr="00CC0FAA">
      <w:rPr>
        <w:b/>
        <w:sz w:val="18"/>
      </w:rPr>
      <w:fldChar w:fldCharType="separate"/>
    </w:r>
    <w:r w:rsidR="00C80532">
      <w:rPr>
        <w:b/>
        <w:noProof/>
        <w:sz w:val="18"/>
      </w:rPr>
      <w:t>6</w:t>
    </w:r>
    <w:r w:rsidRPr="00CC0FAA">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10416"/>
      <w:docPartObj>
        <w:docPartGallery w:val="Page Numbers (Bottom of Page)"/>
        <w:docPartUnique/>
      </w:docPartObj>
    </w:sdtPr>
    <w:sdtEndPr>
      <w:rPr>
        <w:b/>
        <w:noProof/>
        <w:sz w:val="18"/>
        <w:szCs w:val="18"/>
      </w:rPr>
    </w:sdtEndPr>
    <w:sdtContent>
      <w:p w:rsidR="003C7D8C" w:rsidRPr="003C7D8C" w:rsidRDefault="003C7D8C">
        <w:pPr>
          <w:pStyle w:val="Footer"/>
          <w:jc w:val="right"/>
          <w:rPr>
            <w:b/>
            <w:sz w:val="18"/>
            <w:szCs w:val="18"/>
          </w:rPr>
        </w:pPr>
        <w:r w:rsidRPr="003C7D8C">
          <w:rPr>
            <w:b/>
            <w:sz w:val="18"/>
            <w:szCs w:val="18"/>
          </w:rPr>
          <w:fldChar w:fldCharType="begin"/>
        </w:r>
        <w:r w:rsidRPr="003C7D8C">
          <w:rPr>
            <w:b/>
            <w:sz w:val="18"/>
            <w:szCs w:val="18"/>
          </w:rPr>
          <w:instrText xml:space="preserve"> PAGE   \* MERGEFORMAT </w:instrText>
        </w:r>
        <w:r w:rsidRPr="003C7D8C">
          <w:rPr>
            <w:b/>
            <w:sz w:val="18"/>
            <w:szCs w:val="18"/>
          </w:rPr>
          <w:fldChar w:fldCharType="separate"/>
        </w:r>
        <w:r w:rsidR="00C80532">
          <w:rPr>
            <w:b/>
            <w:noProof/>
            <w:sz w:val="18"/>
            <w:szCs w:val="18"/>
          </w:rPr>
          <w:t>5</w:t>
        </w:r>
        <w:r w:rsidRPr="003C7D8C">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8C" w:rsidRPr="00AC3823" w:rsidRDefault="003C7D8C" w:rsidP="00AC3823">
      <w:pPr>
        <w:pStyle w:val="Footer"/>
        <w:tabs>
          <w:tab w:val="right" w:pos="2155"/>
        </w:tabs>
        <w:spacing w:after="80" w:line="240" w:lineRule="atLeast"/>
        <w:ind w:left="680"/>
        <w:rPr>
          <w:u w:val="single"/>
        </w:rPr>
      </w:pPr>
      <w:r>
        <w:rPr>
          <w:u w:val="single"/>
        </w:rPr>
        <w:tab/>
      </w:r>
    </w:p>
  </w:footnote>
  <w:footnote w:type="continuationSeparator" w:id="0">
    <w:p w:rsidR="003C7D8C" w:rsidRPr="00AC3823" w:rsidRDefault="003C7D8C" w:rsidP="00AC3823">
      <w:pPr>
        <w:pStyle w:val="Footer"/>
        <w:tabs>
          <w:tab w:val="right" w:pos="2155"/>
        </w:tabs>
        <w:spacing w:after="80" w:line="240" w:lineRule="atLeast"/>
        <w:ind w:left="680"/>
        <w:rPr>
          <w:u w:val="single"/>
        </w:rPr>
      </w:pPr>
      <w:r>
        <w:rPr>
          <w:u w:val="single"/>
        </w:rPr>
        <w:tab/>
      </w:r>
    </w:p>
  </w:footnote>
  <w:footnote w:type="continuationNotice" w:id="1">
    <w:p w:rsidR="003C7D8C" w:rsidRPr="00AC3823" w:rsidRDefault="003C7D8C">
      <w:pPr>
        <w:spacing w:line="240" w:lineRule="auto"/>
        <w:rPr>
          <w:sz w:val="2"/>
          <w:szCs w:val="2"/>
        </w:rPr>
      </w:pPr>
    </w:p>
  </w:footnote>
  <w:footnote w:id="2">
    <w:p w:rsidR="003C7D8C" w:rsidRPr="00CA5971" w:rsidRDefault="003C7D8C" w:rsidP="003C7D8C">
      <w:pPr>
        <w:pStyle w:val="FootnoteText"/>
        <w:ind w:firstLine="0"/>
        <w:rPr>
          <w:lang w:val="fr-CA"/>
        </w:rPr>
      </w:pPr>
      <w:r>
        <w:rPr>
          <w:rStyle w:val="FootnoteReference"/>
        </w:rPr>
        <w:footnoteRef/>
      </w:r>
      <w:r>
        <w:t xml:space="preserve"> Conformément au programme de travail de 2015-2016 du Sous-comité, que le Comité a approuvé lors de sa septième session (voir ST/SG/AC.10/C.3/92 para. 95 et ST/SG/AC.10/42 para. 15.</w:t>
      </w:r>
    </w:p>
  </w:footnote>
  <w:footnote w:id="3">
    <w:p w:rsidR="00B91A7B" w:rsidRDefault="00B91A7B" w:rsidP="002D4AD0">
      <w:pPr>
        <w:pStyle w:val="FootnoteText"/>
        <w:ind w:firstLine="0"/>
      </w:pPr>
      <w:r>
        <w:rPr>
          <w:rStyle w:val="FootnoteReference"/>
        </w:rPr>
        <w:footnoteRef/>
      </w:r>
      <w:r>
        <w:t xml:space="preserve"> Les appellations employées dans le présent document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8C" w:rsidRPr="00CC0FAA" w:rsidRDefault="003C7D8C">
    <w:pPr>
      <w:pStyle w:val="Header"/>
    </w:pPr>
    <w:r>
      <w:t>ST/SG/AC.10/C.3/2016/28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8C" w:rsidRPr="00CC0FAA" w:rsidRDefault="003C7D8C" w:rsidP="00CC0FAA">
    <w:pPr>
      <w:pStyle w:val="Header"/>
      <w:jc w:val="right"/>
    </w:pPr>
    <w:r>
      <w:t>ST/SG/AC.10/C.3/2016/28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006861"/>
    <w:multiLevelType w:val="hybridMultilevel"/>
    <w:tmpl w:val="D77E7D0E"/>
    <w:lvl w:ilvl="0" w:tplc="CDBC4AB8">
      <w:start w:val="1"/>
      <w:numFmt w:val="decimal"/>
      <w:lvlText w:val="%1."/>
      <w:lvlJc w:val="left"/>
      <w:pPr>
        <w:ind w:left="1494"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3D80C88"/>
    <w:multiLevelType w:val="hybridMultilevel"/>
    <w:tmpl w:val="C01EF03E"/>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2C55148"/>
    <w:multiLevelType w:val="hybridMultilevel"/>
    <w:tmpl w:val="81A2A22E"/>
    <w:lvl w:ilvl="0" w:tplc="FFFFFFFF">
      <w:start w:val="1"/>
      <w:numFmt w:val="decimal"/>
      <w:pStyle w:val="UNParagraphStyle"/>
      <w:lvlText w:val="%1."/>
      <w:lvlJc w:val="left"/>
      <w:pPr>
        <w:ind w:left="1689" w:hanging="555"/>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nsid w:val="46C66258"/>
    <w:multiLevelType w:val="hybridMultilevel"/>
    <w:tmpl w:val="297E4834"/>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nsid w:val="61194326"/>
    <w:multiLevelType w:val="hybridMultilevel"/>
    <w:tmpl w:val="EAE05C96"/>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
    <w:nsid w:val="61BD5B58"/>
    <w:multiLevelType w:val="hybridMultilevel"/>
    <w:tmpl w:val="BF40B02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D9E0438"/>
    <w:multiLevelType w:val="hybridMultilevel"/>
    <w:tmpl w:val="FEEA2578"/>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
    <w:nsid w:val="733A3C4C"/>
    <w:multiLevelType w:val="hybridMultilevel"/>
    <w:tmpl w:val="23284254"/>
    <w:lvl w:ilvl="0" w:tplc="036A7C54">
      <w:start w:val="1"/>
      <w:numFmt w:val="decimal"/>
      <w:pStyle w:val="UNParagraph"/>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1">
    <w:nsid w:val="770848DA"/>
    <w:multiLevelType w:val="hybridMultilevel"/>
    <w:tmpl w:val="FAFADB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3"/>
  </w:num>
  <w:num w:numId="17">
    <w:abstractNumId w:val="11"/>
  </w:num>
  <w:num w:numId="18">
    <w:abstractNumId w:val="17"/>
  </w:num>
  <w:num w:numId="19">
    <w:abstractNumId w:val="21"/>
  </w:num>
  <w:num w:numId="20">
    <w:abstractNumId w:val="20"/>
  </w:num>
  <w:num w:numId="21">
    <w:abstractNumId w:val="14"/>
  </w:num>
  <w:num w:numId="22">
    <w:abstractNumId w:val="19"/>
  </w:num>
  <w:num w:numId="23">
    <w:abstractNumId w:val="12"/>
  </w:num>
  <w:num w:numId="24">
    <w:abstractNumId w:val="15"/>
  </w:num>
  <w:num w:numId="25">
    <w:abstractNumId w:val="16"/>
  </w:num>
  <w:num w:numId="26">
    <w:abstractNumId w:val="14"/>
  </w:num>
  <w:num w:numId="27">
    <w:abstractNumId w:val="14"/>
  </w:num>
  <w:num w:numId="28">
    <w:abstractNumId w:val="14"/>
  </w:num>
  <w:num w:numId="29">
    <w:abstractNumId w:val="1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1E"/>
    <w:rsid w:val="00017F94"/>
    <w:rsid w:val="00023842"/>
    <w:rsid w:val="000305D3"/>
    <w:rsid w:val="000334F9"/>
    <w:rsid w:val="0007796D"/>
    <w:rsid w:val="000B7790"/>
    <w:rsid w:val="000C7BFD"/>
    <w:rsid w:val="00111F2F"/>
    <w:rsid w:val="00132EA9"/>
    <w:rsid w:val="0014365E"/>
    <w:rsid w:val="00176178"/>
    <w:rsid w:val="00192D4C"/>
    <w:rsid w:val="001C1BFB"/>
    <w:rsid w:val="001F525A"/>
    <w:rsid w:val="00223272"/>
    <w:rsid w:val="0024779E"/>
    <w:rsid w:val="00283190"/>
    <w:rsid w:val="002832AC"/>
    <w:rsid w:val="002B30DC"/>
    <w:rsid w:val="002D34CD"/>
    <w:rsid w:val="002D4AD0"/>
    <w:rsid w:val="002D5A95"/>
    <w:rsid w:val="002D7C93"/>
    <w:rsid w:val="003C7D8C"/>
    <w:rsid w:val="003F33D4"/>
    <w:rsid w:val="00441C3B"/>
    <w:rsid w:val="00446FE5"/>
    <w:rsid w:val="00452396"/>
    <w:rsid w:val="0045439E"/>
    <w:rsid w:val="00461FED"/>
    <w:rsid w:val="004E468C"/>
    <w:rsid w:val="004F0C9E"/>
    <w:rsid w:val="004F5AC1"/>
    <w:rsid w:val="005505B7"/>
    <w:rsid w:val="0056096F"/>
    <w:rsid w:val="00573BE5"/>
    <w:rsid w:val="00586ED3"/>
    <w:rsid w:val="00596AA9"/>
    <w:rsid w:val="006258B2"/>
    <w:rsid w:val="006806EE"/>
    <w:rsid w:val="0068456F"/>
    <w:rsid w:val="0071601D"/>
    <w:rsid w:val="0071669C"/>
    <w:rsid w:val="00776B27"/>
    <w:rsid w:val="00790F9D"/>
    <w:rsid w:val="007A042A"/>
    <w:rsid w:val="007A62E6"/>
    <w:rsid w:val="00801C26"/>
    <w:rsid w:val="0080684C"/>
    <w:rsid w:val="00870F6F"/>
    <w:rsid w:val="00871C75"/>
    <w:rsid w:val="008776DC"/>
    <w:rsid w:val="00890C8F"/>
    <w:rsid w:val="008A626F"/>
    <w:rsid w:val="008C5BDD"/>
    <w:rsid w:val="008F38E8"/>
    <w:rsid w:val="009705C8"/>
    <w:rsid w:val="009A5276"/>
    <w:rsid w:val="009C1CF4"/>
    <w:rsid w:val="00A30353"/>
    <w:rsid w:val="00A51F1B"/>
    <w:rsid w:val="00A61E1B"/>
    <w:rsid w:val="00A63F9B"/>
    <w:rsid w:val="00AC3823"/>
    <w:rsid w:val="00AC7A67"/>
    <w:rsid w:val="00AE323C"/>
    <w:rsid w:val="00B00181"/>
    <w:rsid w:val="00B0022D"/>
    <w:rsid w:val="00B00B0D"/>
    <w:rsid w:val="00B42FF3"/>
    <w:rsid w:val="00B52EDB"/>
    <w:rsid w:val="00B765F7"/>
    <w:rsid w:val="00B87AE4"/>
    <w:rsid w:val="00B91A7B"/>
    <w:rsid w:val="00BA0CA9"/>
    <w:rsid w:val="00BB269E"/>
    <w:rsid w:val="00C02897"/>
    <w:rsid w:val="00C4571E"/>
    <w:rsid w:val="00C80532"/>
    <w:rsid w:val="00CC0FAA"/>
    <w:rsid w:val="00D13C8D"/>
    <w:rsid w:val="00D214BB"/>
    <w:rsid w:val="00D2297A"/>
    <w:rsid w:val="00D3439C"/>
    <w:rsid w:val="00D51322"/>
    <w:rsid w:val="00D95D1B"/>
    <w:rsid w:val="00DB1831"/>
    <w:rsid w:val="00DD3BFD"/>
    <w:rsid w:val="00DF6678"/>
    <w:rsid w:val="00E26FDC"/>
    <w:rsid w:val="00EF2E22"/>
    <w:rsid w:val="00F50EBF"/>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1F1B"/>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Heading1">
    <w:name w:val="heading 1"/>
    <w:aliases w:val="Table_G"/>
    <w:basedOn w:val="SingleTxtG"/>
    <w:next w:val="SingleTxtG"/>
    <w:link w:val="Heading1Char"/>
    <w:qFormat/>
    <w:rsid w:val="00A51F1B"/>
    <w:pPr>
      <w:keepNext/>
      <w:keepLines/>
      <w:spacing w:after="0" w:line="240" w:lineRule="auto"/>
      <w:ind w:right="0"/>
      <w:jc w:val="left"/>
      <w:outlineLvl w:val="0"/>
    </w:pPr>
  </w:style>
  <w:style w:type="paragraph" w:styleId="Heading2">
    <w:name w:val="heading 2"/>
    <w:basedOn w:val="Normal"/>
    <w:next w:val="Normal"/>
    <w:link w:val="Heading2Char"/>
    <w:semiHidden/>
    <w:qFormat/>
    <w:rsid w:val="00A51F1B"/>
    <w:pPr>
      <w:outlineLvl w:val="1"/>
    </w:pPr>
  </w:style>
  <w:style w:type="paragraph" w:styleId="Heading3">
    <w:name w:val="heading 3"/>
    <w:basedOn w:val="Normal"/>
    <w:next w:val="Normal"/>
    <w:link w:val="Heading3Char"/>
    <w:semiHidden/>
    <w:qFormat/>
    <w:rsid w:val="00A51F1B"/>
    <w:pPr>
      <w:outlineLvl w:val="2"/>
    </w:pPr>
  </w:style>
  <w:style w:type="paragraph" w:styleId="Heading4">
    <w:name w:val="heading 4"/>
    <w:basedOn w:val="Normal"/>
    <w:next w:val="Normal"/>
    <w:link w:val="Heading4Char"/>
    <w:semiHidden/>
    <w:qFormat/>
    <w:rsid w:val="00A51F1B"/>
    <w:pPr>
      <w:outlineLvl w:val="3"/>
    </w:pPr>
  </w:style>
  <w:style w:type="paragraph" w:styleId="Heading5">
    <w:name w:val="heading 5"/>
    <w:basedOn w:val="Normal"/>
    <w:next w:val="Normal"/>
    <w:link w:val="Heading5Char"/>
    <w:semiHidden/>
    <w:qFormat/>
    <w:rsid w:val="00A51F1B"/>
    <w:pPr>
      <w:outlineLvl w:val="4"/>
    </w:pPr>
  </w:style>
  <w:style w:type="paragraph" w:styleId="Heading6">
    <w:name w:val="heading 6"/>
    <w:basedOn w:val="Normal"/>
    <w:next w:val="Normal"/>
    <w:link w:val="Heading6Char"/>
    <w:semiHidden/>
    <w:qFormat/>
    <w:rsid w:val="00A51F1B"/>
    <w:pPr>
      <w:outlineLvl w:val="5"/>
    </w:pPr>
  </w:style>
  <w:style w:type="paragraph" w:styleId="Heading7">
    <w:name w:val="heading 7"/>
    <w:basedOn w:val="Normal"/>
    <w:next w:val="Normal"/>
    <w:link w:val="Heading7Char"/>
    <w:semiHidden/>
    <w:qFormat/>
    <w:rsid w:val="00A51F1B"/>
    <w:pPr>
      <w:outlineLvl w:val="6"/>
    </w:pPr>
  </w:style>
  <w:style w:type="paragraph" w:styleId="Heading8">
    <w:name w:val="heading 8"/>
    <w:basedOn w:val="Normal"/>
    <w:next w:val="Normal"/>
    <w:link w:val="Heading8Char"/>
    <w:semiHidden/>
    <w:qFormat/>
    <w:rsid w:val="00A51F1B"/>
    <w:pPr>
      <w:outlineLvl w:val="7"/>
    </w:pPr>
  </w:style>
  <w:style w:type="paragraph" w:styleId="Heading9">
    <w:name w:val="heading 9"/>
    <w:basedOn w:val="Normal"/>
    <w:next w:val="Normal"/>
    <w:link w:val="Heading9Char"/>
    <w:semiHidden/>
    <w:qFormat/>
    <w:rsid w:val="00A51F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51F1B"/>
    <w:pPr>
      <w:pBdr>
        <w:bottom w:val="single" w:sz="4" w:space="4" w:color="auto"/>
      </w:pBdr>
      <w:spacing w:line="240" w:lineRule="auto"/>
    </w:pPr>
    <w:rPr>
      <w:b/>
      <w:sz w:val="18"/>
    </w:rPr>
  </w:style>
  <w:style w:type="character" w:customStyle="1" w:styleId="HeaderChar">
    <w:name w:val="Header Char"/>
    <w:aliases w:val="6_G Char"/>
    <w:link w:val="Header"/>
    <w:rsid w:val="00A51F1B"/>
    <w:rPr>
      <w:rFonts w:ascii="Times New Roman" w:eastAsia="Calibri" w:hAnsi="Times New Roman" w:cs="Times New Roman"/>
      <w:b/>
      <w:sz w:val="18"/>
      <w:szCs w:val="20"/>
      <w:lang w:eastAsia="en-US"/>
    </w:rPr>
  </w:style>
  <w:style w:type="paragraph" w:styleId="Footer">
    <w:name w:val="footer"/>
    <w:aliases w:val="3_G"/>
    <w:basedOn w:val="Normal"/>
    <w:next w:val="Normal"/>
    <w:link w:val="FooterChar"/>
    <w:uiPriority w:val="99"/>
    <w:qFormat/>
    <w:rsid w:val="00A51F1B"/>
    <w:pPr>
      <w:spacing w:line="240" w:lineRule="auto"/>
    </w:pPr>
    <w:rPr>
      <w:sz w:val="16"/>
    </w:rPr>
  </w:style>
  <w:style w:type="character" w:customStyle="1" w:styleId="FooterChar">
    <w:name w:val="Footer Char"/>
    <w:aliases w:val="3_G Char"/>
    <w:link w:val="Footer"/>
    <w:uiPriority w:val="99"/>
    <w:rsid w:val="00A51F1B"/>
    <w:rPr>
      <w:rFonts w:ascii="Times New Roman" w:eastAsia="Calibri" w:hAnsi="Times New Roman" w:cs="Times New Roman"/>
      <w:sz w:val="16"/>
      <w:szCs w:val="20"/>
      <w:lang w:eastAsia="en-US"/>
    </w:rPr>
  </w:style>
  <w:style w:type="paragraph" w:customStyle="1" w:styleId="HMG">
    <w:name w:val="_ H __M_G"/>
    <w:basedOn w:val="Normal"/>
    <w:next w:val="Normal"/>
    <w:qFormat/>
    <w:rsid w:val="00A51F1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51F1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51F1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F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F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F1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51F1B"/>
    <w:pPr>
      <w:spacing w:after="120"/>
      <w:ind w:left="1134" w:right="1134"/>
      <w:jc w:val="both"/>
    </w:pPr>
  </w:style>
  <w:style w:type="paragraph" w:customStyle="1" w:styleId="SLG">
    <w:name w:val="__S_L_G"/>
    <w:basedOn w:val="Normal"/>
    <w:next w:val="Normal"/>
    <w:rsid w:val="00A51F1B"/>
    <w:pPr>
      <w:keepNext/>
      <w:keepLines/>
      <w:spacing w:before="240" w:after="240" w:line="580" w:lineRule="exact"/>
      <w:ind w:left="1134" w:right="1134"/>
    </w:pPr>
    <w:rPr>
      <w:b/>
      <w:sz w:val="56"/>
    </w:rPr>
  </w:style>
  <w:style w:type="paragraph" w:customStyle="1" w:styleId="SMG">
    <w:name w:val="__S_M_G"/>
    <w:basedOn w:val="Normal"/>
    <w:next w:val="Normal"/>
    <w:rsid w:val="00A51F1B"/>
    <w:pPr>
      <w:keepNext/>
      <w:keepLines/>
      <w:spacing w:before="240" w:after="240" w:line="420" w:lineRule="exact"/>
      <w:ind w:left="1134" w:right="1134"/>
    </w:pPr>
    <w:rPr>
      <w:b/>
      <w:sz w:val="40"/>
    </w:rPr>
  </w:style>
  <w:style w:type="paragraph" w:customStyle="1" w:styleId="SSG">
    <w:name w:val="__S_S_G"/>
    <w:basedOn w:val="Normal"/>
    <w:next w:val="Normal"/>
    <w:rsid w:val="00A51F1B"/>
    <w:pPr>
      <w:keepNext/>
      <w:keepLines/>
      <w:spacing w:before="240" w:after="240" w:line="300" w:lineRule="exact"/>
      <w:ind w:left="1134" w:right="1134"/>
    </w:pPr>
    <w:rPr>
      <w:b/>
      <w:sz w:val="28"/>
    </w:rPr>
  </w:style>
  <w:style w:type="paragraph" w:customStyle="1" w:styleId="XLargeG">
    <w:name w:val="__XLarge_G"/>
    <w:basedOn w:val="Normal"/>
    <w:next w:val="Normal"/>
    <w:rsid w:val="00A51F1B"/>
    <w:pPr>
      <w:keepNext/>
      <w:keepLines/>
      <w:spacing w:before="240" w:after="240" w:line="420" w:lineRule="exact"/>
      <w:ind w:left="1134" w:right="1134"/>
    </w:pPr>
    <w:rPr>
      <w:b/>
      <w:sz w:val="40"/>
    </w:rPr>
  </w:style>
  <w:style w:type="paragraph" w:customStyle="1" w:styleId="Bullet1G">
    <w:name w:val="_Bullet 1_G"/>
    <w:basedOn w:val="Normal"/>
    <w:qFormat/>
    <w:rsid w:val="00A51F1B"/>
    <w:pPr>
      <w:numPr>
        <w:numId w:val="15"/>
      </w:numPr>
      <w:spacing w:after="120"/>
      <w:ind w:right="1134"/>
      <w:jc w:val="both"/>
    </w:pPr>
  </w:style>
  <w:style w:type="paragraph" w:customStyle="1" w:styleId="Bullet2G">
    <w:name w:val="_Bullet 2_G"/>
    <w:basedOn w:val="Normal"/>
    <w:qFormat/>
    <w:rsid w:val="00A51F1B"/>
    <w:pPr>
      <w:numPr>
        <w:numId w:val="16"/>
      </w:numPr>
      <w:spacing w:after="120"/>
      <w:ind w:right="1134"/>
      <w:jc w:val="both"/>
    </w:pPr>
  </w:style>
  <w:style w:type="paragraph" w:customStyle="1" w:styleId="ParNoG">
    <w:name w:val="_ParNo_G"/>
    <w:basedOn w:val="Normal"/>
    <w:qFormat/>
    <w:rsid w:val="00A51F1B"/>
    <w:pPr>
      <w:numPr>
        <w:numId w:val="17"/>
      </w:numPr>
      <w:spacing w:after="120"/>
      <w:ind w:right="1134"/>
      <w:jc w:val="both"/>
    </w:pPr>
  </w:style>
  <w:style w:type="character" w:styleId="FootnoteReference">
    <w:name w:val="footnote reference"/>
    <w:aliases w:val="4_G,Footnote Reference/"/>
    <w:uiPriority w:val="99"/>
    <w:qFormat/>
    <w:rsid w:val="00A51F1B"/>
    <w:rPr>
      <w:rFonts w:ascii="Times New Roman" w:hAnsi="Times New Roman"/>
      <w:sz w:val="18"/>
      <w:vertAlign w:val="superscript"/>
      <w:lang w:val="fr-CH"/>
    </w:rPr>
  </w:style>
  <w:style w:type="character" w:styleId="EndnoteReference">
    <w:name w:val="endnote reference"/>
    <w:aliases w:val="1_G"/>
    <w:qFormat/>
    <w:rsid w:val="00A51F1B"/>
    <w:rPr>
      <w:rFonts w:ascii="Times New Roman" w:hAnsi="Times New Roman"/>
      <w:sz w:val="18"/>
      <w:vertAlign w:val="superscript"/>
      <w:lang w:val="fr-CH"/>
    </w:rPr>
  </w:style>
  <w:style w:type="table" w:styleId="TableGrid">
    <w:name w:val="Table Grid"/>
    <w:basedOn w:val="TableNormal"/>
    <w:rsid w:val="00A51F1B"/>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A51F1B"/>
    <w:rPr>
      <w:color w:val="0000FF"/>
      <w:u w:val="none"/>
    </w:rPr>
  </w:style>
  <w:style w:type="character" w:styleId="FollowedHyperlink">
    <w:name w:val="FollowedHyperlink"/>
    <w:unhideWhenUsed/>
    <w:rsid w:val="00A51F1B"/>
    <w:rPr>
      <w:color w:val="0000FF"/>
      <w:u w:val="none"/>
    </w:rPr>
  </w:style>
  <w:style w:type="paragraph" w:styleId="FootnoteText">
    <w:name w:val="footnote text"/>
    <w:aliases w:val="5_G"/>
    <w:basedOn w:val="Normal"/>
    <w:link w:val="FootnoteTextChar"/>
    <w:uiPriority w:val="99"/>
    <w:qFormat/>
    <w:rsid w:val="00A51F1B"/>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A51F1B"/>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A51F1B"/>
  </w:style>
  <w:style w:type="character" w:customStyle="1" w:styleId="EndnoteTextChar">
    <w:name w:val="Endnote Text Char"/>
    <w:aliases w:val="2_G Char"/>
    <w:link w:val="EndnoteText"/>
    <w:rsid w:val="00A51F1B"/>
    <w:rPr>
      <w:rFonts w:ascii="Times New Roman" w:eastAsia="Calibri" w:hAnsi="Times New Roman" w:cs="Times New Roman"/>
      <w:sz w:val="18"/>
      <w:szCs w:val="20"/>
      <w:lang w:eastAsia="en-US"/>
    </w:rPr>
  </w:style>
  <w:style w:type="character" w:styleId="PageNumber">
    <w:name w:val="page number"/>
    <w:aliases w:val="7_G"/>
    <w:qFormat/>
    <w:rsid w:val="00A51F1B"/>
    <w:rPr>
      <w:rFonts w:ascii="Times New Roman" w:hAnsi="Times New Roman"/>
      <w:b/>
      <w:sz w:val="18"/>
      <w:lang w:val="fr-CH"/>
    </w:rPr>
  </w:style>
  <w:style w:type="character" w:customStyle="1" w:styleId="Heading1Char">
    <w:name w:val="Heading 1 Char"/>
    <w:aliases w:val="Table_G Char"/>
    <w:link w:val="Heading1"/>
    <w:rsid w:val="00A51F1B"/>
    <w:rPr>
      <w:rFonts w:ascii="Times New Roman" w:eastAsia="Calibri" w:hAnsi="Times New Roman" w:cs="Times New Roman"/>
      <w:sz w:val="20"/>
      <w:szCs w:val="20"/>
      <w:lang w:eastAsia="en-US"/>
    </w:rPr>
  </w:style>
  <w:style w:type="character" w:customStyle="1" w:styleId="Heading2Char">
    <w:name w:val="Heading 2 Char"/>
    <w:link w:val="Heading2"/>
    <w:semiHidden/>
    <w:rsid w:val="00A51F1B"/>
    <w:rPr>
      <w:rFonts w:ascii="Times New Roman" w:eastAsia="Calibri" w:hAnsi="Times New Roman" w:cs="Times New Roman"/>
      <w:sz w:val="20"/>
      <w:szCs w:val="20"/>
      <w:lang w:eastAsia="en-US"/>
    </w:rPr>
  </w:style>
  <w:style w:type="character" w:customStyle="1" w:styleId="Heading3Char">
    <w:name w:val="Heading 3 Char"/>
    <w:link w:val="Heading3"/>
    <w:semiHidden/>
    <w:rsid w:val="00A51F1B"/>
    <w:rPr>
      <w:rFonts w:ascii="Times New Roman" w:eastAsia="Calibri" w:hAnsi="Times New Roman" w:cs="Times New Roman"/>
      <w:sz w:val="20"/>
      <w:szCs w:val="20"/>
      <w:lang w:eastAsia="en-US"/>
    </w:rPr>
  </w:style>
  <w:style w:type="character" w:customStyle="1" w:styleId="Heading4Char">
    <w:name w:val="Heading 4 Char"/>
    <w:link w:val="Heading4"/>
    <w:semiHidden/>
    <w:rsid w:val="00A51F1B"/>
    <w:rPr>
      <w:rFonts w:ascii="Times New Roman" w:eastAsia="Calibri" w:hAnsi="Times New Roman" w:cs="Times New Roman"/>
      <w:sz w:val="20"/>
      <w:szCs w:val="20"/>
      <w:lang w:eastAsia="en-US"/>
    </w:rPr>
  </w:style>
  <w:style w:type="character" w:customStyle="1" w:styleId="Heading5Char">
    <w:name w:val="Heading 5 Char"/>
    <w:link w:val="Heading5"/>
    <w:semiHidden/>
    <w:rsid w:val="00A51F1B"/>
    <w:rPr>
      <w:rFonts w:ascii="Times New Roman" w:eastAsia="Calibri" w:hAnsi="Times New Roman" w:cs="Times New Roman"/>
      <w:sz w:val="20"/>
      <w:szCs w:val="20"/>
      <w:lang w:eastAsia="en-US"/>
    </w:rPr>
  </w:style>
  <w:style w:type="character" w:customStyle="1" w:styleId="Heading6Char">
    <w:name w:val="Heading 6 Char"/>
    <w:link w:val="Heading6"/>
    <w:semiHidden/>
    <w:rsid w:val="00A51F1B"/>
    <w:rPr>
      <w:rFonts w:ascii="Times New Roman" w:eastAsia="Calibri" w:hAnsi="Times New Roman" w:cs="Times New Roman"/>
      <w:sz w:val="20"/>
      <w:szCs w:val="20"/>
      <w:lang w:eastAsia="en-US"/>
    </w:rPr>
  </w:style>
  <w:style w:type="character" w:customStyle="1" w:styleId="Heading7Char">
    <w:name w:val="Heading 7 Char"/>
    <w:link w:val="Heading7"/>
    <w:semiHidden/>
    <w:rsid w:val="00A51F1B"/>
    <w:rPr>
      <w:rFonts w:ascii="Times New Roman" w:eastAsia="Calibri" w:hAnsi="Times New Roman" w:cs="Times New Roman"/>
      <w:sz w:val="20"/>
      <w:szCs w:val="20"/>
      <w:lang w:eastAsia="en-US"/>
    </w:rPr>
  </w:style>
  <w:style w:type="character" w:customStyle="1" w:styleId="Heading8Char">
    <w:name w:val="Heading 8 Char"/>
    <w:link w:val="Heading8"/>
    <w:semiHidden/>
    <w:rsid w:val="00A51F1B"/>
    <w:rPr>
      <w:rFonts w:ascii="Times New Roman" w:eastAsia="Calibri" w:hAnsi="Times New Roman" w:cs="Times New Roman"/>
      <w:sz w:val="20"/>
      <w:szCs w:val="20"/>
      <w:lang w:eastAsia="en-US"/>
    </w:rPr>
  </w:style>
  <w:style w:type="character" w:customStyle="1" w:styleId="Heading9Char">
    <w:name w:val="Heading 9 Char"/>
    <w:link w:val="Heading9"/>
    <w:semiHidden/>
    <w:rsid w:val="00A51F1B"/>
    <w:rPr>
      <w:rFonts w:ascii="Times New Roman" w:eastAsia="Calibri" w:hAnsi="Times New Roman" w:cs="Times New Roman"/>
      <w:sz w:val="20"/>
      <w:szCs w:val="20"/>
      <w:lang w:eastAsia="en-US"/>
    </w:rPr>
  </w:style>
  <w:style w:type="character" w:customStyle="1" w:styleId="H1GChar">
    <w:name w:val="_ H_1_G Char"/>
    <w:link w:val="H1G"/>
    <w:rsid w:val="00A51F1B"/>
    <w:rPr>
      <w:rFonts w:ascii="Times New Roman" w:eastAsia="Calibri" w:hAnsi="Times New Roman" w:cs="Times New Roman"/>
      <w:b/>
      <w:sz w:val="24"/>
      <w:szCs w:val="20"/>
      <w:lang w:eastAsia="en-US"/>
    </w:rPr>
  </w:style>
  <w:style w:type="character" w:customStyle="1" w:styleId="SingleTxtGChar">
    <w:name w:val="_ Single Txt_G Char"/>
    <w:link w:val="SingleTxtG"/>
    <w:rsid w:val="00A51F1B"/>
    <w:rPr>
      <w:rFonts w:ascii="Times New Roman" w:eastAsia="Calibri" w:hAnsi="Times New Roman" w:cs="Times New Roman"/>
      <w:sz w:val="20"/>
      <w:szCs w:val="20"/>
      <w:lang w:eastAsia="en-US"/>
    </w:rPr>
  </w:style>
  <w:style w:type="paragraph" w:styleId="BalloonText">
    <w:name w:val="Balloon Text"/>
    <w:basedOn w:val="Normal"/>
    <w:link w:val="BalloonTextChar"/>
    <w:uiPriority w:val="99"/>
    <w:semiHidden/>
    <w:unhideWhenUsed/>
    <w:rsid w:val="00D1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8D"/>
    <w:rPr>
      <w:rFonts w:ascii="Tahoma" w:eastAsia="Calibri" w:hAnsi="Tahoma" w:cs="Tahoma"/>
      <w:sz w:val="16"/>
      <w:szCs w:val="16"/>
      <w:lang w:val="fr-CH" w:eastAsia="en-US"/>
    </w:rPr>
  </w:style>
  <w:style w:type="paragraph" w:customStyle="1" w:styleId="UNParagraph">
    <w:name w:val="UN Paragraph"/>
    <w:basedOn w:val="Normal"/>
    <w:link w:val="UNParagraphChar"/>
    <w:qFormat/>
    <w:rsid w:val="00D13C8D"/>
    <w:pPr>
      <w:numPr>
        <w:numId w:val="20"/>
      </w:numPr>
      <w:kinsoku/>
      <w:overflowPunct/>
      <w:autoSpaceDE/>
      <w:autoSpaceDN/>
      <w:adjustRightInd/>
      <w:snapToGrid/>
      <w:ind w:left="1134" w:right="-99" w:firstLine="0"/>
      <w:jc w:val="both"/>
    </w:pPr>
    <w:rPr>
      <w:rFonts w:eastAsia="Times New Roman"/>
    </w:rPr>
  </w:style>
  <w:style w:type="character" w:customStyle="1" w:styleId="UNParagraphChar">
    <w:name w:val="UN Paragraph Char"/>
    <w:link w:val="UNParagraph"/>
    <w:rsid w:val="00D13C8D"/>
    <w:rPr>
      <w:rFonts w:ascii="Times New Roman" w:hAnsi="Times New Roman" w:cs="Times New Roman"/>
      <w:lang w:val="fr-CH" w:eastAsia="en-US"/>
    </w:rPr>
  </w:style>
  <w:style w:type="character" w:customStyle="1" w:styleId="HChGChar">
    <w:name w:val="_ H _Ch_G Char"/>
    <w:link w:val="HChG"/>
    <w:locked/>
    <w:rsid w:val="003C7D8C"/>
    <w:rPr>
      <w:rFonts w:ascii="Times New Roman" w:eastAsia="Calibri" w:hAnsi="Times New Roman" w:cs="Times New Roman"/>
      <w:b/>
      <w:sz w:val="28"/>
      <w:lang w:val="fr-CH" w:eastAsia="en-US"/>
    </w:rPr>
  </w:style>
  <w:style w:type="paragraph" w:customStyle="1" w:styleId="UNParagraphStyle">
    <w:name w:val="UN Paragraph Style"/>
    <w:basedOn w:val="Normal"/>
    <w:link w:val="UNParagraphStyleChar"/>
    <w:qFormat/>
    <w:rsid w:val="003C7D8C"/>
    <w:pPr>
      <w:numPr>
        <w:numId w:val="21"/>
      </w:numPr>
      <w:kinsoku/>
      <w:overflowPunct/>
      <w:autoSpaceDE/>
      <w:autoSpaceDN/>
      <w:adjustRightInd/>
      <w:snapToGrid/>
      <w:spacing w:after="120"/>
      <w:ind w:right="1134"/>
      <w:jc w:val="both"/>
    </w:pPr>
    <w:rPr>
      <w:rFonts w:eastAsia="Times New Roman"/>
      <w:lang w:val="fr-FR" w:eastAsia="fr-FR"/>
    </w:rPr>
  </w:style>
  <w:style w:type="paragraph" w:customStyle="1" w:styleId="UNSectionTitle">
    <w:name w:val="UN Section Title"/>
    <w:basedOn w:val="HChG"/>
    <w:link w:val="UNSectionTitleChar"/>
    <w:qFormat/>
    <w:rsid w:val="003C7D8C"/>
    <w:pPr>
      <w:kinsoku/>
      <w:overflowPunct/>
      <w:autoSpaceDE/>
      <w:autoSpaceDN/>
      <w:adjustRightInd/>
      <w:snapToGrid/>
      <w:spacing w:before="240" w:after="120"/>
      <w:ind w:firstLine="0"/>
    </w:pPr>
    <w:rPr>
      <w:rFonts w:eastAsia="Times New Roman"/>
      <w:lang w:val="fr-FR" w:eastAsia="fr-FR"/>
    </w:rPr>
  </w:style>
  <w:style w:type="character" w:customStyle="1" w:styleId="UNParagraphStyleChar">
    <w:name w:val="UN Paragraph Style Char"/>
    <w:basedOn w:val="DefaultParagraphFont"/>
    <w:link w:val="UNParagraphStyle"/>
    <w:rsid w:val="003C7D8C"/>
    <w:rPr>
      <w:rFonts w:ascii="Times New Roman" w:hAnsi="Times New Roman" w:cs="Times New Roman"/>
      <w:lang w:val="fr-FR" w:eastAsia="fr-FR"/>
    </w:rPr>
  </w:style>
  <w:style w:type="character" w:customStyle="1" w:styleId="UNSectionTitleChar">
    <w:name w:val="UN Section Title Char"/>
    <w:link w:val="UNSectionTitle"/>
    <w:rsid w:val="003C7D8C"/>
    <w:rPr>
      <w:rFonts w:ascii="Times New Roman" w:hAnsi="Times New Roman" w:cs="Times New Roman"/>
      <w:b/>
      <w:sz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51F1B"/>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Heading1">
    <w:name w:val="heading 1"/>
    <w:aliases w:val="Table_G"/>
    <w:basedOn w:val="SingleTxtG"/>
    <w:next w:val="SingleTxtG"/>
    <w:link w:val="Heading1Char"/>
    <w:qFormat/>
    <w:rsid w:val="00A51F1B"/>
    <w:pPr>
      <w:keepNext/>
      <w:keepLines/>
      <w:spacing w:after="0" w:line="240" w:lineRule="auto"/>
      <w:ind w:right="0"/>
      <w:jc w:val="left"/>
      <w:outlineLvl w:val="0"/>
    </w:pPr>
  </w:style>
  <w:style w:type="paragraph" w:styleId="Heading2">
    <w:name w:val="heading 2"/>
    <w:basedOn w:val="Normal"/>
    <w:next w:val="Normal"/>
    <w:link w:val="Heading2Char"/>
    <w:semiHidden/>
    <w:qFormat/>
    <w:rsid w:val="00A51F1B"/>
    <w:pPr>
      <w:outlineLvl w:val="1"/>
    </w:pPr>
  </w:style>
  <w:style w:type="paragraph" w:styleId="Heading3">
    <w:name w:val="heading 3"/>
    <w:basedOn w:val="Normal"/>
    <w:next w:val="Normal"/>
    <w:link w:val="Heading3Char"/>
    <w:semiHidden/>
    <w:qFormat/>
    <w:rsid w:val="00A51F1B"/>
    <w:pPr>
      <w:outlineLvl w:val="2"/>
    </w:pPr>
  </w:style>
  <w:style w:type="paragraph" w:styleId="Heading4">
    <w:name w:val="heading 4"/>
    <w:basedOn w:val="Normal"/>
    <w:next w:val="Normal"/>
    <w:link w:val="Heading4Char"/>
    <w:semiHidden/>
    <w:qFormat/>
    <w:rsid w:val="00A51F1B"/>
    <w:pPr>
      <w:outlineLvl w:val="3"/>
    </w:pPr>
  </w:style>
  <w:style w:type="paragraph" w:styleId="Heading5">
    <w:name w:val="heading 5"/>
    <w:basedOn w:val="Normal"/>
    <w:next w:val="Normal"/>
    <w:link w:val="Heading5Char"/>
    <w:semiHidden/>
    <w:qFormat/>
    <w:rsid w:val="00A51F1B"/>
    <w:pPr>
      <w:outlineLvl w:val="4"/>
    </w:pPr>
  </w:style>
  <w:style w:type="paragraph" w:styleId="Heading6">
    <w:name w:val="heading 6"/>
    <w:basedOn w:val="Normal"/>
    <w:next w:val="Normal"/>
    <w:link w:val="Heading6Char"/>
    <w:semiHidden/>
    <w:qFormat/>
    <w:rsid w:val="00A51F1B"/>
    <w:pPr>
      <w:outlineLvl w:val="5"/>
    </w:pPr>
  </w:style>
  <w:style w:type="paragraph" w:styleId="Heading7">
    <w:name w:val="heading 7"/>
    <w:basedOn w:val="Normal"/>
    <w:next w:val="Normal"/>
    <w:link w:val="Heading7Char"/>
    <w:semiHidden/>
    <w:qFormat/>
    <w:rsid w:val="00A51F1B"/>
    <w:pPr>
      <w:outlineLvl w:val="6"/>
    </w:pPr>
  </w:style>
  <w:style w:type="paragraph" w:styleId="Heading8">
    <w:name w:val="heading 8"/>
    <w:basedOn w:val="Normal"/>
    <w:next w:val="Normal"/>
    <w:link w:val="Heading8Char"/>
    <w:semiHidden/>
    <w:qFormat/>
    <w:rsid w:val="00A51F1B"/>
    <w:pPr>
      <w:outlineLvl w:val="7"/>
    </w:pPr>
  </w:style>
  <w:style w:type="paragraph" w:styleId="Heading9">
    <w:name w:val="heading 9"/>
    <w:basedOn w:val="Normal"/>
    <w:next w:val="Normal"/>
    <w:link w:val="Heading9Char"/>
    <w:semiHidden/>
    <w:qFormat/>
    <w:rsid w:val="00A51F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51F1B"/>
    <w:pPr>
      <w:pBdr>
        <w:bottom w:val="single" w:sz="4" w:space="4" w:color="auto"/>
      </w:pBdr>
      <w:spacing w:line="240" w:lineRule="auto"/>
    </w:pPr>
    <w:rPr>
      <w:b/>
      <w:sz w:val="18"/>
    </w:rPr>
  </w:style>
  <w:style w:type="character" w:customStyle="1" w:styleId="HeaderChar">
    <w:name w:val="Header Char"/>
    <w:aliases w:val="6_G Char"/>
    <w:link w:val="Header"/>
    <w:rsid w:val="00A51F1B"/>
    <w:rPr>
      <w:rFonts w:ascii="Times New Roman" w:eastAsia="Calibri" w:hAnsi="Times New Roman" w:cs="Times New Roman"/>
      <w:b/>
      <w:sz w:val="18"/>
      <w:szCs w:val="20"/>
      <w:lang w:eastAsia="en-US"/>
    </w:rPr>
  </w:style>
  <w:style w:type="paragraph" w:styleId="Footer">
    <w:name w:val="footer"/>
    <w:aliases w:val="3_G"/>
    <w:basedOn w:val="Normal"/>
    <w:next w:val="Normal"/>
    <w:link w:val="FooterChar"/>
    <w:uiPriority w:val="99"/>
    <w:qFormat/>
    <w:rsid w:val="00A51F1B"/>
    <w:pPr>
      <w:spacing w:line="240" w:lineRule="auto"/>
    </w:pPr>
    <w:rPr>
      <w:sz w:val="16"/>
    </w:rPr>
  </w:style>
  <w:style w:type="character" w:customStyle="1" w:styleId="FooterChar">
    <w:name w:val="Footer Char"/>
    <w:aliases w:val="3_G Char"/>
    <w:link w:val="Footer"/>
    <w:uiPriority w:val="99"/>
    <w:rsid w:val="00A51F1B"/>
    <w:rPr>
      <w:rFonts w:ascii="Times New Roman" w:eastAsia="Calibri" w:hAnsi="Times New Roman" w:cs="Times New Roman"/>
      <w:sz w:val="16"/>
      <w:szCs w:val="20"/>
      <w:lang w:eastAsia="en-US"/>
    </w:rPr>
  </w:style>
  <w:style w:type="paragraph" w:customStyle="1" w:styleId="HMG">
    <w:name w:val="_ H __M_G"/>
    <w:basedOn w:val="Normal"/>
    <w:next w:val="Normal"/>
    <w:qFormat/>
    <w:rsid w:val="00A51F1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51F1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51F1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F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F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F1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51F1B"/>
    <w:pPr>
      <w:spacing w:after="120"/>
      <w:ind w:left="1134" w:right="1134"/>
      <w:jc w:val="both"/>
    </w:pPr>
  </w:style>
  <w:style w:type="paragraph" w:customStyle="1" w:styleId="SLG">
    <w:name w:val="__S_L_G"/>
    <w:basedOn w:val="Normal"/>
    <w:next w:val="Normal"/>
    <w:rsid w:val="00A51F1B"/>
    <w:pPr>
      <w:keepNext/>
      <w:keepLines/>
      <w:spacing w:before="240" w:after="240" w:line="580" w:lineRule="exact"/>
      <w:ind w:left="1134" w:right="1134"/>
    </w:pPr>
    <w:rPr>
      <w:b/>
      <w:sz w:val="56"/>
    </w:rPr>
  </w:style>
  <w:style w:type="paragraph" w:customStyle="1" w:styleId="SMG">
    <w:name w:val="__S_M_G"/>
    <w:basedOn w:val="Normal"/>
    <w:next w:val="Normal"/>
    <w:rsid w:val="00A51F1B"/>
    <w:pPr>
      <w:keepNext/>
      <w:keepLines/>
      <w:spacing w:before="240" w:after="240" w:line="420" w:lineRule="exact"/>
      <w:ind w:left="1134" w:right="1134"/>
    </w:pPr>
    <w:rPr>
      <w:b/>
      <w:sz w:val="40"/>
    </w:rPr>
  </w:style>
  <w:style w:type="paragraph" w:customStyle="1" w:styleId="SSG">
    <w:name w:val="__S_S_G"/>
    <w:basedOn w:val="Normal"/>
    <w:next w:val="Normal"/>
    <w:rsid w:val="00A51F1B"/>
    <w:pPr>
      <w:keepNext/>
      <w:keepLines/>
      <w:spacing w:before="240" w:after="240" w:line="300" w:lineRule="exact"/>
      <w:ind w:left="1134" w:right="1134"/>
    </w:pPr>
    <w:rPr>
      <w:b/>
      <w:sz w:val="28"/>
    </w:rPr>
  </w:style>
  <w:style w:type="paragraph" w:customStyle="1" w:styleId="XLargeG">
    <w:name w:val="__XLarge_G"/>
    <w:basedOn w:val="Normal"/>
    <w:next w:val="Normal"/>
    <w:rsid w:val="00A51F1B"/>
    <w:pPr>
      <w:keepNext/>
      <w:keepLines/>
      <w:spacing w:before="240" w:after="240" w:line="420" w:lineRule="exact"/>
      <w:ind w:left="1134" w:right="1134"/>
    </w:pPr>
    <w:rPr>
      <w:b/>
      <w:sz w:val="40"/>
    </w:rPr>
  </w:style>
  <w:style w:type="paragraph" w:customStyle="1" w:styleId="Bullet1G">
    <w:name w:val="_Bullet 1_G"/>
    <w:basedOn w:val="Normal"/>
    <w:qFormat/>
    <w:rsid w:val="00A51F1B"/>
    <w:pPr>
      <w:numPr>
        <w:numId w:val="15"/>
      </w:numPr>
      <w:spacing w:after="120"/>
      <w:ind w:right="1134"/>
      <w:jc w:val="both"/>
    </w:pPr>
  </w:style>
  <w:style w:type="paragraph" w:customStyle="1" w:styleId="Bullet2G">
    <w:name w:val="_Bullet 2_G"/>
    <w:basedOn w:val="Normal"/>
    <w:qFormat/>
    <w:rsid w:val="00A51F1B"/>
    <w:pPr>
      <w:numPr>
        <w:numId w:val="16"/>
      </w:numPr>
      <w:spacing w:after="120"/>
      <w:ind w:right="1134"/>
      <w:jc w:val="both"/>
    </w:pPr>
  </w:style>
  <w:style w:type="paragraph" w:customStyle="1" w:styleId="ParNoG">
    <w:name w:val="_ParNo_G"/>
    <w:basedOn w:val="Normal"/>
    <w:qFormat/>
    <w:rsid w:val="00A51F1B"/>
    <w:pPr>
      <w:numPr>
        <w:numId w:val="17"/>
      </w:numPr>
      <w:spacing w:after="120"/>
      <w:ind w:right="1134"/>
      <w:jc w:val="both"/>
    </w:pPr>
  </w:style>
  <w:style w:type="character" w:styleId="FootnoteReference">
    <w:name w:val="footnote reference"/>
    <w:aliases w:val="4_G,Footnote Reference/"/>
    <w:uiPriority w:val="99"/>
    <w:qFormat/>
    <w:rsid w:val="00A51F1B"/>
    <w:rPr>
      <w:rFonts w:ascii="Times New Roman" w:hAnsi="Times New Roman"/>
      <w:sz w:val="18"/>
      <w:vertAlign w:val="superscript"/>
      <w:lang w:val="fr-CH"/>
    </w:rPr>
  </w:style>
  <w:style w:type="character" w:styleId="EndnoteReference">
    <w:name w:val="endnote reference"/>
    <w:aliases w:val="1_G"/>
    <w:qFormat/>
    <w:rsid w:val="00A51F1B"/>
    <w:rPr>
      <w:rFonts w:ascii="Times New Roman" w:hAnsi="Times New Roman"/>
      <w:sz w:val="18"/>
      <w:vertAlign w:val="superscript"/>
      <w:lang w:val="fr-CH"/>
    </w:rPr>
  </w:style>
  <w:style w:type="table" w:styleId="TableGrid">
    <w:name w:val="Table Grid"/>
    <w:basedOn w:val="TableNormal"/>
    <w:rsid w:val="00A51F1B"/>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A51F1B"/>
    <w:rPr>
      <w:color w:val="0000FF"/>
      <w:u w:val="none"/>
    </w:rPr>
  </w:style>
  <w:style w:type="character" w:styleId="FollowedHyperlink">
    <w:name w:val="FollowedHyperlink"/>
    <w:unhideWhenUsed/>
    <w:rsid w:val="00A51F1B"/>
    <w:rPr>
      <w:color w:val="0000FF"/>
      <w:u w:val="none"/>
    </w:rPr>
  </w:style>
  <w:style w:type="paragraph" w:styleId="FootnoteText">
    <w:name w:val="footnote text"/>
    <w:aliases w:val="5_G"/>
    <w:basedOn w:val="Normal"/>
    <w:link w:val="FootnoteTextChar"/>
    <w:uiPriority w:val="99"/>
    <w:qFormat/>
    <w:rsid w:val="00A51F1B"/>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A51F1B"/>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A51F1B"/>
  </w:style>
  <w:style w:type="character" w:customStyle="1" w:styleId="EndnoteTextChar">
    <w:name w:val="Endnote Text Char"/>
    <w:aliases w:val="2_G Char"/>
    <w:link w:val="EndnoteText"/>
    <w:rsid w:val="00A51F1B"/>
    <w:rPr>
      <w:rFonts w:ascii="Times New Roman" w:eastAsia="Calibri" w:hAnsi="Times New Roman" w:cs="Times New Roman"/>
      <w:sz w:val="18"/>
      <w:szCs w:val="20"/>
      <w:lang w:eastAsia="en-US"/>
    </w:rPr>
  </w:style>
  <w:style w:type="character" w:styleId="PageNumber">
    <w:name w:val="page number"/>
    <w:aliases w:val="7_G"/>
    <w:qFormat/>
    <w:rsid w:val="00A51F1B"/>
    <w:rPr>
      <w:rFonts w:ascii="Times New Roman" w:hAnsi="Times New Roman"/>
      <w:b/>
      <w:sz w:val="18"/>
      <w:lang w:val="fr-CH"/>
    </w:rPr>
  </w:style>
  <w:style w:type="character" w:customStyle="1" w:styleId="Heading1Char">
    <w:name w:val="Heading 1 Char"/>
    <w:aliases w:val="Table_G Char"/>
    <w:link w:val="Heading1"/>
    <w:rsid w:val="00A51F1B"/>
    <w:rPr>
      <w:rFonts w:ascii="Times New Roman" w:eastAsia="Calibri" w:hAnsi="Times New Roman" w:cs="Times New Roman"/>
      <w:sz w:val="20"/>
      <w:szCs w:val="20"/>
      <w:lang w:eastAsia="en-US"/>
    </w:rPr>
  </w:style>
  <w:style w:type="character" w:customStyle="1" w:styleId="Heading2Char">
    <w:name w:val="Heading 2 Char"/>
    <w:link w:val="Heading2"/>
    <w:semiHidden/>
    <w:rsid w:val="00A51F1B"/>
    <w:rPr>
      <w:rFonts w:ascii="Times New Roman" w:eastAsia="Calibri" w:hAnsi="Times New Roman" w:cs="Times New Roman"/>
      <w:sz w:val="20"/>
      <w:szCs w:val="20"/>
      <w:lang w:eastAsia="en-US"/>
    </w:rPr>
  </w:style>
  <w:style w:type="character" w:customStyle="1" w:styleId="Heading3Char">
    <w:name w:val="Heading 3 Char"/>
    <w:link w:val="Heading3"/>
    <w:semiHidden/>
    <w:rsid w:val="00A51F1B"/>
    <w:rPr>
      <w:rFonts w:ascii="Times New Roman" w:eastAsia="Calibri" w:hAnsi="Times New Roman" w:cs="Times New Roman"/>
      <w:sz w:val="20"/>
      <w:szCs w:val="20"/>
      <w:lang w:eastAsia="en-US"/>
    </w:rPr>
  </w:style>
  <w:style w:type="character" w:customStyle="1" w:styleId="Heading4Char">
    <w:name w:val="Heading 4 Char"/>
    <w:link w:val="Heading4"/>
    <w:semiHidden/>
    <w:rsid w:val="00A51F1B"/>
    <w:rPr>
      <w:rFonts w:ascii="Times New Roman" w:eastAsia="Calibri" w:hAnsi="Times New Roman" w:cs="Times New Roman"/>
      <w:sz w:val="20"/>
      <w:szCs w:val="20"/>
      <w:lang w:eastAsia="en-US"/>
    </w:rPr>
  </w:style>
  <w:style w:type="character" w:customStyle="1" w:styleId="Heading5Char">
    <w:name w:val="Heading 5 Char"/>
    <w:link w:val="Heading5"/>
    <w:semiHidden/>
    <w:rsid w:val="00A51F1B"/>
    <w:rPr>
      <w:rFonts w:ascii="Times New Roman" w:eastAsia="Calibri" w:hAnsi="Times New Roman" w:cs="Times New Roman"/>
      <w:sz w:val="20"/>
      <w:szCs w:val="20"/>
      <w:lang w:eastAsia="en-US"/>
    </w:rPr>
  </w:style>
  <w:style w:type="character" w:customStyle="1" w:styleId="Heading6Char">
    <w:name w:val="Heading 6 Char"/>
    <w:link w:val="Heading6"/>
    <w:semiHidden/>
    <w:rsid w:val="00A51F1B"/>
    <w:rPr>
      <w:rFonts w:ascii="Times New Roman" w:eastAsia="Calibri" w:hAnsi="Times New Roman" w:cs="Times New Roman"/>
      <w:sz w:val="20"/>
      <w:szCs w:val="20"/>
      <w:lang w:eastAsia="en-US"/>
    </w:rPr>
  </w:style>
  <w:style w:type="character" w:customStyle="1" w:styleId="Heading7Char">
    <w:name w:val="Heading 7 Char"/>
    <w:link w:val="Heading7"/>
    <w:semiHidden/>
    <w:rsid w:val="00A51F1B"/>
    <w:rPr>
      <w:rFonts w:ascii="Times New Roman" w:eastAsia="Calibri" w:hAnsi="Times New Roman" w:cs="Times New Roman"/>
      <w:sz w:val="20"/>
      <w:szCs w:val="20"/>
      <w:lang w:eastAsia="en-US"/>
    </w:rPr>
  </w:style>
  <w:style w:type="character" w:customStyle="1" w:styleId="Heading8Char">
    <w:name w:val="Heading 8 Char"/>
    <w:link w:val="Heading8"/>
    <w:semiHidden/>
    <w:rsid w:val="00A51F1B"/>
    <w:rPr>
      <w:rFonts w:ascii="Times New Roman" w:eastAsia="Calibri" w:hAnsi="Times New Roman" w:cs="Times New Roman"/>
      <w:sz w:val="20"/>
      <w:szCs w:val="20"/>
      <w:lang w:eastAsia="en-US"/>
    </w:rPr>
  </w:style>
  <w:style w:type="character" w:customStyle="1" w:styleId="Heading9Char">
    <w:name w:val="Heading 9 Char"/>
    <w:link w:val="Heading9"/>
    <w:semiHidden/>
    <w:rsid w:val="00A51F1B"/>
    <w:rPr>
      <w:rFonts w:ascii="Times New Roman" w:eastAsia="Calibri" w:hAnsi="Times New Roman" w:cs="Times New Roman"/>
      <w:sz w:val="20"/>
      <w:szCs w:val="20"/>
      <w:lang w:eastAsia="en-US"/>
    </w:rPr>
  </w:style>
  <w:style w:type="character" w:customStyle="1" w:styleId="H1GChar">
    <w:name w:val="_ H_1_G Char"/>
    <w:link w:val="H1G"/>
    <w:rsid w:val="00A51F1B"/>
    <w:rPr>
      <w:rFonts w:ascii="Times New Roman" w:eastAsia="Calibri" w:hAnsi="Times New Roman" w:cs="Times New Roman"/>
      <w:b/>
      <w:sz w:val="24"/>
      <w:szCs w:val="20"/>
      <w:lang w:eastAsia="en-US"/>
    </w:rPr>
  </w:style>
  <w:style w:type="character" w:customStyle="1" w:styleId="SingleTxtGChar">
    <w:name w:val="_ Single Txt_G Char"/>
    <w:link w:val="SingleTxtG"/>
    <w:rsid w:val="00A51F1B"/>
    <w:rPr>
      <w:rFonts w:ascii="Times New Roman" w:eastAsia="Calibri" w:hAnsi="Times New Roman" w:cs="Times New Roman"/>
      <w:sz w:val="20"/>
      <w:szCs w:val="20"/>
      <w:lang w:eastAsia="en-US"/>
    </w:rPr>
  </w:style>
  <w:style w:type="paragraph" w:styleId="BalloonText">
    <w:name w:val="Balloon Text"/>
    <w:basedOn w:val="Normal"/>
    <w:link w:val="BalloonTextChar"/>
    <w:uiPriority w:val="99"/>
    <w:semiHidden/>
    <w:unhideWhenUsed/>
    <w:rsid w:val="00D1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8D"/>
    <w:rPr>
      <w:rFonts w:ascii="Tahoma" w:eastAsia="Calibri" w:hAnsi="Tahoma" w:cs="Tahoma"/>
      <w:sz w:val="16"/>
      <w:szCs w:val="16"/>
      <w:lang w:val="fr-CH" w:eastAsia="en-US"/>
    </w:rPr>
  </w:style>
  <w:style w:type="paragraph" w:customStyle="1" w:styleId="UNParagraph">
    <w:name w:val="UN Paragraph"/>
    <w:basedOn w:val="Normal"/>
    <w:link w:val="UNParagraphChar"/>
    <w:qFormat/>
    <w:rsid w:val="00D13C8D"/>
    <w:pPr>
      <w:numPr>
        <w:numId w:val="20"/>
      </w:numPr>
      <w:kinsoku/>
      <w:overflowPunct/>
      <w:autoSpaceDE/>
      <w:autoSpaceDN/>
      <w:adjustRightInd/>
      <w:snapToGrid/>
      <w:ind w:left="1134" w:right="-99" w:firstLine="0"/>
      <w:jc w:val="both"/>
    </w:pPr>
    <w:rPr>
      <w:rFonts w:eastAsia="Times New Roman"/>
    </w:rPr>
  </w:style>
  <w:style w:type="character" w:customStyle="1" w:styleId="UNParagraphChar">
    <w:name w:val="UN Paragraph Char"/>
    <w:link w:val="UNParagraph"/>
    <w:rsid w:val="00D13C8D"/>
    <w:rPr>
      <w:rFonts w:ascii="Times New Roman" w:hAnsi="Times New Roman" w:cs="Times New Roman"/>
      <w:lang w:val="fr-CH" w:eastAsia="en-US"/>
    </w:rPr>
  </w:style>
  <w:style w:type="character" w:customStyle="1" w:styleId="HChGChar">
    <w:name w:val="_ H _Ch_G Char"/>
    <w:link w:val="HChG"/>
    <w:locked/>
    <w:rsid w:val="003C7D8C"/>
    <w:rPr>
      <w:rFonts w:ascii="Times New Roman" w:eastAsia="Calibri" w:hAnsi="Times New Roman" w:cs="Times New Roman"/>
      <w:b/>
      <w:sz w:val="28"/>
      <w:lang w:val="fr-CH" w:eastAsia="en-US"/>
    </w:rPr>
  </w:style>
  <w:style w:type="paragraph" w:customStyle="1" w:styleId="UNParagraphStyle">
    <w:name w:val="UN Paragraph Style"/>
    <w:basedOn w:val="Normal"/>
    <w:link w:val="UNParagraphStyleChar"/>
    <w:qFormat/>
    <w:rsid w:val="003C7D8C"/>
    <w:pPr>
      <w:numPr>
        <w:numId w:val="21"/>
      </w:numPr>
      <w:kinsoku/>
      <w:overflowPunct/>
      <w:autoSpaceDE/>
      <w:autoSpaceDN/>
      <w:adjustRightInd/>
      <w:snapToGrid/>
      <w:spacing w:after="120"/>
      <w:ind w:right="1134"/>
      <w:jc w:val="both"/>
    </w:pPr>
    <w:rPr>
      <w:rFonts w:eastAsia="Times New Roman"/>
      <w:lang w:val="fr-FR" w:eastAsia="fr-FR"/>
    </w:rPr>
  </w:style>
  <w:style w:type="paragraph" w:customStyle="1" w:styleId="UNSectionTitle">
    <w:name w:val="UN Section Title"/>
    <w:basedOn w:val="HChG"/>
    <w:link w:val="UNSectionTitleChar"/>
    <w:qFormat/>
    <w:rsid w:val="003C7D8C"/>
    <w:pPr>
      <w:kinsoku/>
      <w:overflowPunct/>
      <w:autoSpaceDE/>
      <w:autoSpaceDN/>
      <w:adjustRightInd/>
      <w:snapToGrid/>
      <w:spacing w:before="240" w:after="120"/>
      <w:ind w:firstLine="0"/>
    </w:pPr>
    <w:rPr>
      <w:rFonts w:eastAsia="Times New Roman"/>
      <w:lang w:val="fr-FR" w:eastAsia="fr-FR"/>
    </w:rPr>
  </w:style>
  <w:style w:type="character" w:customStyle="1" w:styleId="UNParagraphStyleChar">
    <w:name w:val="UN Paragraph Style Char"/>
    <w:basedOn w:val="DefaultParagraphFont"/>
    <w:link w:val="UNParagraphStyle"/>
    <w:rsid w:val="003C7D8C"/>
    <w:rPr>
      <w:rFonts w:ascii="Times New Roman" w:hAnsi="Times New Roman" w:cs="Times New Roman"/>
      <w:lang w:val="fr-FR" w:eastAsia="fr-FR"/>
    </w:rPr>
  </w:style>
  <w:style w:type="character" w:customStyle="1" w:styleId="UNSectionTitleChar">
    <w:name w:val="UN Section Title Char"/>
    <w:link w:val="UNSectionTitle"/>
    <w:rsid w:val="003C7D8C"/>
    <w:rPr>
      <w:rFonts w:ascii="Times New Roman" w:hAnsi="Times New Roman" w:cs="Times New Roman"/>
      <w:b/>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LuIUp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MxMWY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ce.org/fileadmin/DAM/trans/doc/2015/dgac10c3/ST-SG-AC.10-C.3-2015-39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DBD1-DC3F-4AD9-934D-043AEA62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1656</Words>
  <Characters>9441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ST/SG/AC.10/C.3/2015/1</vt:lpstr>
      <vt:lpstr>ST/SG/AC.10/C.3/2015/1</vt:lpstr>
    </vt:vector>
  </TitlesOfParts>
  <Company>DCM</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ST/SG/AC.10/C.3/2015/1</dc:title>
  <dc:creator>Granet C.</dc:creator>
  <cp:lastModifiedBy>Laurence Berthet</cp:lastModifiedBy>
  <cp:revision>13</cp:revision>
  <cp:lastPrinted>2016-04-13T09:29:00Z</cp:lastPrinted>
  <dcterms:created xsi:type="dcterms:W3CDTF">2016-04-01T09:06:00Z</dcterms:created>
  <dcterms:modified xsi:type="dcterms:W3CDTF">2016-04-13T09:44:00Z</dcterms:modified>
</cp:coreProperties>
</file>