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774" w:rsidRPr="00A77E4C" w:rsidRDefault="00204774" w:rsidP="00204774">
      <w:pPr>
        <w:spacing w:line="240" w:lineRule="auto"/>
        <w:rPr>
          <w:sz w:val="2"/>
          <w:lang w:val="fr-CH"/>
        </w:rPr>
        <w:sectPr w:rsidR="00204774" w:rsidRPr="00A77E4C" w:rsidSect="00204774">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r w:rsidRPr="00A77E4C">
        <w:rPr>
          <w:rStyle w:val="CommentReference"/>
          <w:lang w:val="fr-CH"/>
        </w:rPr>
        <w:commentReference w:id="0"/>
      </w:r>
      <w:bookmarkStart w:id="1" w:name="_GoBack"/>
      <w:bookmarkEnd w:id="1"/>
    </w:p>
    <w:p w:rsidR="00204774" w:rsidRPr="00A77E4C" w:rsidRDefault="00204774" w:rsidP="00434CC1">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A77E4C">
        <w:rPr>
          <w:lang w:val="fr-CH"/>
        </w:rPr>
        <w:lastRenderedPageBreak/>
        <w:t>Commission économique pour l</w:t>
      </w:r>
      <w:r w:rsidR="00434CC1" w:rsidRPr="00A77E4C">
        <w:rPr>
          <w:lang w:val="fr-CH"/>
        </w:rPr>
        <w:t>’</w:t>
      </w:r>
      <w:r w:rsidRPr="00A77E4C">
        <w:rPr>
          <w:lang w:val="fr-CH"/>
        </w:rPr>
        <w:t>Europe</w:t>
      </w:r>
    </w:p>
    <w:p w:rsidR="00434CC1" w:rsidRPr="00A77E4C" w:rsidRDefault="00434CC1" w:rsidP="00434CC1">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rPr>
          <w:sz w:val="10"/>
          <w:lang w:val="fr-CH"/>
        </w:rPr>
      </w:pPr>
    </w:p>
    <w:p w:rsidR="00204774" w:rsidRPr="00A77E4C" w:rsidRDefault="00204774" w:rsidP="00434CC1">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bCs/>
          <w:lang w:val="fr-CH"/>
        </w:rPr>
      </w:pPr>
      <w:r w:rsidRPr="00A77E4C">
        <w:rPr>
          <w:b w:val="0"/>
          <w:bCs/>
          <w:lang w:val="fr-CH"/>
        </w:rPr>
        <w:t>Comité des transports intérieurs</w:t>
      </w:r>
    </w:p>
    <w:p w:rsidR="00204774" w:rsidRPr="00A77E4C" w:rsidRDefault="00204774" w:rsidP="00434CC1">
      <w:pPr>
        <w:pStyle w:val="H1"/>
        <w:spacing w:line="120" w:lineRule="exact"/>
        <w:rPr>
          <w:b w:val="0"/>
          <w:sz w:val="10"/>
          <w:lang w:val="fr-CH"/>
        </w:rPr>
      </w:pPr>
    </w:p>
    <w:p w:rsidR="00434CC1" w:rsidRPr="00A77E4C" w:rsidRDefault="00434CC1" w:rsidP="00434CC1">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A77E4C">
        <w:rPr>
          <w:lang w:val="fr-CH"/>
        </w:rPr>
        <w:t xml:space="preserve">Forum mondial de l’harmonisation </w:t>
      </w:r>
      <w:r w:rsidRPr="00A77E4C">
        <w:rPr>
          <w:lang w:val="fr-CH"/>
        </w:rPr>
        <w:br/>
        <w:t>des Règlements concernant les véhicules</w:t>
      </w:r>
    </w:p>
    <w:p w:rsidR="00434CC1" w:rsidRPr="00A77E4C" w:rsidRDefault="00434CC1" w:rsidP="00434CC1">
      <w:pPr>
        <w:spacing w:line="120" w:lineRule="exact"/>
        <w:rPr>
          <w:sz w:val="10"/>
          <w:lang w:val="fr-CH"/>
        </w:rPr>
      </w:pPr>
    </w:p>
    <w:p w:rsidR="00434CC1" w:rsidRPr="00A77E4C" w:rsidRDefault="00434CC1" w:rsidP="00434CC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A77E4C">
        <w:rPr>
          <w:lang w:val="fr-CH"/>
        </w:rPr>
        <w:t>Groupe de travail de la sécurité passive</w:t>
      </w:r>
    </w:p>
    <w:p w:rsidR="00434CC1" w:rsidRPr="00A77E4C" w:rsidRDefault="00434CC1" w:rsidP="00434CC1">
      <w:pPr>
        <w:spacing w:line="120" w:lineRule="exact"/>
        <w:rPr>
          <w:sz w:val="10"/>
          <w:lang w:val="fr-CH"/>
        </w:rPr>
      </w:pPr>
    </w:p>
    <w:p w:rsidR="00434CC1" w:rsidRPr="00A77E4C" w:rsidRDefault="00434CC1" w:rsidP="00434CC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A77E4C">
        <w:rPr>
          <w:lang w:val="fr-CH"/>
        </w:rPr>
        <w:t>Cinquante-huitième session</w:t>
      </w:r>
    </w:p>
    <w:p w:rsidR="00434CC1" w:rsidRPr="00A77E4C" w:rsidRDefault="00434CC1" w:rsidP="00434CC1">
      <w:pPr>
        <w:tabs>
          <w:tab w:val="right" w:pos="1022"/>
          <w:tab w:val="left" w:pos="1267"/>
          <w:tab w:val="left" w:pos="2218"/>
          <w:tab w:val="left" w:pos="2693"/>
          <w:tab w:val="left" w:pos="3182"/>
          <w:tab w:val="left" w:pos="3658"/>
          <w:tab w:val="left" w:pos="4133"/>
          <w:tab w:val="left" w:pos="4622"/>
          <w:tab w:val="left" w:pos="5098"/>
          <w:tab w:val="left" w:pos="5573"/>
          <w:tab w:val="left" w:pos="6048"/>
        </w:tabs>
        <w:rPr>
          <w:bCs/>
          <w:lang w:val="fr-CH"/>
        </w:rPr>
      </w:pPr>
      <w:r w:rsidRPr="00A77E4C">
        <w:rPr>
          <w:lang w:val="fr-CH"/>
        </w:rPr>
        <w:t>Genève, 8-11 décembre 2015</w:t>
      </w:r>
      <w:bookmarkStart w:id="2" w:name="insstart"/>
      <w:bookmarkEnd w:id="2"/>
    </w:p>
    <w:p w:rsidR="00434CC1" w:rsidRPr="00A77E4C" w:rsidRDefault="00434CC1" w:rsidP="00434CC1">
      <w:pPr>
        <w:tabs>
          <w:tab w:val="right" w:pos="1022"/>
          <w:tab w:val="left" w:pos="1267"/>
          <w:tab w:val="left" w:pos="2218"/>
          <w:tab w:val="left" w:pos="2693"/>
          <w:tab w:val="left" w:pos="3182"/>
          <w:tab w:val="left" w:pos="3658"/>
          <w:tab w:val="left" w:pos="4133"/>
          <w:tab w:val="left" w:pos="4622"/>
          <w:tab w:val="left" w:pos="5098"/>
          <w:tab w:val="left" w:pos="5573"/>
          <w:tab w:val="left" w:pos="6048"/>
        </w:tabs>
        <w:rPr>
          <w:bCs/>
          <w:lang w:val="fr-CH"/>
        </w:rPr>
      </w:pPr>
      <w:r w:rsidRPr="00A77E4C">
        <w:rPr>
          <w:lang w:val="fr-CH"/>
        </w:rPr>
        <w:t>Point 20 de l’ordre du jour provisoire</w:t>
      </w:r>
    </w:p>
    <w:p w:rsidR="00434CC1" w:rsidRPr="00A77E4C" w:rsidRDefault="00434CC1" w:rsidP="00434CC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A77E4C">
        <w:rPr>
          <w:lang w:val="fr-CH"/>
        </w:rPr>
        <w:t>Amendements collectifs aux Règlements n</w:t>
      </w:r>
      <w:r w:rsidRPr="00A77E4C">
        <w:rPr>
          <w:vertAlign w:val="superscript"/>
          <w:lang w:val="fr-CH"/>
        </w:rPr>
        <w:t>os</w:t>
      </w:r>
      <w:r w:rsidRPr="00A77E4C">
        <w:rPr>
          <w:lang w:val="fr-CH"/>
        </w:rPr>
        <w:t> 14 et 16</w:t>
      </w:r>
    </w:p>
    <w:p w:rsidR="00434CC1" w:rsidRPr="00A77E4C" w:rsidRDefault="00434CC1" w:rsidP="00434CC1">
      <w:pPr>
        <w:spacing w:line="120" w:lineRule="exact"/>
        <w:rPr>
          <w:sz w:val="10"/>
          <w:lang w:val="fr-CH"/>
        </w:rPr>
      </w:pPr>
    </w:p>
    <w:p w:rsidR="00434CC1" w:rsidRPr="00A77E4C" w:rsidRDefault="00434CC1" w:rsidP="00434CC1">
      <w:pPr>
        <w:spacing w:line="120" w:lineRule="exact"/>
        <w:rPr>
          <w:sz w:val="10"/>
          <w:lang w:val="fr-CH"/>
        </w:rPr>
      </w:pPr>
    </w:p>
    <w:p w:rsidR="00434CC1" w:rsidRPr="00A77E4C" w:rsidRDefault="00434CC1" w:rsidP="00434CC1">
      <w:pPr>
        <w:spacing w:line="120" w:lineRule="exact"/>
        <w:rPr>
          <w:sz w:val="10"/>
          <w:lang w:val="fr-CH"/>
        </w:rPr>
      </w:pPr>
    </w:p>
    <w:p w:rsidR="00434CC1" w:rsidRPr="00A77E4C" w:rsidRDefault="00434CC1" w:rsidP="00434CC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77E4C">
        <w:rPr>
          <w:lang w:val="fr-CH"/>
        </w:rPr>
        <w:tab/>
      </w:r>
      <w:r w:rsidRPr="00A77E4C">
        <w:rPr>
          <w:lang w:val="fr-CH"/>
        </w:rPr>
        <w:tab/>
        <w:t xml:space="preserve">Proposition de complément 7 à la série 06 d’amendements </w:t>
      </w:r>
      <w:r w:rsidRPr="00A77E4C">
        <w:rPr>
          <w:lang w:val="fr-CH"/>
        </w:rPr>
        <w:br/>
        <w:t>au Règlement n</w:t>
      </w:r>
      <w:r w:rsidRPr="00A77E4C">
        <w:rPr>
          <w:vertAlign w:val="superscript"/>
          <w:lang w:val="fr-CH"/>
        </w:rPr>
        <w:t>o</w:t>
      </w:r>
      <w:r w:rsidRPr="00A77E4C">
        <w:rPr>
          <w:lang w:val="fr-CH"/>
        </w:rPr>
        <w:t> 14 et de complément 7 à la série 06 d’amendements au Règlement n</w:t>
      </w:r>
      <w:r w:rsidRPr="00A77E4C">
        <w:rPr>
          <w:vertAlign w:val="superscript"/>
          <w:lang w:val="fr-CH"/>
        </w:rPr>
        <w:t>o</w:t>
      </w:r>
      <w:r w:rsidRPr="00A77E4C">
        <w:rPr>
          <w:lang w:val="fr-CH"/>
        </w:rPr>
        <w:t> 16</w:t>
      </w:r>
    </w:p>
    <w:p w:rsidR="00434CC1" w:rsidRPr="00A77E4C" w:rsidRDefault="00434CC1" w:rsidP="00434CC1">
      <w:pPr>
        <w:pStyle w:val="SingleTxt"/>
        <w:spacing w:after="0" w:line="120" w:lineRule="exact"/>
        <w:rPr>
          <w:b/>
          <w:sz w:val="10"/>
          <w:lang w:val="fr-CH"/>
        </w:rPr>
      </w:pPr>
    </w:p>
    <w:p w:rsidR="00434CC1" w:rsidRPr="00A77E4C" w:rsidRDefault="00434CC1" w:rsidP="00434CC1">
      <w:pPr>
        <w:pStyle w:val="SingleTxt"/>
        <w:spacing w:after="0" w:line="120" w:lineRule="exact"/>
        <w:rPr>
          <w:b/>
          <w:sz w:val="10"/>
          <w:lang w:val="fr-CH"/>
        </w:rPr>
      </w:pPr>
    </w:p>
    <w:p w:rsidR="00434CC1" w:rsidRPr="00A77E4C" w:rsidRDefault="00434CC1" w:rsidP="00434CC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77E4C">
        <w:rPr>
          <w:lang w:val="fr-CH"/>
        </w:rPr>
        <w:tab/>
      </w:r>
      <w:r w:rsidRPr="00A77E4C">
        <w:rPr>
          <w:lang w:val="fr-CH"/>
        </w:rPr>
        <w:tab/>
        <w:t>Communication de l’expert des Pays-Bas</w:t>
      </w:r>
      <w:r w:rsidRPr="00A77E4C">
        <w:rPr>
          <w:rStyle w:val="FootnoteReference"/>
          <w:b w:val="0"/>
          <w:bCs/>
          <w:sz w:val="20"/>
          <w:szCs w:val="20"/>
          <w:vertAlign w:val="baseline"/>
          <w:lang w:val="fr-CH"/>
        </w:rPr>
        <w:footnoteReference w:customMarkFollows="1" w:id="1"/>
        <w:t>*</w:t>
      </w:r>
    </w:p>
    <w:p w:rsidR="00434CC1" w:rsidRPr="00A77E4C" w:rsidRDefault="00434CC1" w:rsidP="00434CC1">
      <w:pPr>
        <w:pStyle w:val="SingleTxt"/>
        <w:spacing w:after="0" w:line="120" w:lineRule="exact"/>
        <w:rPr>
          <w:sz w:val="10"/>
          <w:lang w:val="fr-CH"/>
        </w:rPr>
      </w:pPr>
    </w:p>
    <w:p w:rsidR="00434CC1" w:rsidRPr="00A77E4C" w:rsidRDefault="00434CC1" w:rsidP="00434CC1">
      <w:pPr>
        <w:pStyle w:val="SingleTxt"/>
        <w:spacing w:after="0" w:line="120" w:lineRule="exact"/>
        <w:rPr>
          <w:sz w:val="10"/>
          <w:lang w:val="fr-CH"/>
        </w:rPr>
      </w:pPr>
    </w:p>
    <w:p w:rsidR="00434CC1" w:rsidRPr="00A77E4C" w:rsidRDefault="00434CC1" w:rsidP="00434CC1">
      <w:pPr>
        <w:pStyle w:val="SingleTxt"/>
        <w:rPr>
          <w:lang w:val="fr-CH"/>
        </w:rPr>
      </w:pPr>
      <w:r w:rsidRPr="00A77E4C">
        <w:rPr>
          <w:lang w:val="fr-CH"/>
        </w:rPr>
        <w:tab/>
        <w:t>Le texte ci-après, établi par l’expert des Pays-Bas, vise à mieux préciser les dispositions concernant la hauteur de l’ancrage supérieur effectif de la ceinture introduites par le complément 4 à la série 07 d’amendements au Règlement ONU n</w:t>
      </w:r>
      <w:r w:rsidRPr="00A77E4C">
        <w:rPr>
          <w:vertAlign w:val="superscript"/>
          <w:lang w:val="fr-CH"/>
        </w:rPr>
        <w:t>o</w:t>
      </w:r>
      <w:r w:rsidRPr="00A77E4C">
        <w:rPr>
          <w:lang w:val="fr-CH"/>
        </w:rPr>
        <w:t> 14. Il est fondé sur le document ECE/TRANS/WP.29/GRSP/2015/10 distribué à la cinquantième-septième session du Groupe de travail de la sécurité passive (GRSP). Les modifications qu’il est proposé d’apporter au texte existant des Règlements ONU n</w:t>
      </w:r>
      <w:r w:rsidRPr="00A77E4C">
        <w:rPr>
          <w:vertAlign w:val="superscript"/>
          <w:lang w:val="fr-CH"/>
        </w:rPr>
        <w:t>os</w:t>
      </w:r>
      <w:r w:rsidRPr="00A77E4C">
        <w:rPr>
          <w:lang w:val="fr-CH"/>
        </w:rPr>
        <w:t> 14 et 16 sont indiquées en caractères gras pour le texte nouveau ou biffés pour le texte supprimé.</w:t>
      </w:r>
    </w:p>
    <w:p w:rsidR="00434CC1" w:rsidRPr="00A77E4C" w:rsidRDefault="00434CC1" w:rsidP="00434CC1">
      <w:pPr>
        <w:pStyle w:val="SingleTxt"/>
        <w:rPr>
          <w:b/>
          <w:lang w:val="fr-CH"/>
        </w:rPr>
      </w:pPr>
      <w:r w:rsidRPr="00A77E4C">
        <w:rPr>
          <w:lang w:val="fr-CH"/>
        </w:rPr>
        <w:br w:type="page"/>
      </w:r>
    </w:p>
    <w:p w:rsidR="00434CC1" w:rsidRPr="00A77E4C" w:rsidRDefault="00434CC1" w:rsidP="00434CC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77E4C">
        <w:rPr>
          <w:lang w:val="fr-CH"/>
        </w:rPr>
        <w:lastRenderedPageBreak/>
        <w:tab/>
        <w:t>I.</w:t>
      </w:r>
      <w:r w:rsidRPr="00A77E4C">
        <w:rPr>
          <w:lang w:val="fr-CH"/>
        </w:rPr>
        <w:tab/>
        <w:t xml:space="preserve">Proposition de complément 7 à la série 06 </w:t>
      </w:r>
      <w:r w:rsidRPr="00A77E4C">
        <w:rPr>
          <w:lang w:val="fr-CH"/>
        </w:rPr>
        <w:br/>
        <w:t>d’amendements au Règlement n</w:t>
      </w:r>
      <w:r w:rsidRPr="00A77E4C">
        <w:rPr>
          <w:vertAlign w:val="superscript"/>
          <w:lang w:val="fr-CH"/>
        </w:rPr>
        <w:t>o</w:t>
      </w:r>
      <w:r w:rsidRPr="00A77E4C">
        <w:rPr>
          <w:lang w:val="fr-CH"/>
        </w:rPr>
        <w:t xml:space="preserve"> 14 </w:t>
      </w:r>
      <w:r w:rsidRPr="00A77E4C">
        <w:rPr>
          <w:lang w:val="fr-CH"/>
        </w:rPr>
        <w:br/>
        <w:t>(Ancrages des ceintures de sécurité)</w:t>
      </w:r>
    </w:p>
    <w:p w:rsidR="00434CC1" w:rsidRPr="00A77E4C" w:rsidRDefault="00434CC1" w:rsidP="00434CC1">
      <w:pPr>
        <w:pStyle w:val="SingleTxt"/>
        <w:spacing w:after="0" w:line="120" w:lineRule="exact"/>
        <w:rPr>
          <w:i/>
          <w:sz w:val="10"/>
          <w:lang w:val="fr-CH"/>
        </w:rPr>
      </w:pPr>
    </w:p>
    <w:p w:rsidR="00434CC1" w:rsidRPr="00A77E4C" w:rsidRDefault="00434CC1" w:rsidP="00434CC1">
      <w:pPr>
        <w:pStyle w:val="SingleTxt"/>
        <w:spacing w:after="0" w:line="120" w:lineRule="exact"/>
        <w:rPr>
          <w:i/>
          <w:sz w:val="10"/>
          <w:lang w:val="fr-CH"/>
        </w:rPr>
      </w:pPr>
    </w:p>
    <w:p w:rsidR="00434CC1" w:rsidRPr="00A77E4C" w:rsidRDefault="00434CC1" w:rsidP="00434CC1">
      <w:pPr>
        <w:pStyle w:val="SingleTxt"/>
        <w:rPr>
          <w:lang w:val="fr-CH"/>
        </w:rPr>
      </w:pPr>
      <w:r w:rsidRPr="00A77E4C">
        <w:rPr>
          <w:i/>
          <w:lang w:val="fr-CH"/>
        </w:rPr>
        <w:t>Paragraphe 5.4.3.6.1</w:t>
      </w:r>
      <w:r w:rsidRPr="00A77E4C">
        <w:rPr>
          <w:lang w:val="fr-CH"/>
        </w:rPr>
        <w:t>, lire :</w:t>
      </w:r>
    </w:p>
    <w:p w:rsidR="00434CC1" w:rsidRPr="00A77E4C" w:rsidRDefault="00434CC1" w:rsidP="00434CC1">
      <w:pPr>
        <w:pStyle w:val="SingleTxt"/>
        <w:rPr>
          <w:lang w:val="fr-CH"/>
        </w:rPr>
      </w:pPr>
      <w:r w:rsidRPr="00A77E4C">
        <w:rPr>
          <w:lang w:val="fr-CH"/>
        </w:rPr>
        <w:t>« 5.4.3.6.1</w:t>
      </w:r>
      <w:r w:rsidRPr="00A77E4C">
        <w:rPr>
          <w:lang w:val="fr-CH"/>
        </w:rPr>
        <w:tab/>
      </w:r>
      <w:r w:rsidRPr="00A77E4C">
        <w:rPr>
          <w:lang w:val="fr-CH"/>
        </w:rPr>
        <w:tab/>
        <w:t>Nonobstant ... suivantes :</w:t>
      </w:r>
    </w:p>
    <w:p w:rsidR="00434CC1" w:rsidRPr="00A77E4C" w:rsidRDefault="00434CC1" w:rsidP="00434CC1">
      <w:pPr>
        <w:pStyle w:val="SingleTxt"/>
        <w:ind w:left="3182" w:hanging="914"/>
        <w:rPr>
          <w:b/>
          <w:lang w:val="fr-CH"/>
        </w:rPr>
      </w:pPr>
      <w:r w:rsidRPr="00A77E4C">
        <w:rPr>
          <w:lang w:val="fr-CH"/>
        </w:rPr>
        <w:tab/>
        <w:t>a)</w:t>
      </w:r>
      <w:r w:rsidRPr="00A77E4C">
        <w:rPr>
          <w:lang w:val="fr-CH"/>
        </w:rPr>
        <w:tab/>
        <w:t xml:space="preserve">La ceinture de sécurité ou le siège doit être marqué(e) de façon permanente afin d’indiquer la position de l’ancrage supérieur effectif de la ceinture qui satisfait aux prescriptions du paragraphe 5.4.3.6 relatives à la hauteur minimale de cet ancrage. Cette marque doit indiquer clairement à l’utilisateur la hauteur à partir de laquelle la position de l’ancrage est adaptée à une utilisation par un adulte de taille moyenne. </w:t>
      </w:r>
      <w:r w:rsidRPr="00A77E4C">
        <w:rPr>
          <w:b/>
          <w:lang w:val="fr-CH"/>
        </w:rPr>
        <w:t xml:space="preserve">La ceinture de sécurité ou le siège doit aussi porter un marquage permanent pour avertir que cette ceinture ne doit pas être utilisée pour un enfant de moins de 3 ans. Le marquage doit se présenter comme suit : </w:t>
      </w:r>
    </w:p>
    <w:p w:rsidR="00204774" w:rsidRPr="00A77E4C" w:rsidRDefault="00434CC1" w:rsidP="00434CC1">
      <w:pPr>
        <w:pStyle w:val="SingleTxt"/>
        <w:spacing w:after="0" w:line="240" w:lineRule="auto"/>
        <w:rPr>
          <w:lang w:val="fr-CH"/>
        </w:rPr>
      </w:pPr>
      <w:r w:rsidRPr="00A77E4C">
        <w:rPr>
          <w:lang w:val="fr-CH"/>
        </w:rPr>
        <w:tab/>
      </w:r>
      <w:r w:rsidRPr="00A77E4C">
        <w:rPr>
          <w:lang w:val="fr-CH"/>
        </w:rPr>
        <w:tab/>
      </w:r>
      <w:r w:rsidRPr="00A77E4C">
        <w:rPr>
          <w:lang w:val="fr-CH"/>
        </w:rPr>
        <w:tab/>
      </w:r>
      <w:r w:rsidRPr="00A77E4C">
        <w:rPr>
          <w:lang w:val="fr-CH"/>
        </w:rPr>
        <w:tab/>
      </w:r>
      <w:r w:rsidRPr="00A77E4C">
        <w:rPr>
          <w:noProof/>
          <w:lang w:val="en-GB" w:eastAsia="en-GB"/>
        </w:rPr>
        <w:drawing>
          <wp:inline distT="0" distB="0" distL="0" distR="0" wp14:anchorId="1E112555" wp14:editId="12D1E182">
            <wp:extent cx="1038225" cy="962025"/>
            <wp:effectExtent l="0" t="0" r="9525" b="9525"/>
            <wp:docPr id="4" name="Image 3" descr="niet kind 0-3 -2"/>
            <wp:cNvGraphicFramePr/>
            <a:graphic xmlns:a="http://schemas.openxmlformats.org/drawingml/2006/main">
              <a:graphicData uri="http://schemas.openxmlformats.org/drawingml/2006/picture">
                <pic:pic xmlns:pic="http://schemas.openxmlformats.org/drawingml/2006/picture">
                  <pic:nvPicPr>
                    <pic:cNvPr id="3" name="Image 3" descr="niet kind 0-3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p w:rsidR="00434CC1" w:rsidRPr="00A77E4C" w:rsidRDefault="00434CC1" w:rsidP="00434CC1">
      <w:pPr>
        <w:pStyle w:val="SingleTxt"/>
        <w:spacing w:after="0" w:line="120" w:lineRule="exact"/>
        <w:rPr>
          <w:sz w:val="10"/>
          <w:lang w:val="fr-CH"/>
        </w:rPr>
      </w:pPr>
    </w:p>
    <w:p w:rsidR="00434CC1" w:rsidRPr="00A77E4C" w:rsidRDefault="00434CC1" w:rsidP="00434CC1">
      <w:pPr>
        <w:pStyle w:val="SingleTxt"/>
        <w:spacing w:after="0" w:line="120" w:lineRule="exact"/>
        <w:rPr>
          <w:sz w:val="10"/>
          <w:lang w:val="fr-CH"/>
        </w:rPr>
      </w:pPr>
    </w:p>
    <w:p w:rsidR="00434CC1" w:rsidRPr="00A77E4C" w:rsidRDefault="00434CC1" w:rsidP="00434CC1">
      <w:pPr>
        <w:pStyle w:val="SingleTxt"/>
        <w:rPr>
          <w:lang w:val="fr-CH"/>
        </w:rPr>
      </w:pPr>
      <w:r w:rsidRPr="00A77E4C">
        <w:rPr>
          <w:lang w:val="fr-CH"/>
        </w:rPr>
        <w:tab/>
      </w:r>
      <w:r w:rsidRPr="00A77E4C">
        <w:rPr>
          <w:lang w:val="fr-CH"/>
        </w:rPr>
        <w:tab/>
      </w:r>
      <w:r w:rsidRPr="00A77E4C">
        <w:rPr>
          <w:lang w:val="fr-CH"/>
        </w:rPr>
        <w:tab/>
        <w:t>b)</w:t>
      </w:r>
      <w:r w:rsidRPr="00A77E4C">
        <w:rPr>
          <w:lang w:val="fr-CH"/>
        </w:rPr>
        <w:tab/>
        <w:t>…</w:t>
      </w:r>
    </w:p>
    <w:p w:rsidR="00434CC1" w:rsidRPr="00A77E4C" w:rsidRDefault="00434CC1" w:rsidP="00434CC1">
      <w:pPr>
        <w:pStyle w:val="SingleTxt"/>
        <w:rPr>
          <w:lang w:val="fr-CH"/>
        </w:rPr>
      </w:pPr>
      <w:r w:rsidRPr="00A77E4C">
        <w:rPr>
          <w:lang w:val="fr-CH"/>
        </w:rPr>
        <w:tab/>
      </w:r>
      <w:r w:rsidRPr="00A77E4C">
        <w:rPr>
          <w:lang w:val="fr-CH"/>
        </w:rPr>
        <w:tab/>
      </w:r>
      <w:r w:rsidRPr="00A77E4C">
        <w:rPr>
          <w:lang w:val="fr-CH"/>
        </w:rPr>
        <w:tab/>
        <w:t>d)</w:t>
      </w:r>
      <w:r w:rsidRPr="00A77E4C">
        <w:rPr>
          <w:lang w:val="fr-CH"/>
        </w:rPr>
        <w:tab/>
        <w:t>Le constructeur ... de petite taille.</w:t>
      </w:r>
    </w:p>
    <w:p w:rsidR="00434CC1" w:rsidRPr="00A77E4C" w:rsidRDefault="00434CC1" w:rsidP="00434CC1">
      <w:pPr>
        <w:pStyle w:val="SingleTxt"/>
        <w:ind w:left="2693" w:hanging="1426"/>
        <w:rPr>
          <w:b/>
          <w:lang w:val="fr-CH"/>
        </w:rPr>
      </w:pPr>
      <w:r w:rsidRPr="00A77E4C">
        <w:rPr>
          <w:b/>
          <w:lang w:val="fr-CH"/>
        </w:rPr>
        <w:tab/>
      </w:r>
      <w:r w:rsidRPr="00A77E4C">
        <w:rPr>
          <w:b/>
          <w:lang w:val="fr-CH"/>
        </w:rPr>
        <w:tab/>
      </w:r>
      <w:r w:rsidRPr="00A77E4C">
        <w:rPr>
          <w:b/>
          <w:lang w:val="fr-CH"/>
        </w:rPr>
        <w:tab/>
        <w:t>Cependant, si le dispositif de réglage de la hauteur n’est pas fixé directement à la structure du véhicule ou à la structure du siège, mais consiste en un dispositif souple d’adaptation en hauteur de la ceinture :</w:t>
      </w:r>
    </w:p>
    <w:p w:rsidR="00434CC1" w:rsidRPr="00A77E4C" w:rsidRDefault="00434CC1" w:rsidP="00434CC1">
      <w:pPr>
        <w:pStyle w:val="SingleTxt"/>
        <w:ind w:left="3182" w:hanging="1915"/>
        <w:rPr>
          <w:b/>
          <w:lang w:val="fr-CH"/>
        </w:rPr>
      </w:pPr>
      <w:r w:rsidRPr="00A77E4C">
        <w:rPr>
          <w:b/>
          <w:lang w:val="fr-CH"/>
        </w:rPr>
        <w:tab/>
      </w:r>
      <w:r w:rsidRPr="00A77E4C">
        <w:rPr>
          <w:b/>
          <w:lang w:val="fr-CH"/>
        </w:rPr>
        <w:tab/>
      </w:r>
      <w:r w:rsidRPr="00A77E4C">
        <w:rPr>
          <w:b/>
          <w:lang w:val="fr-CH"/>
        </w:rPr>
        <w:tab/>
        <w:t>e)</w:t>
      </w:r>
      <w:r w:rsidRPr="00A77E4C">
        <w:rPr>
          <w:b/>
          <w:lang w:val="fr-CH"/>
        </w:rPr>
        <w:tab/>
        <w:t>Les prescriptions des alinéas a) et d) ci-dessus demeurent applicables dans le cadre d’une homologation de type en application du Règlement n</w:t>
      </w:r>
      <w:r w:rsidRPr="00A77E4C">
        <w:rPr>
          <w:b/>
          <w:vertAlign w:val="superscript"/>
          <w:lang w:val="fr-CH"/>
        </w:rPr>
        <w:t>o</w:t>
      </w:r>
      <w:r w:rsidRPr="00A77E4C">
        <w:rPr>
          <w:b/>
          <w:lang w:val="fr-CH"/>
        </w:rPr>
        <w:t xml:space="preserve"> 14 avec utilisation du dispositif de retenue qu’il est prévu d’installer. </w:t>
      </w:r>
    </w:p>
    <w:p w:rsidR="00434CC1" w:rsidRPr="00A77E4C" w:rsidRDefault="00434CC1" w:rsidP="00434CC1">
      <w:pPr>
        <w:pStyle w:val="SingleTxt"/>
        <w:ind w:left="3182" w:hanging="1915"/>
        <w:rPr>
          <w:lang w:val="fr-CH"/>
        </w:rPr>
      </w:pPr>
      <w:r w:rsidRPr="00A77E4C">
        <w:rPr>
          <w:b/>
          <w:lang w:val="fr-CH"/>
        </w:rPr>
        <w:tab/>
      </w:r>
      <w:r w:rsidRPr="00A77E4C">
        <w:rPr>
          <w:b/>
          <w:lang w:val="fr-CH"/>
        </w:rPr>
        <w:tab/>
      </w:r>
      <w:r w:rsidRPr="00A77E4C">
        <w:rPr>
          <w:b/>
          <w:lang w:val="fr-CH"/>
        </w:rPr>
        <w:tab/>
        <w:t>f)</w:t>
      </w:r>
      <w:r w:rsidRPr="00A77E4C">
        <w:rPr>
          <w:b/>
          <w:lang w:val="fr-CH"/>
        </w:rPr>
        <w:tab/>
        <w:t>Il doit être démontré que la ceinture de sécurité, associée à son dispositif souple d’adaptation en hauteur, satisfait aux prescriptions du Règlement n</w:t>
      </w:r>
      <w:r w:rsidRPr="00A77E4C">
        <w:rPr>
          <w:b/>
          <w:vertAlign w:val="superscript"/>
          <w:lang w:val="fr-CH"/>
        </w:rPr>
        <w:t>o</w:t>
      </w:r>
      <w:r w:rsidRPr="00A77E4C">
        <w:rPr>
          <w:b/>
          <w:lang w:val="fr-CH"/>
        </w:rPr>
        <w:t> 16 applicables aux systèmes de retenue; les prescriptions des alinéas b) et c) doivent être respectées au titre du paragraphe 8.3 dans le cadre d’une homologation de type en application du Règlement n</w:t>
      </w:r>
      <w:r w:rsidRPr="00A77E4C">
        <w:rPr>
          <w:b/>
          <w:vertAlign w:val="superscript"/>
          <w:lang w:val="fr-CH"/>
        </w:rPr>
        <w:t>o</w:t>
      </w:r>
      <w:r w:rsidRPr="00A77E4C">
        <w:rPr>
          <w:b/>
          <w:lang w:val="fr-CH"/>
        </w:rPr>
        <w:t> 16.</w:t>
      </w:r>
      <w:r w:rsidRPr="00A77E4C">
        <w:rPr>
          <w:bCs/>
          <w:lang w:val="fr-CH"/>
        </w:rPr>
        <w:t> ».</w:t>
      </w:r>
    </w:p>
    <w:p w:rsidR="00434CC1" w:rsidRPr="00A77E4C" w:rsidRDefault="00434CC1" w:rsidP="00434CC1">
      <w:pPr>
        <w:pStyle w:val="SingleTxt"/>
        <w:spacing w:after="0" w:line="120" w:lineRule="exact"/>
        <w:rPr>
          <w:b/>
          <w:sz w:val="10"/>
          <w:lang w:val="fr-CH"/>
        </w:rPr>
      </w:pPr>
    </w:p>
    <w:p w:rsidR="00434CC1" w:rsidRPr="00A77E4C" w:rsidRDefault="00434CC1" w:rsidP="00434CC1">
      <w:pPr>
        <w:pStyle w:val="SingleTxt"/>
        <w:spacing w:after="0" w:line="120" w:lineRule="exact"/>
        <w:rPr>
          <w:b/>
          <w:sz w:val="10"/>
          <w:lang w:val="fr-CH"/>
        </w:rPr>
      </w:pPr>
    </w:p>
    <w:p w:rsidR="00434CC1" w:rsidRPr="00A77E4C" w:rsidRDefault="00434CC1" w:rsidP="00434CC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77E4C">
        <w:rPr>
          <w:lang w:val="fr-CH"/>
        </w:rPr>
        <w:tab/>
        <w:t>II.</w:t>
      </w:r>
      <w:r w:rsidRPr="00A77E4C">
        <w:rPr>
          <w:lang w:val="fr-CH"/>
        </w:rPr>
        <w:tab/>
        <w:t xml:space="preserve">Proposition de complément 7 à la série 06 </w:t>
      </w:r>
      <w:r w:rsidRPr="00A77E4C">
        <w:rPr>
          <w:lang w:val="fr-CH"/>
        </w:rPr>
        <w:br/>
        <w:t>d’amendements au Règlement n</w:t>
      </w:r>
      <w:r w:rsidRPr="00A77E4C">
        <w:rPr>
          <w:vertAlign w:val="superscript"/>
          <w:lang w:val="fr-CH"/>
        </w:rPr>
        <w:t>o</w:t>
      </w:r>
      <w:r w:rsidRPr="00A77E4C">
        <w:rPr>
          <w:lang w:val="fr-CH"/>
        </w:rPr>
        <w:t xml:space="preserve"> 16 </w:t>
      </w:r>
      <w:r w:rsidRPr="00A77E4C">
        <w:rPr>
          <w:lang w:val="fr-CH"/>
        </w:rPr>
        <w:br/>
        <w:t>(Ceintures de sécurité)</w:t>
      </w:r>
    </w:p>
    <w:p w:rsidR="00434CC1" w:rsidRPr="00A77E4C" w:rsidRDefault="00434CC1" w:rsidP="00A77E4C">
      <w:pPr>
        <w:pStyle w:val="SingleTxt"/>
        <w:spacing w:after="0" w:line="120" w:lineRule="exact"/>
        <w:rPr>
          <w:i/>
          <w:sz w:val="10"/>
          <w:lang w:val="fr-CH"/>
        </w:rPr>
      </w:pPr>
    </w:p>
    <w:p w:rsidR="00434CC1" w:rsidRPr="00A77E4C" w:rsidRDefault="00434CC1" w:rsidP="00A77E4C">
      <w:pPr>
        <w:pStyle w:val="SingleTxt"/>
        <w:spacing w:after="0" w:line="120" w:lineRule="exact"/>
        <w:rPr>
          <w:i/>
          <w:sz w:val="10"/>
          <w:lang w:val="fr-CH"/>
        </w:rPr>
      </w:pPr>
    </w:p>
    <w:p w:rsidR="00434CC1" w:rsidRPr="00A77E4C" w:rsidRDefault="00434CC1" w:rsidP="00A77E4C">
      <w:pPr>
        <w:pStyle w:val="SingleTxt"/>
        <w:rPr>
          <w:lang w:val="fr-CH"/>
        </w:rPr>
      </w:pPr>
      <w:r w:rsidRPr="00A77E4C">
        <w:rPr>
          <w:i/>
          <w:lang w:val="fr-CH"/>
        </w:rPr>
        <w:t>Paragraphe 2.14.6</w:t>
      </w:r>
      <w:r w:rsidRPr="00A77E4C">
        <w:rPr>
          <w:lang w:val="fr-CH"/>
        </w:rPr>
        <w:t>, lire :</w:t>
      </w:r>
    </w:p>
    <w:p w:rsidR="00434CC1" w:rsidRPr="00A77E4C" w:rsidRDefault="00434CC1" w:rsidP="00A77E4C">
      <w:pPr>
        <w:pStyle w:val="SingleTxt"/>
        <w:rPr>
          <w:lang w:val="fr-CH"/>
        </w:rPr>
      </w:pPr>
      <w:r w:rsidRPr="00A77E4C">
        <w:rPr>
          <w:lang w:val="fr-CH"/>
        </w:rPr>
        <w:t>« 2.14.6</w:t>
      </w:r>
      <w:r w:rsidRPr="00A77E4C">
        <w:rPr>
          <w:lang w:val="fr-CH"/>
        </w:rPr>
        <w:tab/>
      </w:r>
      <w:r w:rsidRPr="00A77E4C">
        <w:rPr>
          <w:lang w:val="fr-CH"/>
        </w:rPr>
        <w:tab/>
        <w:t>Dispositif d’adaptation en hauteur de la ceinture</w:t>
      </w:r>
    </w:p>
    <w:p w:rsidR="00434CC1" w:rsidRPr="00A77E4C" w:rsidRDefault="00434CC1" w:rsidP="00434CC1">
      <w:pPr>
        <w:pStyle w:val="SingleTxt"/>
        <w:ind w:left="2693" w:hanging="1426"/>
        <w:rPr>
          <w:lang w:val="fr-CH"/>
        </w:rPr>
      </w:pPr>
      <w:r w:rsidRPr="00A77E4C">
        <w:rPr>
          <w:lang w:val="fr-CH"/>
        </w:rPr>
        <w:lastRenderedPageBreak/>
        <w:tab/>
      </w:r>
      <w:r w:rsidRPr="00A77E4C">
        <w:rPr>
          <w:lang w:val="fr-CH"/>
        </w:rPr>
        <w:tab/>
      </w:r>
      <w:r w:rsidRPr="00A77E4C">
        <w:rPr>
          <w:lang w:val="fr-CH"/>
        </w:rPr>
        <w:tab/>
        <w:t xml:space="preserve">Dispositif permettant de régler la position en hauteur du renvoi supérieur de la ceinture </w:t>
      </w:r>
      <w:r w:rsidRPr="00A77E4C">
        <w:rPr>
          <w:b/>
          <w:lang w:val="fr-CH"/>
        </w:rPr>
        <w:t>(directement fixé sur le véhicule ou sur l’armature rigide du siège)</w:t>
      </w:r>
      <w:r w:rsidRPr="00A77E4C">
        <w:rPr>
          <w:lang w:val="fr-CH"/>
        </w:rPr>
        <w:t xml:space="preserve"> selon les besoins de l’utilisateur individuel et la position du siège. Un tel dispositif peut être considéré comme partie de la ceinture ou partie de l’ancrage de la ceinture. ».</w:t>
      </w:r>
    </w:p>
    <w:p w:rsidR="00434CC1" w:rsidRPr="00A77E4C" w:rsidRDefault="00434CC1" w:rsidP="00434CC1">
      <w:pPr>
        <w:pStyle w:val="SingleTxt"/>
        <w:rPr>
          <w:lang w:val="fr-CH"/>
        </w:rPr>
      </w:pPr>
      <w:r w:rsidRPr="00A77E4C">
        <w:rPr>
          <w:i/>
          <w:lang w:val="fr-CH"/>
        </w:rPr>
        <w:t>Ajouter un nouveau paragraphe 2.14.7</w:t>
      </w:r>
      <w:r w:rsidRPr="00A77E4C">
        <w:rPr>
          <w:lang w:val="fr-CH"/>
        </w:rPr>
        <w:t>,</w:t>
      </w:r>
      <w:r w:rsidRPr="00A77E4C">
        <w:rPr>
          <w:i/>
          <w:lang w:val="fr-CH"/>
        </w:rPr>
        <w:t xml:space="preserve"> </w:t>
      </w:r>
      <w:r w:rsidRPr="00A77E4C">
        <w:rPr>
          <w:lang w:val="fr-CH"/>
        </w:rPr>
        <w:t>comme suit :</w:t>
      </w:r>
    </w:p>
    <w:p w:rsidR="00434CC1" w:rsidRPr="00A77E4C" w:rsidRDefault="00434CC1" w:rsidP="00434CC1">
      <w:pPr>
        <w:pStyle w:val="SingleTxt"/>
        <w:rPr>
          <w:b/>
          <w:lang w:val="fr-CH"/>
        </w:rPr>
      </w:pPr>
      <w:r w:rsidRPr="00A77E4C">
        <w:rPr>
          <w:lang w:val="fr-CH"/>
        </w:rPr>
        <w:t>« </w:t>
      </w:r>
      <w:r w:rsidRPr="00A77E4C">
        <w:rPr>
          <w:b/>
          <w:lang w:val="fr-CH"/>
        </w:rPr>
        <w:t>2.14.7</w:t>
      </w:r>
      <w:r w:rsidRPr="00A77E4C">
        <w:rPr>
          <w:b/>
          <w:lang w:val="fr-CH"/>
        </w:rPr>
        <w:tab/>
      </w:r>
      <w:r w:rsidRPr="00A77E4C">
        <w:rPr>
          <w:b/>
          <w:lang w:val="fr-CH"/>
        </w:rPr>
        <w:tab/>
        <w:t>“Dispositif souple d’adaptation en hauteur de la ceinture”</w:t>
      </w:r>
    </w:p>
    <w:p w:rsidR="00434CC1" w:rsidRPr="00A77E4C" w:rsidRDefault="00434CC1" w:rsidP="009A394C">
      <w:pPr>
        <w:pStyle w:val="SingleTxt"/>
        <w:ind w:left="2693" w:hanging="1426"/>
        <w:rPr>
          <w:b/>
          <w:lang w:val="fr-CH"/>
        </w:rPr>
      </w:pPr>
      <w:r w:rsidRPr="00A77E4C">
        <w:rPr>
          <w:b/>
          <w:lang w:val="fr-CH"/>
        </w:rPr>
        <w:tab/>
      </w:r>
      <w:r w:rsidRPr="00A77E4C">
        <w:rPr>
          <w:b/>
          <w:lang w:val="fr-CH"/>
        </w:rPr>
        <w:tab/>
      </w:r>
      <w:r w:rsidRPr="00A77E4C">
        <w:rPr>
          <w:b/>
          <w:lang w:val="fr-CH"/>
        </w:rPr>
        <w:tab/>
        <w:t>Dispositif permettant de régler la hauteur de la ceinture en fonction de la taille de l’utilisateur, dont la pièce de réglage n’est pas directement fixée sur la structure du véhicule (par exemple, le montant) ou sur la structure du siège (par exemple, l’armature rigide du siège)</w:t>
      </w:r>
      <w:r w:rsidR="009A394C" w:rsidRPr="00A77E4C">
        <w:rPr>
          <w:b/>
          <w:lang w:val="fr-CH"/>
        </w:rPr>
        <w:t>,</w:t>
      </w:r>
      <w:r w:rsidRPr="00A77E4C">
        <w:rPr>
          <w:b/>
          <w:lang w:val="fr-CH"/>
        </w:rPr>
        <w:t xml:space="preserve"> mais avec lequel le réglage s’effectue au moyen d’un système souple (ceinture/ceinture) sur lequel s’exercent les forces de réglage, situé au-dessus de l’épaule pour laquelle le rég</w:t>
      </w:r>
      <w:r w:rsidR="009A394C" w:rsidRPr="00A77E4C">
        <w:rPr>
          <w:b/>
          <w:lang w:val="fr-CH"/>
        </w:rPr>
        <w:t>lage en hauteur est nécessaire.</w:t>
      </w:r>
      <w:r w:rsidR="009A394C" w:rsidRPr="00A77E4C">
        <w:rPr>
          <w:bCs/>
          <w:lang w:val="fr-CH"/>
        </w:rPr>
        <w:t> ».</w:t>
      </w:r>
    </w:p>
    <w:p w:rsidR="00434CC1" w:rsidRPr="00A77E4C" w:rsidRDefault="00434CC1" w:rsidP="009A394C">
      <w:pPr>
        <w:pStyle w:val="SingleTxt"/>
        <w:rPr>
          <w:lang w:val="fr-CH"/>
        </w:rPr>
      </w:pPr>
      <w:r w:rsidRPr="00A77E4C">
        <w:rPr>
          <w:i/>
          <w:lang w:val="fr-CH"/>
        </w:rPr>
        <w:t>Paragraphe 6.2.3.2</w:t>
      </w:r>
      <w:r w:rsidRPr="00A77E4C">
        <w:rPr>
          <w:lang w:val="fr-CH"/>
        </w:rPr>
        <w:t>, lire</w:t>
      </w:r>
      <w:r w:rsidR="009A394C" w:rsidRPr="00A77E4C">
        <w:rPr>
          <w:lang w:val="fr-CH"/>
        </w:rPr>
        <w:t> </w:t>
      </w:r>
      <w:r w:rsidRPr="00A77E4C">
        <w:rPr>
          <w:lang w:val="fr-CH"/>
        </w:rPr>
        <w:t>:</w:t>
      </w:r>
    </w:p>
    <w:p w:rsidR="00434CC1" w:rsidRPr="00A77E4C" w:rsidRDefault="009A394C" w:rsidP="009A394C">
      <w:pPr>
        <w:pStyle w:val="SingleTxt"/>
        <w:ind w:left="2693" w:hanging="1426"/>
        <w:rPr>
          <w:lang w:val="fr-CH"/>
        </w:rPr>
      </w:pPr>
      <w:r w:rsidRPr="00A77E4C">
        <w:rPr>
          <w:lang w:val="fr-CH"/>
        </w:rPr>
        <w:t>« </w:t>
      </w:r>
      <w:r w:rsidR="00434CC1" w:rsidRPr="00A77E4C">
        <w:rPr>
          <w:lang w:val="fr-CH"/>
        </w:rPr>
        <w:t>6.2.3.2</w:t>
      </w:r>
      <w:r w:rsidRPr="00A77E4C">
        <w:rPr>
          <w:lang w:val="fr-CH"/>
        </w:rPr>
        <w:tab/>
      </w:r>
      <w:r w:rsidR="00434CC1" w:rsidRPr="00A77E4C">
        <w:rPr>
          <w:lang w:val="fr-CH"/>
        </w:rPr>
        <w:tab/>
        <w:t xml:space="preserve">Deux échantillons de chaque dispositif de réglage de la ceinture </w:t>
      </w:r>
      <w:r w:rsidR="00434CC1" w:rsidRPr="00A77E4C">
        <w:rPr>
          <w:b/>
          <w:lang w:val="fr-CH"/>
        </w:rPr>
        <w:t xml:space="preserve">et également de chaque dispositif souple d’adaptation en hauteur </w:t>
      </w:r>
      <w:r w:rsidR="00434CC1" w:rsidRPr="00A77E4C">
        <w:rPr>
          <w:lang w:val="fr-CH"/>
        </w:rPr>
        <w:t>doivent être</w:t>
      </w:r>
      <w:r w:rsidR="00434CC1" w:rsidRPr="00A77E4C">
        <w:rPr>
          <w:b/>
          <w:lang w:val="fr-CH"/>
        </w:rPr>
        <w:t xml:space="preserve"> </w:t>
      </w:r>
      <w:r w:rsidR="00434CC1" w:rsidRPr="00A77E4C">
        <w:rPr>
          <w:lang w:val="fr-CH"/>
        </w:rPr>
        <w:t>soumis aux</w:t>
      </w:r>
      <w:r w:rsidRPr="00A77E4C">
        <w:rPr>
          <w:lang w:val="fr-CH"/>
        </w:rPr>
        <w:t xml:space="preserve"> essais prescrits au paragraphe </w:t>
      </w:r>
      <w:r w:rsidR="00434CC1" w:rsidRPr="00A77E4C">
        <w:rPr>
          <w:lang w:val="fr-CH"/>
        </w:rPr>
        <w:t>7.3 ci-dessous. Le glissement de la</w:t>
      </w:r>
      <w:r w:rsidRPr="00A77E4C">
        <w:rPr>
          <w:lang w:val="fr-CH"/>
        </w:rPr>
        <w:t xml:space="preserve"> sangle ne doit pas dépasser 25 </w:t>
      </w:r>
      <w:r w:rsidR="00434CC1" w:rsidRPr="00A77E4C">
        <w:rPr>
          <w:lang w:val="fr-CH"/>
        </w:rPr>
        <w:t>mm pour chaque échantillon, et la somme des glissements pour tous les dispositifs de régl</w:t>
      </w:r>
      <w:r w:rsidRPr="00A77E4C">
        <w:rPr>
          <w:lang w:val="fr-CH"/>
        </w:rPr>
        <w:t>age ne doit pas dépasser 40 mm. ».</w:t>
      </w:r>
    </w:p>
    <w:p w:rsidR="00434CC1" w:rsidRPr="00A77E4C" w:rsidRDefault="00434CC1" w:rsidP="009A394C">
      <w:pPr>
        <w:pStyle w:val="SingleTxt"/>
        <w:rPr>
          <w:lang w:val="fr-CH"/>
        </w:rPr>
      </w:pPr>
      <w:r w:rsidRPr="00A77E4C">
        <w:rPr>
          <w:i/>
          <w:lang w:val="fr-CH"/>
        </w:rPr>
        <w:t>Paragraphe 6.4.1.2.3</w:t>
      </w:r>
      <w:r w:rsidRPr="00A77E4C">
        <w:rPr>
          <w:lang w:val="fr-CH"/>
        </w:rPr>
        <w:t>, lire</w:t>
      </w:r>
      <w:r w:rsidR="009A394C" w:rsidRPr="00A77E4C">
        <w:rPr>
          <w:lang w:val="fr-CH"/>
        </w:rPr>
        <w:t> </w:t>
      </w:r>
      <w:r w:rsidRPr="00A77E4C">
        <w:rPr>
          <w:lang w:val="fr-CH"/>
        </w:rPr>
        <w:t>:</w:t>
      </w:r>
    </w:p>
    <w:p w:rsidR="00434CC1" w:rsidRPr="00A77E4C" w:rsidRDefault="009A394C" w:rsidP="009A394C">
      <w:pPr>
        <w:pStyle w:val="SingleTxt"/>
        <w:ind w:left="2693" w:hanging="1426"/>
        <w:rPr>
          <w:lang w:val="fr-CH"/>
        </w:rPr>
      </w:pPr>
      <w:r w:rsidRPr="00A77E4C">
        <w:rPr>
          <w:lang w:val="fr-CH"/>
        </w:rPr>
        <w:t>« </w:t>
      </w:r>
      <w:r w:rsidR="00434CC1" w:rsidRPr="00A77E4C">
        <w:rPr>
          <w:lang w:val="fr-CH"/>
        </w:rPr>
        <w:t>6.4.1.2.3</w:t>
      </w:r>
      <w:r w:rsidRPr="00A77E4C">
        <w:rPr>
          <w:lang w:val="fr-CH"/>
        </w:rPr>
        <w:tab/>
      </w:r>
      <w:r w:rsidR="00434CC1" w:rsidRPr="00A77E4C">
        <w:rPr>
          <w:lang w:val="fr-CH"/>
        </w:rPr>
        <w:tab/>
        <w:t>Dans le cas d’une ceinture destinée à être utilisée avec un dispositif d’adaptation en hauteur tel qu’il est défini au paragraphe 2.14.6 ci-dessus l’essai doit être effectué avec le dispositif réglé dans la ou les positions les plus défavorables choisies par le servi</w:t>
      </w:r>
      <w:r w:rsidRPr="00A77E4C">
        <w:rPr>
          <w:lang w:val="fr-CH"/>
        </w:rPr>
        <w:t>ce technique chargé des essais.</w:t>
      </w:r>
    </w:p>
    <w:p w:rsidR="00434CC1" w:rsidRPr="00A77E4C" w:rsidRDefault="00434CC1" w:rsidP="009A394C">
      <w:pPr>
        <w:pStyle w:val="SingleTxt"/>
        <w:ind w:left="2693" w:hanging="1426"/>
        <w:rPr>
          <w:b/>
          <w:lang w:val="fr-CH"/>
        </w:rPr>
      </w:pPr>
      <w:r w:rsidRPr="00A77E4C">
        <w:rPr>
          <w:lang w:val="fr-CH"/>
        </w:rPr>
        <w:t>6.4.1.2.3.1</w:t>
      </w:r>
      <w:r w:rsidR="009A394C" w:rsidRPr="00A77E4C">
        <w:rPr>
          <w:lang w:val="fr-CH"/>
        </w:rPr>
        <w:tab/>
      </w:r>
      <w:r w:rsidRPr="00A77E4C">
        <w:rPr>
          <w:lang w:val="fr-CH"/>
        </w:rPr>
        <w:tab/>
        <w:t>Toutefois, si le dispositif d’adaptation en hauteur est constitué par l’ancrage lui-même, ainsi que les dispositions du Règlement n</w:t>
      </w:r>
      <w:r w:rsidRPr="00A77E4C">
        <w:rPr>
          <w:vertAlign w:val="superscript"/>
          <w:lang w:val="fr-CH"/>
        </w:rPr>
        <w:t>o</w:t>
      </w:r>
      <w:r w:rsidR="009A394C" w:rsidRPr="00A77E4C">
        <w:rPr>
          <w:lang w:val="fr-CH"/>
        </w:rPr>
        <w:t> </w:t>
      </w:r>
      <w:r w:rsidRPr="00A77E4C">
        <w:rPr>
          <w:lang w:val="fr-CH"/>
        </w:rPr>
        <w:t>14 l’autorisent, le service technique chargé des essais peut, à son gré, appliquer les dispositions du paragraphe 7.7.1 ci-après</w:t>
      </w:r>
      <w:r w:rsidRPr="00A77E4C">
        <w:rPr>
          <w:b/>
          <w:lang w:val="fr-CH"/>
        </w:rPr>
        <w:t>;</w:t>
      </w:r>
      <w:r w:rsidR="009A394C" w:rsidRPr="00A77E4C">
        <w:rPr>
          <w:lang w:val="fr-CH"/>
        </w:rPr>
        <w:t> ».</w:t>
      </w:r>
    </w:p>
    <w:p w:rsidR="00434CC1" w:rsidRPr="00A77E4C" w:rsidRDefault="00434CC1" w:rsidP="009A394C">
      <w:pPr>
        <w:pStyle w:val="SingleTxt"/>
        <w:rPr>
          <w:i/>
          <w:lang w:val="fr-CH"/>
        </w:rPr>
      </w:pPr>
      <w:r w:rsidRPr="00A77E4C">
        <w:rPr>
          <w:i/>
          <w:lang w:val="fr-CH"/>
        </w:rPr>
        <w:t>Ajouter un nouveau paragraphe 6.4.1.2.3.2</w:t>
      </w:r>
      <w:r w:rsidRPr="00A77E4C">
        <w:rPr>
          <w:lang w:val="fr-CH"/>
        </w:rPr>
        <w:t>, comme suit</w:t>
      </w:r>
      <w:r w:rsidR="009A394C" w:rsidRPr="00A77E4C">
        <w:rPr>
          <w:lang w:val="fr-CH"/>
        </w:rPr>
        <w:t> </w:t>
      </w:r>
      <w:r w:rsidRPr="00A77E4C">
        <w:rPr>
          <w:lang w:val="fr-CH"/>
        </w:rPr>
        <w:t>:</w:t>
      </w:r>
    </w:p>
    <w:p w:rsidR="00434CC1" w:rsidRPr="00A77E4C" w:rsidRDefault="009A394C" w:rsidP="009A394C">
      <w:pPr>
        <w:pStyle w:val="SingleTxt"/>
        <w:ind w:left="2693" w:hanging="1426"/>
        <w:rPr>
          <w:spacing w:val="3"/>
          <w:lang w:val="fr-CH"/>
        </w:rPr>
      </w:pPr>
      <w:r w:rsidRPr="00A77E4C">
        <w:rPr>
          <w:lang w:val="fr-CH"/>
        </w:rPr>
        <w:t>« </w:t>
      </w:r>
      <w:r w:rsidR="00434CC1" w:rsidRPr="00A77E4C">
        <w:rPr>
          <w:b/>
          <w:lang w:val="fr-CH"/>
        </w:rPr>
        <w:t>6.4.1.2.3.2</w:t>
      </w:r>
      <w:r w:rsidR="00434CC1" w:rsidRPr="00A77E4C">
        <w:rPr>
          <w:b/>
          <w:lang w:val="fr-CH"/>
        </w:rPr>
        <w:tab/>
      </w:r>
      <w:r w:rsidR="00434CC1" w:rsidRPr="00A77E4C">
        <w:rPr>
          <w:b/>
          <w:spacing w:val="3"/>
          <w:lang w:val="fr-CH"/>
        </w:rPr>
        <w:t>S’il s’agit d’un dispositif souple d’adaptation en hauteur faisant partie de la ceinture, celui-ci doit subir les essais en tant que système de retenue et le service technique chargé des essais doit appliquer les dispositions du paragraphe 7.7.1 qui sont pertinentes pour les essais effectués sur la partie de la structure du véhicule à laquelle le système de retenue est normalement fixé.</w:t>
      </w:r>
      <w:r w:rsidRPr="00A77E4C">
        <w:rPr>
          <w:spacing w:val="3"/>
          <w:lang w:val="fr-CH"/>
        </w:rPr>
        <w:t> ».</w:t>
      </w:r>
    </w:p>
    <w:p w:rsidR="00434CC1" w:rsidRPr="00A77E4C" w:rsidRDefault="00434CC1" w:rsidP="009A394C">
      <w:pPr>
        <w:pStyle w:val="SingleTxt"/>
        <w:keepNext/>
        <w:rPr>
          <w:lang w:val="fr-CH"/>
        </w:rPr>
      </w:pPr>
      <w:r w:rsidRPr="00A77E4C">
        <w:rPr>
          <w:i/>
          <w:lang w:val="fr-CH"/>
        </w:rPr>
        <w:t>Paragraphe 6.4.2.2</w:t>
      </w:r>
      <w:r w:rsidRPr="00A77E4C">
        <w:rPr>
          <w:lang w:val="fr-CH"/>
        </w:rPr>
        <w:t xml:space="preserve">, </w:t>
      </w:r>
      <w:r w:rsidRPr="00A77E4C">
        <w:rPr>
          <w:i/>
          <w:lang w:val="fr-CH"/>
        </w:rPr>
        <w:t>tableau</w:t>
      </w:r>
      <w:r w:rsidRPr="00A77E4C">
        <w:rPr>
          <w:lang w:val="fr-CH"/>
        </w:rPr>
        <w:t>, lire</w:t>
      </w:r>
      <w:r w:rsidR="009A394C" w:rsidRPr="00A77E4C">
        <w:rPr>
          <w:lang w:val="fr-CH"/>
        </w:rPr>
        <w:t> </w:t>
      </w:r>
      <w:r w:rsidRPr="00A77E4C">
        <w:rPr>
          <w:lang w:val="fr-CH"/>
        </w:rPr>
        <w:t>:</w:t>
      </w:r>
    </w:p>
    <w:p w:rsidR="00434CC1" w:rsidRPr="00A77E4C" w:rsidRDefault="009A394C" w:rsidP="009A394C">
      <w:pPr>
        <w:pStyle w:val="SingleTxt"/>
        <w:ind w:left="2218" w:hanging="951"/>
        <w:rPr>
          <w:lang w:val="fr-CH"/>
        </w:rPr>
      </w:pPr>
      <w:r w:rsidRPr="00A77E4C">
        <w:rPr>
          <w:lang w:val="fr-CH"/>
        </w:rPr>
        <w:t>« </w:t>
      </w:r>
      <w:r w:rsidR="00434CC1" w:rsidRPr="00A77E4C">
        <w:rPr>
          <w:lang w:val="fr-CH"/>
        </w:rPr>
        <w:t>6.4.2.2</w:t>
      </w:r>
      <w:r w:rsidRPr="00A77E4C">
        <w:rPr>
          <w:lang w:val="fr-CH"/>
        </w:rPr>
        <w:tab/>
        <w:t>Les parties de la</w:t>
      </w:r>
      <w:r w:rsidR="00434CC1" w:rsidRPr="00A77E4C">
        <w:rPr>
          <w:lang w:val="fr-CH"/>
        </w:rPr>
        <w:t>... Un spécimen neuf est utilisé pour chaque processus.</w:t>
      </w:r>
    </w:p>
    <w:tbl>
      <w:tblPr>
        <w:tblW w:w="7556" w:type="dxa"/>
        <w:tblInd w:w="12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53"/>
        <w:gridCol w:w="1468"/>
        <w:gridCol w:w="1672"/>
        <w:gridCol w:w="1863"/>
      </w:tblGrid>
      <w:tr w:rsidR="00434CC1" w:rsidRPr="00A77E4C" w:rsidTr="009A394C">
        <w:trPr>
          <w:tblHeader/>
        </w:trPr>
        <w:tc>
          <w:tcPr>
            <w:tcW w:w="2553" w:type="dxa"/>
            <w:tcBorders>
              <w:top w:val="single" w:sz="2" w:space="0" w:color="auto"/>
              <w:left w:val="single" w:sz="2" w:space="0" w:color="auto"/>
              <w:bottom w:val="single" w:sz="12" w:space="0" w:color="auto"/>
              <w:right w:val="single" w:sz="2" w:space="0" w:color="auto"/>
            </w:tcBorders>
            <w:vAlign w:val="bottom"/>
          </w:tcPr>
          <w:p w:rsidR="00434CC1" w:rsidRPr="00A77E4C" w:rsidRDefault="00434CC1">
            <w:pPr>
              <w:kinsoku w:val="0"/>
              <w:overflowPunct w:val="0"/>
              <w:autoSpaceDE w:val="0"/>
              <w:autoSpaceDN w:val="0"/>
              <w:adjustRightInd w:val="0"/>
              <w:snapToGrid w:val="0"/>
              <w:spacing w:before="80" w:after="80" w:line="200" w:lineRule="exact"/>
              <w:ind w:left="113" w:right="113"/>
              <w:rPr>
                <w:i/>
                <w:sz w:val="16"/>
                <w:lang w:val="fr-CH"/>
              </w:rPr>
            </w:pPr>
          </w:p>
        </w:tc>
        <w:tc>
          <w:tcPr>
            <w:tcW w:w="1468" w:type="dxa"/>
            <w:tcBorders>
              <w:top w:val="single" w:sz="2" w:space="0" w:color="auto"/>
              <w:left w:val="single" w:sz="2" w:space="0" w:color="auto"/>
              <w:bottom w:val="single" w:sz="12" w:space="0" w:color="auto"/>
              <w:right w:val="single" w:sz="2" w:space="0" w:color="auto"/>
            </w:tcBorders>
            <w:vAlign w:val="bottom"/>
            <w:hideMark/>
          </w:tcPr>
          <w:p w:rsidR="00434CC1" w:rsidRPr="00A77E4C" w:rsidRDefault="00434CC1">
            <w:pPr>
              <w:kinsoku w:val="0"/>
              <w:overflowPunct w:val="0"/>
              <w:autoSpaceDE w:val="0"/>
              <w:autoSpaceDN w:val="0"/>
              <w:adjustRightInd w:val="0"/>
              <w:snapToGrid w:val="0"/>
              <w:spacing w:before="80" w:after="80" w:line="200" w:lineRule="exact"/>
              <w:ind w:left="113" w:right="113"/>
              <w:jc w:val="center"/>
              <w:rPr>
                <w:i/>
                <w:sz w:val="16"/>
                <w:lang w:val="fr-CH"/>
              </w:rPr>
            </w:pPr>
            <w:r w:rsidRPr="00A77E4C">
              <w:rPr>
                <w:i/>
                <w:sz w:val="16"/>
                <w:lang w:val="fr-CH"/>
              </w:rPr>
              <w:t>Procédure 1</w:t>
            </w:r>
          </w:p>
        </w:tc>
        <w:tc>
          <w:tcPr>
            <w:tcW w:w="1672" w:type="dxa"/>
            <w:tcBorders>
              <w:top w:val="single" w:sz="2" w:space="0" w:color="auto"/>
              <w:left w:val="single" w:sz="2" w:space="0" w:color="auto"/>
              <w:bottom w:val="single" w:sz="12" w:space="0" w:color="auto"/>
              <w:right w:val="single" w:sz="2" w:space="0" w:color="auto"/>
            </w:tcBorders>
            <w:vAlign w:val="bottom"/>
            <w:hideMark/>
          </w:tcPr>
          <w:p w:rsidR="00434CC1" w:rsidRPr="00A77E4C" w:rsidRDefault="00434CC1">
            <w:pPr>
              <w:kinsoku w:val="0"/>
              <w:overflowPunct w:val="0"/>
              <w:autoSpaceDE w:val="0"/>
              <w:autoSpaceDN w:val="0"/>
              <w:adjustRightInd w:val="0"/>
              <w:snapToGrid w:val="0"/>
              <w:spacing w:before="80" w:after="80" w:line="200" w:lineRule="exact"/>
              <w:ind w:left="113" w:right="113"/>
              <w:jc w:val="center"/>
              <w:rPr>
                <w:i/>
                <w:sz w:val="16"/>
                <w:lang w:val="fr-CH"/>
              </w:rPr>
            </w:pPr>
            <w:r w:rsidRPr="00A77E4C">
              <w:rPr>
                <w:i/>
                <w:sz w:val="16"/>
                <w:lang w:val="fr-CH"/>
              </w:rPr>
              <w:t>Procédure 2</w:t>
            </w:r>
          </w:p>
        </w:tc>
        <w:tc>
          <w:tcPr>
            <w:tcW w:w="1863" w:type="dxa"/>
            <w:tcBorders>
              <w:top w:val="single" w:sz="2" w:space="0" w:color="auto"/>
              <w:left w:val="single" w:sz="2" w:space="0" w:color="auto"/>
              <w:bottom w:val="single" w:sz="12" w:space="0" w:color="auto"/>
              <w:right w:val="single" w:sz="2" w:space="0" w:color="auto"/>
            </w:tcBorders>
            <w:vAlign w:val="bottom"/>
            <w:hideMark/>
          </w:tcPr>
          <w:p w:rsidR="00434CC1" w:rsidRPr="00A77E4C" w:rsidRDefault="00434CC1">
            <w:pPr>
              <w:kinsoku w:val="0"/>
              <w:overflowPunct w:val="0"/>
              <w:autoSpaceDE w:val="0"/>
              <w:autoSpaceDN w:val="0"/>
              <w:adjustRightInd w:val="0"/>
              <w:snapToGrid w:val="0"/>
              <w:spacing w:before="80" w:after="80" w:line="200" w:lineRule="exact"/>
              <w:ind w:left="113" w:right="113"/>
              <w:jc w:val="center"/>
              <w:rPr>
                <w:i/>
                <w:sz w:val="16"/>
                <w:lang w:val="fr-CH"/>
              </w:rPr>
            </w:pPr>
            <w:r w:rsidRPr="00A77E4C">
              <w:rPr>
                <w:i/>
                <w:sz w:val="16"/>
                <w:lang w:val="fr-CH"/>
              </w:rPr>
              <w:t>Procédure 3</w:t>
            </w:r>
          </w:p>
        </w:tc>
      </w:tr>
      <w:tr w:rsidR="00434CC1" w:rsidRPr="00A77E4C" w:rsidTr="009A394C">
        <w:tc>
          <w:tcPr>
            <w:tcW w:w="2553" w:type="dxa"/>
            <w:tcBorders>
              <w:top w:val="single" w:sz="1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rPr>
                <w:sz w:val="24"/>
                <w:lang w:val="fr-CH"/>
              </w:rPr>
            </w:pPr>
            <w:r w:rsidRPr="00A77E4C">
              <w:rPr>
                <w:lang w:val="fr-CH"/>
              </w:rPr>
              <w:t>Pièces de fixation</w:t>
            </w:r>
          </w:p>
        </w:tc>
        <w:tc>
          <w:tcPr>
            <w:tcW w:w="1468" w:type="dxa"/>
            <w:tcBorders>
              <w:top w:val="single" w:sz="1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w:t>
            </w:r>
          </w:p>
        </w:tc>
        <w:tc>
          <w:tcPr>
            <w:tcW w:w="1672" w:type="dxa"/>
            <w:tcBorders>
              <w:top w:val="single" w:sz="1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w:t>
            </w:r>
          </w:p>
        </w:tc>
        <w:tc>
          <w:tcPr>
            <w:tcW w:w="1863" w:type="dxa"/>
            <w:tcBorders>
              <w:top w:val="single" w:sz="1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x</w:t>
            </w:r>
          </w:p>
        </w:tc>
      </w:tr>
      <w:tr w:rsidR="00434CC1" w:rsidRPr="00A77E4C" w:rsidTr="009A394C">
        <w:tc>
          <w:tcPr>
            <w:tcW w:w="2553"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rPr>
                <w:sz w:val="24"/>
                <w:lang w:val="fr-CH"/>
              </w:rPr>
            </w:pPr>
            <w:r w:rsidRPr="00A77E4C">
              <w:rPr>
                <w:lang w:val="fr-CH"/>
              </w:rPr>
              <w:t>Renvoi</w:t>
            </w:r>
          </w:p>
        </w:tc>
        <w:tc>
          <w:tcPr>
            <w:tcW w:w="1468"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w:t>
            </w:r>
          </w:p>
        </w:tc>
        <w:tc>
          <w:tcPr>
            <w:tcW w:w="1672"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x</w:t>
            </w:r>
          </w:p>
        </w:tc>
        <w:tc>
          <w:tcPr>
            <w:tcW w:w="1863"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w:t>
            </w:r>
          </w:p>
        </w:tc>
      </w:tr>
      <w:tr w:rsidR="00434CC1" w:rsidRPr="00A77E4C" w:rsidTr="009A394C">
        <w:tc>
          <w:tcPr>
            <w:tcW w:w="2553"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rPr>
                <w:sz w:val="24"/>
                <w:lang w:val="fr-CH"/>
              </w:rPr>
            </w:pPr>
            <w:r w:rsidRPr="00A77E4C">
              <w:rPr>
                <w:lang w:val="fr-CH"/>
              </w:rPr>
              <w:t>Anneau de boucle</w:t>
            </w:r>
          </w:p>
        </w:tc>
        <w:tc>
          <w:tcPr>
            <w:tcW w:w="1468"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w:t>
            </w:r>
          </w:p>
        </w:tc>
        <w:tc>
          <w:tcPr>
            <w:tcW w:w="1672"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x</w:t>
            </w:r>
          </w:p>
        </w:tc>
        <w:tc>
          <w:tcPr>
            <w:tcW w:w="1863"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x</w:t>
            </w:r>
          </w:p>
        </w:tc>
      </w:tr>
      <w:tr w:rsidR="00434CC1" w:rsidRPr="00A77E4C" w:rsidTr="009A394C">
        <w:tc>
          <w:tcPr>
            <w:tcW w:w="2553"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rPr>
                <w:sz w:val="24"/>
                <w:lang w:val="fr-CH"/>
              </w:rPr>
            </w:pPr>
            <w:r w:rsidRPr="00A77E4C">
              <w:rPr>
                <w:lang w:val="fr-CH"/>
              </w:rPr>
              <w:lastRenderedPageBreak/>
              <w:t>Dispositif de réglage</w:t>
            </w:r>
          </w:p>
        </w:tc>
        <w:tc>
          <w:tcPr>
            <w:tcW w:w="1468" w:type="dxa"/>
            <w:tcBorders>
              <w:top w:val="single" w:sz="2" w:space="0" w:color="auto"/>
              <w:left w:val="single" w:sz="2" w:space="0" w:color="auto"/>
              <w:bottom w:val="single" w:sz="2" w:space="0" w:color="auto"/>
              <w:right w:val="single" w:sz="2" w:space="0" w:color="auto"/>
            </w:tcBorders>
            <w:hideMark/>
          </w:tcPr>
          <w:p w:rsidR="00434CC1" w:rsidRPr="00A77E4C" w:rsidRDefault="00E927CD">
            <w:pPr>
              <w:kinsoku w:val="0"/>
              <w:overflowPunct w:val="0"/>
              <w:autoSpaceDE w:val="0"/>
              <w:autoSpaceDN w:val="0"/>
              <w:adjustRightInd w:val="0"/>
              <w:snapToGrid w:val="0"/>
              <w:spacing w:before="40" w:after="120" w:line="220" w:lineRule="exact"/>
              <w:ind w:left="113" w:right="113"/>
              <w:jc w:val="center"/>
              <w:rPr>
                <w:sz w:val="24"/>
                <w:lang w:val="fr-CH"/>
              </w:rPr>
            </w:pPr>
            <w:r>
              <w:rPr>
                <w:lang w:val="fr-CH"/>
              </w:rPr>
              <w:t>x</w:t>
            </w:r>
          </w:p>
        </w:tc>
        <w:tc>
          <w:tcPr>
            <w:tcW w:w="1672"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w:t>
            </w:r>
          </w:p>
        </w:tc>
        <w:tc>
          <w:tcPr>
            <w:tcW w:w="1863"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x</w:t>
            </w:r>
          </w:p>
        </w:tc>
      </w:tr>
      <w:tr w:rsidR="00434CC1" w:rsidRPr="00A77E4C" w:rsidTr="009A394C">
        <w:tc>
          <w:tcPr>
            <w:tcW w:w="2553" w:type="dxa"/>
            <w:tcBorders>
              <w:top w:val="single" w:sz="2" w:space="0" w:color="auto"/>
              <w:left w:val="single" w:sz="2" w:space="0" w:color="auto"/>
              <w:bottom w:val="single" w:sz="2" w:space="0" w:color="auto"/>
              <w:right w:val="single" w:sz="2" w:space="0" w:color="auto"/>
            </w:tcBorders>
            <w:hideMark/>
          </w:tcPr>
          <w:p w:rsidR="00434CC1" w:rsidRPr="00A77E4C" w:rsidRDefault="00434CC1" w:rsidP="009A394C">
            <w:pPr>
              <w:kinsoku w:val="0"/>
              <w:overflowPunct w:val="0"/>
              <w:autoSpaceDE w:val="0"/>
              <w:autoSpaceDN w:val="0"/>
              <w:adjustRightInd w:val="0"/>
              <w:snapToGrid w:val="0"/>
              <w:spacing w:before="40" w:after="120" w:line="220" w:lineRule="exact"/>
              <w:ind w:left="113" w:right="113"/>
              <w:rPr>
                <w:sz w:val="24"/>
                <w:lang w:val="fr-CH"/>
              </w:rPr>
            </w:pPr>
            <w:r w:rsidRPr="00A77E4C">
              <w:rPr>
                <w:lang w:val="fr-CH"/>
              </w:rPr>
              <w:t>Pièces cousues à la sangle</w:t>
            </w:r>
            <w:r w:rsidR="009A394C" w:rsidRPr="00A77E4C">
              <w:rPr>
                <w:rFonts w:eastAsia="Times New Roman"/>
                <w:szCs w:val="24"/>
                <w:lang w:val="fr-CH"/>
              </w:rPr>
              <w:t xml:space="preserve"> </w:t>
            </w:r>
          </w:p>
        </w:tc>
        <w:tc>
          <w:tcPr>
            <w:tcW w:w="1468"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w:t>
            </w:r>
          </w:p>
        </w:tc>
        <w:tc>
          <w:tcPr>
            <w:tcW w:w="1672"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w:t>
            </w:r>
          </w:p>
        </w:tc>
        <w:tc>
          <w:tcPr>
            <w:tcW w:w="1863" w:type="dxa"/>
            <w:tcBorders>
              <w:top w:val="single" w:sz="2" w:space="0" w:color="auto"/>
              <w:left w:val="single" w:sz="2" w:space="0" w:color="auto"/>
              <w:bottom w:val="single" w:sz="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sz w:val="24"/>
                <w:lang w:val="fr-CH"/>
              </w:rPr>
            </w:pPr>
            <w:r w:rsidRPr="00A77E4C">
              <w:rPr>
                <w:lang w:val="fr-CH"/>
              </w:rPr>
              <w:t>x</w:t>
            </w:r>
          </w:p>
        </w:tc>
      </w:tr>
      <w:tr w:rsidR="00434CC1" w:rsidRPr="00A77E4C" w:rsidTr="009A394C">
        <w:tc>
          <w:tcPr>
            <w:tcW w:w="2553" w:type="dxa"/>
            <w:tcBorders>
              <w:top w:val="single" w:sz="2" w:space="0" w:color="auto"/>
              <w:left w:val="single" w:sz="2" w:space="0" w:color="auto"/>
              <w:bottom w:val="single" w:sz="12" w:space="0" w:color="auto"/>
              <w:right w:val="single" w:sz="2" w:space="0" w:color="auto"/>
            </w:tcBorders>
            <w:hideMark/>
          </w:tcPr>
          <w:p w:rsidR="00434CC1" w:rsidRPr="00A77E4C" w:rsidRDefault="009A394C">
            <w:pPr>
              <w:kinsoku w:val="0"/>
              <w:overflowPunct w:val="0"/>
              <w:autoSpaceDE w:val="0"/>
              <w:autoSpaceDN w:val="0"/>
              <w:adjustRightInd w:val="0"/>
              <w:snapToGrid w:val="0"/>
              <w:spacing w:before="40" w:after="120" w:line="220" w:lineRule="exact"/>
              <w:ind w:left="113" w:right="113"/>
              <w:rPr>
                <w:b/>
                <w:sz w:val="24"/>
                <w:lang w:val="fr-CH"/>
              </w:rPr>
            </w:pPr>
            <w:r w:rsidRPr="00A77E4C">
              <w:rPr>
                <w:rFonts w:eastAsia="Times New Roman"/>
                <w:szCs w:val="24"/>
                <w:lang w:val="fr-CH"/>
              </w:rPr>
              <w:t>Dispositif souple d’adaptation en hauteur de la ceinture</w:t>
            </w:r>
          </w:p>
        </w:tc>
        <w:tc>
          <w:tcPr>
            <w:tcW w:w="1468" w:type="dxa"/>
            <w:tcBorders>
              <w:top w:val="single" w:sz="2" w:space="0" w:color="auto"/>
              <w:left w:val="single" w:sz="2" w:space="0" w:color="auto"/>
              <w:bottom w:val="single" w:sz="12" w:space="0" w:color="auto"/>
              <w:right w:val="single" w:sz="2" w:space="0" w:color="auto"/>
            </w:tcBorders>
            <w:hideMark/>
          </w:tcPr>
          <w:p w:rsidR="00434CC1" w:rsidRPr="00A77E4C" w:rsidRDefault="00E927CD">
            <w:pPr>
              <w:kinsoku w:val="0"/>
              <w:overflowPunct w:val="0"/>
              <w:autoSpaceDE w:val="0"/>
              <w:autoSpaceDN w:val="0"/>
              <w:adjustRightInd w:val="0"/>
              <w:snapToGrid w:val="0"/>
              <w:spacing w:before="40" w:after="120" w:line="220" w:lineRule="exact"/>
              <w:ind w:left="113" w:right="113"/>
              <w:jc w:val="center"/>
              <w:rPr>
                <w:b/>
                <w:sz w:val="24"/>
                <w:lang w:val="fr-CH"/>
              </w:rPr>
            </w:pPr>
            <w:r>
              <w:rPr>
                <w:b/>
                <w:lang w:val="fr-CH"/>
              </w:rPr>
              <w:t>x</w:t>
            </w:r>
          </w:p>
        </w:tc>
        <w:tc>
          <w:tcPr>
            <w:tcW w:w="1672" w:type="dxa"/>
            <w:tcBorders>
              <w:top w:val="single" w:sz="2" w:space="0" w:color="auto"/>
              <w:left w:val="single" w:sz="2" w:space="0" w:color="auto"/>
              <w:bottom w:val="single" w:sz="1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b/>
                <w:sz w:val="24"/>
                <w:lang w:val="fr-CH"/>
              </w:rPr>
            </w:pPr>
            <w:r w:rsidRPr="00A77E4C">
              <w:rPr>
                <w:b/>
                <w:lang w:val="fr-CH"/>
              </w:rPr>
              <w:t>-</w:t>
            </w:r>
          </w:p>
        </w:tc>
        <w:tc>
          <w:tcPr>
            <w:tcW w:w="1863" w:type="dxa"/>
            <w:tcBorders>
              <w:top w:val="single" w:sz="2" w:space="0" w:color="auto"/>
              <w:left w:val="single" w:sz="2" w:space="0" w:color="auto"/>
              <w:bottom w:val="single" w:sz="12" w:space="0" w:color="auto"/>
              <w:right w:val="single" w:sz="2" w:space="0" w:color="auto"/>
            </w:tcBorders>
            <w:hideMark/>
          </w:tcPr>
          <w:p w:rsidR="00434CC1" w:rsidRPr="00A77E4C" w:rsidRDefault="00434CC1">
            <w:pPr>
              <w:kinsoku w:val="0"/>
              <w:overflowPunct w:val="0"/>
              <w:autoSpaceDE w:val="0"/>
              <w:autoSpaceDN w:val="0"/>
              <w:adjustRightInd w:val="0"/>
              <w:snapToGrid w:val="0"/>
              <w:spacing w:before="40" w:after="120" w:line="220" w:lineRule="exact"/>
              <w:ind w:left="113" w:right="113"/>
              <w:jc w:val="center"/>
              <w:rPr>
                <w:b/>
                <w:sz w:val="24"/>
                <w:lang w:val="fr-CH"/>
              </w:rPr>
            </w:pPr>
            <w:r w:rsidRPr="00A77E4C">
              <w:rPr>
                <w:b/>
                <w:lang w:val="fr-CH"/>
              </w:rPr>
              <w:t>-</w:t>
            </w:r>
          </w:p>
        </w:tc>
      </w:tr>
    </w:tbl>
    <w:p w:rsidR="00434CC1" w:rsidRPr="00A77E4C" w:rsidRDefault="009A394C" w:rsidP="00A77E4C">
      <w:pPr>
        <w:pStyle w:val="SingleTxt"/>
        <w:jc w:val="right"/>
        <w:rPr>
          <w:lang w:val="fr-CH"/>
        </w:rPr>
      </w:pPr>
      <w:r w:rsidRPr="00A77E4C">
        <w:rPr>
          <w:lang w:val="fr-CH"/>
        </w:rPr>
        <w:t> ».</w:t>
      </w:r>
    </w:p>
    <w:p w:rsidR="00434CC1" w:rsidRPr="00A77E4C" w:rsidRDefault="00434CC1" w:rsidP="009A394C">
      <w:pPr>
        <w:pStyle w:val="SingleTxt"/>
        <w:rPr>
          <w:lang w:val="fr-CH"/>
        </w:rPr>
      </w:pPr>
      <w:r w:rsidRPr="00A77E4C">
        <w:rPr>
          <w:i/>
          <w:lang w:val="fr-CH"/>
        </w:rPr>
        <w:t>Paragraphe 8.1.1</w:t>
      </w:r>
      <w:r w:rsidRPr="00A77E4C">
        <w:rPr>
          <w:iCs/>
          <w:lang w:val="fr-CH"/>
        </w:rPr>
        <w:t>,</w:t>
      </w:r>
      <w:r w:rsidRPr="00A77E4C">
        <w:rPr>
          <w:lang w:val="fr-CH"/>
        </w:rPr>
        <w:t xml:space="preserve"> lire</w:t>
      </w:r>
      <w:r w:rsidR="009A394C" w:rsidRPr="00A77E4C">
        <w:rPr>
          <w:lang w:val="fr-CH"/>
        </w:rPr>
        <w:t> </w:t>
      </w:r>
      <w:r w:rsidRPr="00A77E4C">
        <w:rPr>
          <w:lang w:val="fr-CH"/>
        </w:rPr>
        <w:t>:</w:t>
      </w:r>
    </w:p>
    <w:p w:rsidR="00434CC1" w:rsidRPr="00A77E4C" w:rsidRDefault="009A394C" w:rsidP="009A394C">
      <w:pPr>
        <w:pStyle w:val="SingleTxt"/>
        <w:rPr>
          <w:lang w:val="fr-CH"/>
        </w:rPr>
      </w:pPr>
      <w:r w:rsidRPr="00A77E4C">
        <w:rPr>
          <w:lang w:val="fr-CH"/>
        </w:rPr>
        <w:t>« </w:t>
      </w:r>
      <w:r w:rsidR="00434CC1" w:rsidRPr="00A77E4C">
        <w:rPr>
          <w:lang w:val="fr-CH"/>
        </w:rPr>
        <w:t>8.1.1</w:t>
      </w:r>
      <w:r w:rsidR="00434CC1" w:rsidRPr="00A77E4C">
        <w:rPr>
          <w:lang w:val="fr-CH"/>
        </w:rPr>
        <w:tab/>
        <w:t>À l’exception des...</w:t>
      </w:r>
    </w:p>
    <w:p w:rsidR="00434CC1" w:rsidRPr="00A77E4C" w:rsidRDefault="009A394C" w:rsidP="009A394C">
      <w:pPr>
        <w:pStyle w:val="SingleTxt"/>
        <w:rPr>
          <w:lang w:val="fr-CH"/>
        </w:rPr>
      </w:pPr>
      <w:r w:rsidRPr="00A77E4C">
        <w:rPr>
          <w:lang w:val="fr-CH"/>
        </w:rPr>
        <w:tab/>
      </w:r>
      <w:r w:rsidRPr="00A77E4C">
        <w:rPr>
          <w:lang w:val="fr-CH"/>
        </w:rPr>
        <w:tab/>
      </w:r>
      <w:r w:rsidR="00434CC1" w:rsidRPr="00A77E4C">
        <w:rPr>
          <w:lang w:val="fr-CH"/>
        </w:rPr>
        <w:t>…</w:t>
      </w:r>
    </w:p>
    <w:p w:rsidR="00434CC1" w:rsidRPr="00A77E4C" w:rsidRDefault="009A394C" w:rsidP="009A394C">
      <w:pPr>
        <w:pStyle w:val="SingleTxt"/>
        <w:ind w:left="2218" w:hanging="951"/>
        <w:rPr>
          <w:lang w:val="fr-CH"/>
        </w:rPr>
      </w:pPr>
      <w:r w:rsidRPr="00A77E4C">
        <w:rPr>
          <w:lang w:val="fr-CH"/>
        </w:rPr>
        <w:tab/>
      </w:r>
      <w:r w:rsidRPr="00A77E4C">
        <w:rPr>
          <w:lang w:val="fr-CH"/>
        </w:rPr>
        <w:tab/>
      </w:r>
      <w:r w:rsidR="00434CC1" w:rsidRPr="00A77E4C">
        <w:rPr>
          <w:lang w:val="fr-CH"/>
        </w:rPr>
        <w:t xml:space="preserve">Les véhicules des catégories </w:t>
      </w:r>
      <w:r w:rsidR="00434CC1" w:rsidRPr="00A77E4C">
        <w:rPr>
          <w:bCs/>
          <w:lang w:val="fr-CH"/>
        </w:rPr>
        <w:t>M</w:t>
      </w:r>
      <w:r w:rsidR="00434CC1" w:rsidRPr="00A77E4C">
        <w:rPr>
          <w:bCs/>
          <w:vertAlign w:val="subscript"/>
          <w:lang w:val="fr-CH"/>
        </w:rPr>
        <w:t>2</w:t>
      </w:r>
      <w:r w:rsidR="00434CC1" w:rsidRPr="00A77E4C">
        <w:rPr>
          <w:lang w:val="fr-CH"/>
        </w:rPr>
        <w:t xml:space="preserve"> ou </w:t>
      </w:r>
      <w:r w:rsidR="00434CC1" w:rsidRPr="00A77E4C">
        <w:rPr>
          <w:bCs/>
          <w:lang w:val="fr-CH"/>
        </w:rPr>
        <w:t>M</w:t>
      </w:r>
      <w:r w:rsidR="00434CC1" w:rsidRPr="00A77E4C">
        <w:rPr>
          <w:bCs/>
          <w:vertAlign w:val="subscript"/>
          <w:lang w:val="fr-CH"/>
        </w:rPr>
        <w:t>3</w:t>
      </w:r>
      <w:r w:rsidR="00434CC1" w:rsidRPr="00A77E4C">
        <w:rPr>
          <w:lang w:val="fr-CH"/>
        </w:rPr>
        <w:t>, classe I ou A</w:t>
      </w:r>
      <w:r w:rsidRPr="00A77E4C">
        <w:rPr>
          <w:lang w:val="fr-CH"/>
        </w:rPr>
        <w:t xml:space="preserve"> … </w:t>
      </w:r>
      <w:r w:rsidR="00434CC1" w:rsidRPr="00A77E4C">
        <w:rPr>
          <w:lang w:val="fr-CH"/>
        </w:rPr>
        <w:t>du présent Règlement.</w:t>
      </w:r>
    </w:p>
    <w:p w:rsidR="00434CC1" w:rsidRPr="00A77E4C" w:rsidRDefault="009A394C" w:rsidP="009A394C">
      <w:pPr>
        <w:pStyle w:val="SingleTxt"/>
        <w:ind w:left="2218" w:hanging="951"/>
        <w:rPr>
          <w:b/>
          <w:bCs/>
          <w:lang w:val="fr-CH"/>
        </w:rPr>
      </w:pPr>
      <w:r w:rsidRPr="00A77E4C">
        <w:rPr>
          <w:b/>
          <w:lang w:val="fr-CH"/>
        </w:rPr>
        <w:tab/>
      </w:r>
      <w:r w:rsidRPr="00A77E4C">
        <w:rPr>
          <w:b/>
          <w:lang w:val="fr-CH"/>
        </w:rPr>
        <w:tab/>
      </w:r>
      <w:r w:rsidR="00434CC1" w:rsidRPr="00A77E4C">
        <w:rPr>
          <w:b/>
          <w:lang w:val="fr-CH"/>
        </w:rPr>
        <w:t xml:space="preserve">Seuls les véhicules des catégories </w:t>
      </w:r>
      <w:r w:rsidR="00434CC1" w:rsidRPr="00A77E4C">
        <w:rPr>
          <w:b/>
          <w:bCs/>
          <w:lang w:val="fr-CH"/>
        </w:rPr>
        <w:t>M</w:t>
      </w:r>
      <w:r w:rsidR="00434CC1" w:rsidRPr="00A77E4C">
        <w:rPr>
          <w:b/>
          <w:bCs/>
          <w:vertAlign w:val="subscript"/>
          <w:lang w:val="fr-CH"/>
        </w:rPr>
        <w:t>2</w:t>
      </w:r>
      <w:r w:rsidR="00434CC1" w:rsidRPr="00A77E4C">
        <w:rPr>
          <w:b/>
          <w:lang w:val="fr-CH"/>
        </w:rPr>
        <w:t xml:space="preserve"> ou </w:t>
      </w:r>
      <w:r w:rsidR="00434CC1" w:rsidRPr="00A77E4C">
        <w:rPr>
          <w:b/>
          <w:bCs/>
          <w:lang w:val="fr-CH"/>
        </w:rPr>
        <w:t>M</w:t>
      </w:r>
      <w:r w:rsidR="00434CC1" w:rsidRPr="00A77E4C">
        <w:rPr>
          <w:b/>
          <w:bCs/>
          <w:vertAlign w:val="subscript"/>
          <w:lang w:val="fr-CH"/>
        </w:rPr>
        <w:t>3</w:t>
      </w:r>
      <w:r w:rsidR="00434CC1" w:rsidRPr="00A77E4C">
        <w:rPr>
          <w:b/>
          <w:lang w:val="fr-CH"/>
        </w:rPr>
        <w:t xml:space="preserve"> peuvent être équipés de systèmes de retenue comprenant un dispositif souple d’adaptation en hauteur de la ceinture (par. 2.14.7).</w:t>
      </w:r>
      <w:r w:rsidRPr="00A77E4C">
        <w:rPr>
          <w:lang w:val="fr-CH"/>
        </w:rPr>
        <w:t> ».</w:t>
      </w:r>
    </w:p>
    <w:p w:rsidR="00434CC1" w:rsidRPr="00A77E4C" w:rsidRDefault="009A394C" w:rsidP="00434CC1">
      <w:pPr>
        <w:pStyle w:val="SingleTxt"/>
        <w:rPr>
          <w:lang w:val="fr-CH"/>
        </w:rPr>
      </w:pPr>
      <w:r w:rsidRPr="00A77E4C">
        <w:rPr>
          <w:i/>
          <w:lang w:val="fr-CH"/>
        </w:rPr>
        <w:t>Annexe </w:t>
      </w:r>
      <w:r w:rsidR="00434CC1" w:rsidRPr="00A77E4C">
        <w:rPr>
          <w:i/>
          <w:lang w:val="fr-CH"/>
        </w:rPr>
        <w:t>1B</w:t>
      </w:r>
      <w:r w:rsidR="00434CC1" w:rsidRPr="00A77E4C">
        <w:rPr>
          <w:lang w:val="fr-CH"/>
        </w:rPr>
        <w:t xml:space="preserve">, </w:t>
      </w:r>
      <w:r w:rsidRPr="00A77E4C">
        <w:rPr>
          <w:i/>
          <w:lang w:val="fr-CH"/>
        </w:rPr>
        <w:t>point </w:t>
      </w:r>
      <w:r w:rsidR="00434CC1" w:rsidRPr="00A77E4C">
        <w:rPr>
          <w:i/>
          <w:lang w:val="fr-CH"/>
        </w:rPr>
        <w:t>1</w:t>
      </w:r>
      <w:r w:rsidR="00434CC1" w:rsidRPr="00A77E4C">
        <w:rPr>
          <w:lang w:val="fr-CH"/>
        </w:rPr>
        <w:t>, lire</w:t>
      </w:r>
      <w:r w:rsidRPr="00A77E4C">
        <w:rPr>
          <w:lang w:val="fr-CH"/>
        </w:rPr>
        <w:t> </w:t>
      </w:r>
      <w:r w:rsidR="00434CC1" w:rsidRPr="00A77E4C">
        <w:rPr>
          <w:lang w:val="fr-CH"/>
        </w:rPr>
        <w:t>:</w:t>
      </w:r>
    </w:p>
    <w:p w:rsidR="00434CC1" w:rsidRPr="00A77E4C" w:rsidRDefault="009A394C" w:rsidP="009A394C">
      <w:pPr>
        <w:pStyle w:val="SingleTxt"/>
        <w:tabs>
          <w:tab w:val="clear" w:pos="3182"/>
          <w:tab w:val="clear" w:pos="3658"/>
          <w:tab w:val="clear" w:pos="4133"/>
          <w:tab w:val="clear" w:pos="4622"/>
          <w:tab w:val="clear" w:pos="5098"/>
          <w:tab w:val="clear" w:pos="5573"/>
          <w:tab w:val="clear" w:pos="6048"/>
          <w:tab w:val="right" w:leader="dot" w:pos="8784"/>
        </w:tabs>
        <w:ind w:left="2218" w:hanging="951"/>
        <w:rPr>
          <w:lang w:val="fr-CH"/>
        </w:rPr>
      </w:pPr>
      <w:r w:rsidRPr="00A77E4C">
        <w:rPr>
          <w:lang w:val="fr-CH"/>
        </w:rPr>
        <w:t>« </w:t>
      </w:r>
      <w:r w:rsidR="00434CC1" w:rsidRPr="00A77E4C">
        <w:rPr>
          <w:lang w:val="fr-CH"/>
        </w:rPr>
        <w:t>1.</w:t>
      </w:r>
      <w:r w:rsidR="00434CC1" w:rsidRPr="00A77E4C">
        <w:rPr>
          <w:lang w:val="fr-CH"/>
        </w:rPr>
        <w:tab/>
      </w:r>
      <w:r w:rsidRPr="00A77E4C">
        <w:rPr>
          <w:lang w:val="fr-CH"/>
        </w:rPr>
        <w:tab/>
      </w:r>
      <w:r w:rsidR="00434CC1" w:rsidRPr="00A77E4C">
        <w:rPr>
          <w:lang w:val="fr-CH"/>
        </w:rPr>
        <w:t xml:space="preserve">Système </w:t>
      </w:r>
      <w:r w:rsidRPr="00A77E4C">
        <w:rPr>
          <w:lang w:val="fr-CH"/>
        </w:rPr>
        <w:t>de retenue</w:t>
      </w:r>
      <w:r w:rsidR="00434CC1" w:rsidRPr="00A77E4C">
        <w:rPr>
          <w:lang w:val="fr-CH"/>
        </w:rPr>
        <w:t>/à ceinture trois points/à ceinture sous-</w:t>
      </w:r>
      <w:r w:rsidR="000A5458">
        <w:rPr>
          <w:lang w:val="fr-CH"/>
        </w:rPr>
        <w:t>abdominale/à ceinture spéciale/</w:t>
      </w:r>
      <w:r w:rsidR="00434CC1" w:rsidRPr="00A77E4C">
        <w:rPr>
          <w:lang w:val="fr-CH"/>
        </w:rPr>
        <w:t>avec absorbeur d’énergie/rétracteur/dispositif de réglage en hauteur du renvoi au montant/dispositif souple d’adaptation en hauteur de la ceinture</w:t>
      </w:r>
      <w:r w:rsidRPr="00A77E4C">
        <w:rPr>
          <w:rStyle w:val="FootnoteReference"/>
          <w:lang w:val="fr-CH"/>
        </w:rPr>
        <w:footnoteReference w:id="2"/>
      </w:r>
      <w:r w:rsidRPr="00A77E4C">
        <w:rPr>
          <w:lang w:val="fr-CH"/>
        </w:rPr>
        <w:tab/>
        <w:t> ».</w:t>
      </w:r>
    </w:p>
    <w:p w:rsidR="009A394C" w:rsidRPr="00A77E4C" w:rsidRDefault="009A394C" w:rsidP="009A394C">
      <w:pPr>
        <w:pStyle w:val="SingleTxt"/>
        <w:spacing w:after="0" w:line="120" w:lineRule="exact"/>
        <w:rPr>
          <w:b/>
          <w:sz w:val="10"/>
          <w:lang w:val="fr-CH"/>
        </w:rPr>
      </w:pPr>
    </w:p>
    <w:p w:rsidR="009A394C" w:rsidRPr="00A77E4C" w:rsidRDefault="009A394C" w:rsidP="009A394C">
      <w:pPr>
        <w:pStyle w:val="SingleTxt"/>
        <w:spacing w:after="0" w:line="120" w:lineRule="exact"/>
        <w:rPr>
          <w:b/>
          <w:sz w:val="10"/>
          <w:lang w:val="fr-CH"/>
        </w:rPr>
      </w:pPr>
    </w:p>
    <w:p w:rsidR="00434CC1" w:rsidRPr="00A77E4C" w:rsidRDefault="00434CC1" w:rsidP="009A394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A77E4C">
        <w:rPr>
          <w:lang w:val="fr-CH"/>
        </w:rPr>
        <w:tab/>
        <w:t>III.</w:t>
      </w:r>
      <w:r w:rsidRPr="00A77E4C">
        <w:rPr>
          <w:lang w:val="fr-CH"/>
        </w:rPr>
        <w:tab/>
        <w:t>Justification</w:t>
      </w:r>
    </w:p>
    <w:p w:rsidR="009A394C" w:rsidRPr="00A77E4C" w:rsidRDefault="009A394C" w:rsidP="009A394C">
      <w:pPr>
        <w:pStyle w:val="SingleTxt"/>
        <w:spacing w:after="0" w:line="120" w:lineRule="exact"/>
        <w:rPr>
          <w:sz w:val="10"/>
          <w:lang w:val="fr-CH"/>
        </w:rPr>
      </w:pPr>
    </w:p>
    <w:p w:rsidR="009A394C" w:rsidRPr="00A77E4C" w:rsidRDefault="009A394C" w:rsidP="009A394C">
      <w:pPr>
        <w:pStyle w:val="SingleTxt"/>
        <w:spacing w:after="0" w:line="120" w:lineRule="exact"/>
        <w:rPr>
          <w:sz w:val="10"/>
          <w:lang w:val="fr-CH"/>
        </w:rPr>
      </w:pPr>
    </w:p>
    <w:p w:rsidR="00434CC1" w:rsidRPr="00A77E4C" w:rsidRDefault="00434CC1" w:rsidP="009A394C">
      <w:pPr>
        <w:pStyle w:val="SingleTxt"/>
        <w:numPr>
          <w:ilvl w:val="0"/>
          <w:numId w:val="7"/>
        </w:numPr>
        <w:tabs>
          <w:tab w:val="clear" w:pos="475"/>
          <w:tab w:val="num" w:pos="1742"/>
        </w:tabs>
        <w:ind w:left="1267"/>
        <w:rPr>
          <w:lang w:val="fr-CH"/>
        </w:rPr>
      </w:pPr>
      <w:r w:rsidRPr="00A77E4C">
        <w:rPr>
          <w:lang w:val="fr-CH"/>
        </w:rPr>
        <w:t>Dans le certificat d’homol</w:t>
      </w:r>
      <w:r w:rsidR="009A394C" w:rsidRPr="00A77E4C">
        <w:rPr>
          <w:lang w:val="fr-CH"/>
        </w:rPr>
        <w:t>ogation de type du Règlement n</w:t>
      </w:r>
      <w:r w:rsidR="009A394C" w:rsidRPr="00A77E4C">
        <w:rPr>
          <w:vertAlign w:val="superscript"/>
          <w:lang w:val="fr-CH"/>
        </w:rPr>
        <w:t>o</w:t>
      </w:r>
      <w:r w:rsidR="009A394C" w:rsidRPr="00A77E4C">
        <w:rPr>
          <w:lang w:val="fr-CH"/>
        </w:rPr>
        <w:t> </w:t>
      </w:r>
      <w:r w:rsidRPr="00A77E4C">
        <w:rPr>
          <w:lang w:val="fr-CH"/>
        </w:rPr>
        <w:t>16, avec le système appliqué de mentions à biffer, il n’existe qu’un seul choix quant au système d’adaptation en hauteur de la ceinture, à savoir «</w:t>
      </w:r>
      <w:r w:rsidR="009A394C" w:rsidRPr="00A77E4C">
        <w:rPr>
          <w:lang w:val="fr-CH"/>
        </w:rPr>
        <w:t> </w:t>
      </w:r>
      <w:r w:rsidRPr="00A77E4C">
        <w:rPr>
          <w:lang w:val="fr-CH"/>
        </w:rPr>
        <w:t>dispositif de réglage en hauteur du renvoi supérieur au montant</w:t>
      </w:r>
      <w:r w:rsidR="009A394C" w:rsidRPr="00A77E4C">
        <w:rPr>
          <w:lang w:val="fr-CH"/>
        </w:rPr>
        <w:t> »</w:t>
      </w:r>
      <w:r w:rsidRPr="00A77E4C">
        <w:rPr>
          <w:lang w:val="fr-CH"/>
        </w:rPr>
        <w:t>.</w:t>
      </w:r>
    </w:p>
    <w:p w:rsidR="00434CC1" w:rsidRPr="00A77E4C" w:rsidRDefault="00434CC1" w:rsidP="009A394C">
      <w:pPr>
        <w:pStyle w:val="SingleTxt"/>
        <w:numPr>
          <w:ilvl w:val="0"/>
          <w:numId w:val="7"/>
        </w:numPr>
        <w:tabs>
          <w:tab w:val="clear" w:pos="475"/>
          <w:tab w:val="num" w:pos="1742"/>
        </w:tabs>
        <w:ind w:left="1267"/>
        <w:rPr>
          <w:lang w:val="fr-CH"/>
        </w:rPr>
      </w:pPr>
      <w:r w:rsidRPr="00A77E4C">
        <w:rPr>
          <w:lang w:val="fr-CH"/>
        </w:rPr>
        <w:t>Cette situation a été parfois source de confusion</w:t>
      </w:r>
      <w:r w:rsidR="00E927CD">
        <w:rPr>
          <w:lang w:val="fr-CH"/>
        </w:rPr>
        <w:t> :</w:t>
      </w:r>
      <w:r w:rsidRPr="00A77E4C">
        <w:rPr>
          <w:lang w:val="fr-CH"/>
        </w:rPr>
        <w:t xml:space="preserve"> dans le cas d’une ceinture ou d’un système de retenue qui utilise un </w:t>
      </w:r>
      <w:r w:rsidRPr="00A77E4C">
        <w:rPr>
          <w:b/>
          <w:lang w:val="fr-CH"/>
        </w:rPr>
        <w:t>dispositif souple d’adaptation en hauteur</w:t>
      </w:r>
      <w:r w:rsidR="009A394C" w:rsidRPr="00A77E4C">
        <w:rPr>
          <w:lang w:val="fr-CH"/>
        </w:rPr>
        <w:t xml:space="preserve"> (dit « </w:t>
      </w:r>
      <w:r w:rsidRPr="00A77E4C">
        <w:rPr>
          <w:lang w:val="fr-CH"/>
        </w:rPr>
        <w:t>ceinture multi-génération</w:t>
      </w:r>
      <w:r w:rsidR="009A394C" w:rsidRPr="00A77E4C">
        <w:rPr>
          <w:lang w:val="fr-CH"/>
        </w:rPr>
        <w:t> »</w:t>
      </w:r>
      <w:r w:rsidRPr="00A77E4C">
        <w:rPr>
          <w:lang w:val="fr-CH"/>
        </w:rPr>
        <w:t>, voir la figure explicative ci-après) le renvoi supérieur n’est pas utilisé pour régler la hauteur et ce cas ne peut donc pas être mentionné sur la fiche de communication.</w:t>
      </w:r>
    </w:p>
    <w:p w:rsidR="00434CC1" w:rsidRPr="00A77E4C" w:rsidRDefault="00434CC1" w:rsidP="009A394C">
      <w:pPr>
        <w:pStyle w:val="SingleTxt"/>
        <w:numPr>
          <w:ilvl w:val="0"/>
          <w:numId w:val="7"/>
        </w:numPr>
        <w:tabs>
          <w:tab w:val="clear" w:pos="475"/>
          <w:tab w:val="num" w:pos="1742"/>
        </w:tabs>
        <w:ind w:left="1267"/>
        <w:rPr>
          <w:lang w:val="fr-CH"/>
        </w:rPr>
      </w:pPr>
      <w:r w:rsidRPr="00A77E4C">
        <w:rPr>
          <w:lang w:val="fr-CH"/>
        </w:rPr>
        <w:t>En conséquence, les autorités chargées d’homologuer l’installation d’une ceinture sur un véhicule (fiche de commun</w:t>
      </w:r>
      <w:r w:rsidR="009A394C" w:rsidRPr="00A77E4C">
        <w:rPr>
          <w:lang w:val="fr-CH"/>
        </w:rPr>
        <w:t>ication </w:t>
      </w:r>
      <w:r w:rsidRPr="00A77E4C">
        <w:rPr>
          <w:lang w:val="fr-CH"/>
        </w:rPr>
        <w:t>1A) n’ont pas toujours signalé les systèmes de retenue comprenant une ceinture et un dispositif souple d’adaptation en hauteur comme elles le pouvaient par le biais de l’</w:t>
      </w:r>
      <w:r w:rsidR="009A394C" w:rsidRPr="00A77E4C">
        <w:rPr>
          <w:lang w:val="fr-CH"/>
        </w:rPr>
        <w:t>annexe 1B du Règlement n</w:t>
      </w:r>
      <w:r w:rsidR="009A394C" w:rsidRPr="00A77E4C">
        <w:rPr>
          <w:vertAlign w:val="superscript"/>
          <w:lang w:val="fr-CH"/>
        </w:rPr>
        <w:t>o</w:t>
      </w:r>
      <w:r w:rsidR="009A394C" w:rsidRPr="00A77E4C">
        <w:rPr>
          <w:lang w:val="fr-CH"/>
        </w:rPr>
        <w:t> </w:t>
      </w:r>
      <w:r w:rsidRPr="00A77E4C">
        <w:rPr>
          <w:lang w:val="fr-CH"/>
        </w:rPr>
        <w:t>16. Il est à noter que ce type de système peut permettre de régler l’ancrage supérieur effectif à une hauteu</w:t>
      </w:r>
      <w:r w:rsidR="009A394C" w:rsidRPr="00A77E4C">
        <w:rPr>
          <w:lang w:val="fr-CH"/>
        </w:rPr>
        <w:t>r inférieure à la limite de 450 mm au-dessus du point </w:t>
      </w:r>
      <w:r w:rsidRPr="00A77E4C">
        <w:rPr>
          <w:lang w:val="fr-CH"/>
        </w:rPr>
        <w:t>R, dans le cas uniquement d’une installation sur les véhicules des catégories M</w:t>
      </w:r>
      <w:r w:rsidRPr="00A77E4C">
        <w:rPr>
          <w:vertAlign w:val="subscript"/>
          <w:lang w:val="fr-CH"/>
        </w:rPr>
        <w:t>2</w:t>
      </w:r>
      <w:r w:rsidRPr="00A77E4C">
        <w:rPr>
          <w:lang w:val="fr-CH"/>
        </w:rPr>
        <w:t xml:space="preserve"> et M</w:t>
      </w:r>
      <w:r w:rsidRPr="00A77E4C">
        <w:rPr>
          <w:vertAlign w:val="subscript"/>
          <w:lang w:val="fr-CH"/>
        </w:rPr>
        <w:t>3</w:t>
      </w:r>
      <w:r w:rsidRPr="00A77E4C">
        <w:rPr>
          <w:lang w:val="fr-CH"/>
        </w:rPr>
        <w:t xml:space="preserve"> (ce point est seulement mentionné actuellement dans le Règl</w:t>
      </w:r>
      <w:r w:rsidR="009A394C" w:rsidRPr="00A77E4C">
        <w:rPr>
          <w:lang w:val="fr-CH"/>
        </w:rPr>
        <w:t>ement n</w:t>
      </w:r>
      <w:r w:rsidR="009A394C" w:rsidRPr="00A77E4C">
        <w:rPr>
          <w:vertAlign w:val="superscript"/>
          <w:lang w:val="fr-CH"/>
        </w:rPr>
        <w:t>o</w:t>
      </w:r>
      <w:r w:rsidR="009A394C" w:rsidRPr="00A77E4C">
        <w:rPr>
          <w:lang w:val="fr-CH"/>
        </w:rPr>
        <w:t> </w:t>
      </w:r>
      <w:r w:rsidRPr="00A77E4C">
        <w:rPr>
          <w:lang w:val="fr-CH"/>
        </w:rPr>
        <w:t>14, parce que jusqu’ici il n’était question que des renvois supérieurs au montant réglables).</w:t>
      </w:r>
    </w:p>
    <w:p w:rsidR="00434CC1" w:rsidRPr="00A77E4C" w:rsidRDefault="00434CC1" w:rsidP="009A394C">
      <w:pPr>
        <w:pStyle w:val="SingleTxt"/>
        <w:numPr>
          <w:ilvl w:val="0"/>
          <w:numId w:val="7"/>
        </w:numPr>
        <w:tabs>
          <w:tab w:val="clear" w:pos="475"/>
          <w:tab w:val="num" w:pos="1742"/>
        </w:tabs>
        <w:ind w:left="1267"/>
        <w:rPr>
          <w:lang w:val="fr-CH"/>
        </w:rPr>
      </w:pPr>
      <w:r w:rsidRPr="00A77E4C">
        <w:rPr>
          <w:lang w:val="fr-CH"/>
        </w:rPr>
        <w:t xml:space="preserve">La présente proposition introduit une définition du dispositif souple d’adaptation en hauteur. Cette définition a été complétée pour faire en sorte que les forces de réglage NE PUISSENT PAS être obtenues par action sur le brin ventral de la ceinture </w:t>
      </w:r>
      <w:r w:rsidRPr="00A77E4C">
        <w:rPr>
          <w:lang w:val="fr-CH"/>
        </w:rPr>
        <w:lastRenderedPageBreak/>
        <w:t>(on trouve à la page suivante des exemples de solutions qui ne devraient pas être mentionnées dans notre définition, parce qu’elles aggravent le risque de sous-marinage). La définition est rédigée sous forme positive, ce qui est jugé préférable.</w:t>
      </w:r>
    </w:p>
    <w:p w:rsidR="00434CC1" w:rsidRPr="00A77E4C" w:rsidRDefault="00434CC1" w:rsidP="009A394C">
      <w:pPr>
        <w:pStyle w:val="SingleTxt"/>
        <w:numPr>
          <w:ilvl w:val="0"/>
          <w:numId w:val="7"/>
        </w:numPr>
        <w:tabs>
          <w:tab w:val="clear" w:pos="475"/>
          <w:tab w:val="num" w:pos="1742"/>
        </w:tabs>
        <w:ind w:left="1267"/>
        <w:rPr>
          <w:lang w:val="fr-CH"/>
        </w:rPr>
      </w:pPr>
      <w:r w:rsidRPr="00A77E4C">
        <w:rPr>
          <w:lang w:val="fr-CH"/>
        </w:rPr>
        <w:t xml:space="preserve">En outre, la complexité et la sensibilité des dispositifs souples d’adaptation en hauteur (ceintures de type </w:t>
      </w:r>
      <w:r w:rsidR="009A394C" w:rsidRPr="00A77E4C">
        <w:rPr>
          <w:lang w:val="fr-CH"/>
        </w:rPr>
        <w:t>« </w:t>
      </w:r>
      <w:r w:rsidRPr="00A77E4C">
        <w:rPr>
          <w:lang w:val="fr-CH"/>
        </w:rPr>
        <w:t>multi-génération</w:t>
      </w:r>
      <w:r w:rsidR="009A394C" w:rsidRPr="00A77E4C">
        <w:rPr>
          <w:lang w:val="fr-CH"/>
        </w:rPr>
        <w:t> </w:t>
      </w:r>
      <w:r w:rsidRPr="00A77E4C">
        <w:rPr>
          <w:lang w:val="fr-CH"/>
        </w:rPr>
        <w:t>») ne justifient pas la réalisation d’un essai dynamiq</w:t>
      </w:r>
      <w:r w:rsidR="009A394C" w:rsidRPr="00A77E4C">
        <w:rPr>
          <w:lang w:val="fr-CH"/>
        </w:rPr>
        <w:t>ue conformément au Règlement n</w:t>
      </w:r>
      <w:r w:rsidR="009A394C" w:rsidRPr="00A77E4C">
        <w:rPr>
          <w:vertAlign w:val="superscript"/>
          <w:lang w:val="fr-CH"/>
        </w:rPr>
        <w:t>o</w:t>
      </w:r>
      <w:r w:rsidR="009A394C" w:rsidRPr="00A77E4C">
        <w:rPr>
          <w:lang w:val="fr-CH"/>
        </w:rPr>
        <w:t> </w:t>
      </w:r>
      <w:r w:rsidRPr="00A77E4C">
        <w:rPr>
          <w:lang w:val="fr-CH"/>
        </w:rPr>
        <w:t>16, qui prévoit l’utilisation d’un siège rigide générique. On trouvera ci-dessous une proposition de configuration d’essai du système de retenue (associé à un siège réel de véhicule)</w:t>
      </w:r>
      <w:r w:rsidR="009A394C" w:rsidRPr="00A77E4C">
        <w:rPr>
          <w:lang w:val="fr-CH"/>
        </w:rPr>
        <w:t> </w:t>
      </w:r>
      <w:r w:rsidRPr="00A77E4C">
        <w:rPr>
          <w:lang w:val="fr-CH"/>
        </w:rPr>
        <w:t>:</w:t>
      </w:r>
    </w:p>
    <w:p w:rsidR="00A77E4C" w:rsidRPr="00A77E4C" w:rsidRDefault="00A77E4C" w:rsidP="00A77E4C">
      <w:pPr>
        <w:pStyle w:val="SingleTxt"/>
        <w:spacing w:after="0" w:line="120" w:lineRule="exact"/>
        <w:rPr>
          <w:sz w:val="10"/>
          <w:lang w:val="fr-CH"/>
        </w:rPr>
      </w:pPr>
    </w:p>
    <w:p w:rsidR="00434CC1" w:rsidRPr="00A77E4C" w:rsidRDefault="00A77E4C" w:rsidP="00434CC1">
      <w:pPr>
        <w:pStyle w:val="SingleTxt"/>
        <w:spacing w:after="0" w:line="240" w:lineRule="auto"/>
        <w:rPr>
          <w:b/>
          <w:bCs/>
          <w:lang w:val="fr-CH"/>
        </w:rPr>
      </w:pPr>
      <w:r w:rsidRPr="00A77E4C">
        <w:rPr>
          <w:b/>
          <w:bCs/>
          <w:noProof/>
          <w:w w:val="100"/>
          <w:lang w:val="en-GB" w:eastAsia="en-GB"/>
        </w:rPr>
        <mc:AlternateContent>
          <mc:Choice Requires="wps">
            <w:drawing>
              <wp:anchor distT="0" distB="0" distL="114300" distR="114300" simplePos="0" relativeHeight="251664384" behindDoc="0" locked="0" layoutInCell="1" allowOverlap="1" wp14:anchorId="18C4F179" wp14:editId="5670801A">
                <wp:simplePos x="0" y="0"/>
                <wp:positionH relativeFrom="margin">
                  <wp:posOffset>4995545</wp:posOffset>
                </wp:positionH>
                <wp:positionV relativeFrom="paragraph">
                  <wp:posOffset>2655570</wp:posOffset>
                </wp:positionV>
                <wp:extent cx="621030" cy="156210"/>
                <wp:effectExtent l="0" t="0" r="7620" b="0"/>
                <wp:wrapNone/>
                <wp:docPr id="13" name="Text Box 13"/>
                <wp:cNvGraphicFramePr/>
                <a:graphic xmlns:a="http://schemas.openxmlformats.org/drawingml/2006/main">
                  <a:graphicData uri="http://schemas.microsoft.com/office/word/2010/wordprocessingShape">
                    <wps:wsp>
                      <wps:cNvSpPr txBox="1"/>
                      <wps:spPr>
                        <a:xfrm>
                          <a:off x="0" y="0"/>
                          <a:ext cx="621030" cy="156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7E4C" w:rsidRPr="00A77E4C" w:rsidRDefault="00A77E4C" w:rsidP="00A77E4C">
                            <w:pPr>
                              <w:spacing w:line="240" w:lineRule="auto"/>
                              <w:jc w:val="center"/>
                            </w:pPr>
                            <w:r>
                              <w:rPr>
                                <w:lang w:val="fr-CH"/>
                              </w:rPr>
                              <w:t>Enfant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93.35pt;margin-top:209.1pt;width:48.9pt;height:12.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" fillcolor="white [3201]" stroked="f" strokeweight=".5pt">
                <v:textbox inset="0,0,0,0">
                  <w:txbxContent>
                    <w:p w:rsidR="00A77E4C" w:rsidRPr="00A77E4C" w:rsidRDefault="00A77E4C" w:rsidP="00A77E4C">
                      <w:pPr>
                        <w:spacing w:line="240" w:lineRule="auto"/>
                        <w:jc w:val="center"/>
                      </w:pPr>
                      <w:r>
                        <w:rPr>
                          <w:lang w:val="fr-CH"/>
                        </w:rPr>
                        <w:t>Enfant</w:t>
                      </w:r>
                    </w:p>
                  </w:txbxContent>
                </v:textbox>
                <w10:wrap anchorx="margin"/>
              </v:shape>
            </w:pict>
          </mc:Fallback>
        </mc:AlternateContent>
      </w:r>
      <w:r w:rsidRPr="00A77E4C">
        <w:rPr>
          <w:b/>
          <w:bCs/>
          <w:noProof/>
          <w:w w:val="100"/>
          <w:lang w:val="en-GB" w:eastAsia="en-GB"/>
        </w:rPr>
        <mc:AlternateContent>
          <mc:Choice Requires="wps">
            <w:drawing>
              <wp:anchor distT="0" distB="0" distL="114300" distR="114300" simplePos="0" relativeHeight="251666432" behindDoc="0" locked="0" layoutInCell="1" allowOverlap="1" wp14:anchorId="34EF5AC9" wp14:editId="5D7A95BA">
                <wp:simplePos x="0" y="0"/>
                <wp:positionH relativeFrom="margin">
                  <wp:posOffset>4011930</wp:posOffset>
                </wp:positionH>
                <wp:positionV relativeFrom="paragraph">
                  <wp:posOffset>2655570</wp:posOffset>
                </wp:positionV>
                <wp:extent cx="655320" cy="1555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55320" cy="15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7E4C" w:rsidRPr="00A77E4C" w:rsidRDefault="00A77E4C" w:rsidP="00A77E4C">
                            <w:pPr>
                              <w:spacing w:line="240" w:lineRule="auto"/>
                              <w:jc w:val="center"/>
                            </w:pPr>
                            <w:r>
                              <w:rPr>
                                <w:lang w:val="fr-CH"/>
                              </w:rPr>
                              <w:t>Adulte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315.9pt;margin-top:209.1pt;width:51.6pt;height:1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" fillcolor="white [3201]" stroked="f" strokeweight=".5pt">
                <v:textbox inset="0,0,0,0">
                  <w:txbxContent>
                    <w:p w:rsidR="00A77E4C" w:rsidRPr="00A77E4C" w:rsidRDefault="00A77E4C" w:rsidP="00A77E4C">
                      <w:pPr>
                        <w:spacing w:line="240" w:lineRule="auto"/>
                        <w:jc w:val="center"/>
                      </w:pPr>
                      <w:r>
                        <w:rPr>
                          <w:lang w:val="fr-CH"/>
                        </w:rPr>
                        <w:t>Adulte</w:t>
                      </w:r>
                    </w:p>
                  </w:txbxContent>
                </v:textbox>
                <w10:wrap anchorx="margin"/>
              </v:shape>
            </w:pict>
          </mc:Fallback>
        </mc:AlternateContent>
      </w:r>
      <w:r w:rsidRPr="00A77E4C">
        <w:rPr>
          <w:b/>
          <w:bCs/>
          <w:noProof/>
          <w:w w:val="100"/>
          <w:lang w:val="en-GB" w:eastAsia="en-GB"/>
        </w:rPr>
        <mc:AlternateContent>
          <mc:Choice Requires="wps">
            <w:drawing>
              <wp:anchor distT="0" distB="0" distL="114300" distR="114300" simplePos="0" relativeHeight="251660288" behindDoc="0" locked="0" layoutInCell="1" allowOverlap="1" wp14:anchorId="42CEF010" wp14:editId="17DC7A72">
                <wp:simplePos x="0" y="0"/>
                <wp:positionH relativeFrom="margin">
                  <wp:posOffset>3736100</wp:posOffset>
                </wp:positionH>
                <wp:positionV relativeFrom="paragraph">
                  <wp:posOffset>128845</wp:posOffset>
                </wp:positionV>
                <wp:extent cx="2208363" cy="802257"/>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2208363" cy="802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7E4C" w:rsidRPr="00A77E4C" w:rsidRDefault="00A77E4C" w:rsidP="00A77E4C">
                            <w:pPr>
                              <w:spacing w:line="240" w:lineRule="auto"/>
                              <w:jc w:val="center"/>
                            </w:pPr>
                            <w:r w:rsidRPr="00A77E4C">
                              <w:rPr>
                                <w:lang w:val="fr-CH"/>
                              </w:rPr>
                              <w:t>L’</w:t>
                            </w:r>
                            <w:r>
                              <w:rPr>
                                <w:lang w:val="fr-CH"/>
                              </w:rPr>
                              <w:t>ancrage supérieur de la « </w:t>
                            </w:r>
                            <w:r w:rsidRPr="00A77E4C">
                              <w:rPr>
                                <w:lang w:val="fr-CH"/>
                              </w:rPr>
                              <w:t>ceinture multi-génération</w:t>
                            </w:r>
                            <w:r>
                              <w:rPr>
                                <w:lang w:val="fr-CH"/>
                              </w:rPr>
                              <w:t> »</w:t>
                            </w:r>
                            <w:r w:rsidRPr="00A77E4C">
                              <w:rPr>
                                <w:lang w:val="fr-CH"/>
                              </w:rPr>
                              <w:t xml:space="preserve"> peut être réglé vers le haut ou vers le bas afin d’adapter sa position aux occupants de petite taille, comme les enfants.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294.2pt;margin-top:10.15pt;width:173.9pt;height:6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" fillcolor="white [3201]" stroked="f" strokeweight=".5pt">
                <v:textbox inset="0,0,0,0">
                  <w:txbxContent>
                    <w:p w:rsidR="00A77E4C" w:rsidRPr="00A77E4C" w:rsidRDefault="00A77E4C" w:rsidP="00A77E4C">
                      <w:pPr>
                        <w:spacing w:line="240" w:lineRule="auto"/>
                        <w:jc w:val="center"/>
                      </w:pPr>
                      <w:r w:rsidRPr="00A77E4C">
                        <w:rPr>
                          <w:lang w:val="fr-CH"/>
                        </w:rPr>
                        <w:t>L’</w:t>
                      </w:r>
                      <w:r>
                        <w:rPr>
                          <w:lang w:val="fr-CH"/>
                        </w:rPr>
                        <w:t>ancrage supérieur de la « </w:t>
                      </w:r>
                      <w:r w:rsidRPr="00A77E4C">
                        <w:rPr>
                          <w:lang w:val="fr-CH"/>
                        </w:rPr>
                        <w:t>ceinture multi-génération</w:t>
                      </w:r>
                      <w:r>
                        <w:rPr>
                          <w:lang w:val="fr-CH"/>
                        </w:rPr>
                        <w:t> »</w:t>
                      </w:r>
                      <w:r w:rsidRPr="00A77E4C">
                        <w:rPr>
                          <w:lang w:val="fr-CH"/>
                        </w:rPr>
                        <w:t xml:space="preserve"> peut être réglé vers le haut ou vers le bas afin d’adapter sa position aux occupants de petite taille, comme les enfants.</w:t>
                      </w:r>
                    </w:p>
                  </w:txbxContent>
                </v:textbox>
                <w10:wrap anchorx="margin"/>
              </v:shape>
            </w:pict>
          </mc:Fallback>
        </mc:AlternateContent>
      </w:r>
      <w:r w:rsidR="00434CC1" w:rsidRPr="00A77E4C">
        <w:rPr>
          <w:b/>
          <w:bCs/>
          <w:noProof/>
          <w:lang w:val="en-GB" w:eastAsia="en-GB"/>
        </w:rPr>
        <w:drawing>
          <wp:inline distT="0" distB="0" distL="0" distR="0" wp14:anchorId="005218B9" wp14:editId="688B1240">
            <wp:extent cx="5245100" cy="3166110"/>
            <wp:effectExtent l="19050" t="19050" r="1270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5100" cy="3166110"/>
                    </a:xfrm>
                    <a:prstGeom prst="rect">
                      <a:avLst/>
                    </a:prstGeom>
                    <a:noFill/>
                    <a:ln>
                      <a:solidFill>
                        <a:prstClr val="black"/>
                      </a:solidFill>
                    </a:ln>
                  </pic:spPr>
                </pic:pic>
              </a:graphicData>
            </a:graphic>
          </wp:inline>
        </w:drawing>
      </w:r>
    </w:p>
    <w:p w:rsidR="00A77E4C" w:rsidRPr="00A77E4C" w:rsidRDefault="00A77E4C" w:rsidP="00A77E4C">
      <w:pPr>
        <w:pStyle w:val="SingleTxt"/>
        <w:spacing w:after="0" w:line="120" w:lineRule="exact"/>
        <w:rPr>
          <w:sz w:val="10"/>
          <w:lang w:val="fr-CH"/>
        </w:rPr>
      </w:pPr>
    </w:p>
    <w:p w:rsidR="00434CC1" w:rsidRPr="00A77E4C" w:rsidRDefault="00434CC1" w:rsidP="00A77E4C">
      <w:pPr>
        <w:pStyle w:val="FootnoteText"/>
        <w:tabs>
          <w:tab w:val="right" w:pos="1476"/>
          <w:tab w:val="left" w:pos="1548"/>
          <w:tab w:val="right" w:pos="1836"/>
          <w:tab w:val="left" w:pos="1908"/>
        </w:tabs>
        <w:ind w:left="1548" w:right="1267" w:hanging="288"/>
        <w:rPr>
          <w:b/>
          <w:bCs/>
          <w:lang w:val="fr-CH"/>
        </w:rPr>
      </w:pPr>
      <w:r w:rsidRPr="00A77E4C">
        <w:rPr>
          <w:b/>
          <w:bCs/>
          <w:i/>
          <w:iCs/>
          <w:lang w:val="fr-CH"/>
        </w:rPr>
        <w:t>Source</w:t>
      </w:r>
      <w:r w:rsidR="00A77E4C" w:rsidRPr="00A77E4C">
        <w:rPr>
          <w:b/>
          <w:bCs/>
          <w:lang w:val="fr-CH"/>
        </w:rPr>
        <w:t> </w:t>
      </w:r>
      <w:r w:rsidRPr="00A77E4C">
        <w:rPr>
          <w:b/>
          <w:bCs/>
          <w:lang w:val="fr-CH"/>
        </w:rPr>
        <w:t>: Cette figure est tirée du document informel GRSP-50-23, soumis par l’expert de l’Allemagne.</w:t>
      </w:r>
    </w:p>
    <w:p w:rsidR="00434CC1" w:rsidRPr="00A77E4C" w:rsidRDefault="00434CC1" w:rsidP="00A77E4C">
      <w:pPr>
        <w:pStyle w:val="SingleTxt"/>
        <w:spacing w:after="0" w:line="120" w:lineRule="exact"/>
        <w:rPr>
          <w:sz w:val="10"/>
          <w:lang w:val="fr-CH"/>
        </w:rPr>
      </w:pPr>
    </w:p>
    <w:p w:rsidR="00A77E4C" w:rsidRPr="00A77E4C" w:rsidRDefault="00A77E4C" w:rsidP="00A77E4C">
      <w:pPr>
        <w:pStyle w:val="SingleTxt"/>
        <w:spacing w:after="0" w:line="120" w:lineRule="exact"/>
        <w:rPr>
          <w:sz w:val="10"/>
          <w:lang w:val="fr-CH"/>
        </w:rPr>
      </w:pPr>
    </w:p>
    <w:p w:rsidR="00434CC1" w:rsidRPr="00A77E4C" w:rsidRDefault="00A77E4C" w:rsidP="00A77E4C">
      <w:pPr>
        <w:pStyle w:val="SingleTxt"/>
        <w:rPr>
          <w:lang w:val="fr-CH"/>
        </w:rPr>
      </w:pPr>
      <w:r w:rsidRPr="00A77E4C">
        <w:rPr>
          <w:lang w:val="fr-CH"/>
        </w:rPr>
        <w:tab/>
      </w:r>
      <w:r w:rsidR="00434CC1" w:rsidRPr="00A77E4C">
        <w:rPr>
          <w:lang w:val="fr-CH"/>
        </w:rPr>
        <w:t>Exemples de solutions qui ne doivent pas être utilisées parce qu’elles font remonter la ceinture et aggravent ainsi le risque de sous-marinage. Les photos sur les côtés montr</w:t>
      </w:r>
      <w:r>
        <w:rPr>
          <w:lang w:val="fr-CH"/>
        </w:rPr>
        <w:t>ent des exemples de cas où des « </w:t>
      </w:r>
      <w:r w:rsidR="00434CC1" w:rsidRPr="00A77E4C">
        <w:rPr>
          <w:lang w:val="fr-CH"/>
        </w:rPr>
        <w:t>éléments supplémentaires</w:t>
      </w:r>
      <w:r>
        <w:rPr>
          <w:lang w:val="fr-CH"/>
        </w:rPr>
        <w:t> »</w:t>
      </w:r>
      <w:r w:rsidR="00434CC1" w:rsidRPr="00A77E4C">
        <w:rPr>
          <w:lang w:val="fr-CH"/>
        </w:rPr>
        <w:t xml:space="preserve"> ont été ajoutés et ne seront sans doute pas être soumis à l’homologation de type; quant à l’image du milieu, elle montre un système de ceinture de sécurité, mais la définition du Règlement ONU est telle que ce type sort du champ d’application.</w:t>
      </w:r>
    </w:p>
    <w:p w:rsidR="00A77E4C" w:rsidRPr="00A77E4C" w:rsidRDefault="00A77E4C" w:rsidP="00A77E4C">
      <w:pPr>
        <w:pStyle w:val="SingleTxt"/>
        <w:spacing w:after="0" w:line="120" w:lineRule="exact"/>
        <w:rPr>
          <w:sz w:val="10"/>
          <w:u w:val="single"/>
          <w:lang w:val="fr-CH"/>
        </w:rPr>
      </w:pPr>
    </w:p>
    <w:p w:rsidR="00434CC1" w:rsidRPr="00A77E4C" w:rsidRDefault="00434CC1" w:rsidP="00434CC1">
      <w:pPr>
        <w:pStyle w:val="SingleTxt"/>
        <w:spacing w:after="0" w:line="240" w:lineRule="auto"/>
        <w:rPr>
          <w:u w:val="single"/>
          <w:lang w:val="fr-CH"/>
        </w:rPr>
      </w:pPr>
      <w:r w:rsidRPr="00A77E4C">
        <w:rPr>
          <w:noProof/>
          <w:lang w:val="en-GB" w:eastAsia="en-GB"/>
        </w:rPr>
        <w:drawing>
          <wp:inline distT="0" distB="0" distL="0" distR="0" wp14:anchorId="3A47FF10" wp14:editId="7710DA8E">
            <wp:extent cx="5555615" cy="1362710"/>
            <wp:effectExtent l="0" t="0" r="698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5615" cy="1362710"/>
                    </a:xfrm>
                    <a:prstGeom prst="rect">
                      <a:avLst/>
                    </a:prstGeom>
                    <a:noFill/>
                    <a:ln>
                      <a:noFill/>
                    </a:ln>
                  </pic:spPr>
                </pic:pic>
              </a:graphicData>
            </a:graphic>
          </wp:inline>
        </w:drawing>
      </w:r>
    </w:p>
    <w:p w:rsidR="00434CC1" w:rsidRPr="00A77E4C" w:rsidRDefault="009A394C" w:rsidP="009A394C">
      <w:pPr>
        <w:pStyle w:val="SingleTxt"/>
        <w:spacing w:after="0" w:line="240" w:lineRule="auto"/>
        <w:rPr>
          <w:lang w:val="fr-CH"/>
        </w:rPr>
      </w:pPr>
      <w:r w:rsidRPr="00A77E4C">
        <w:rPr>
          <w:noProof/>
          <w:w w:val="100"/>
          <w:lang w:val="en-GB" w:eastAsia="en-GB"/>
        </w:rPr>
        <mc:AlternateContent>
          <mc:Choice Requires="wps">
            <w:drawing>
              <wp:anchor distT="0" distB="0" distL="114300" distR="114300" simplePos="0" relativeHeight="251659264" behindDoc="0" locked="0" layoutInCell="1" allowOverlap="1" wp14:anchorId="5C9D804E" wp14:editId="215020CE">
                <wp:simplePos x="0" y="0"/>
                <wp:positionH relativeFrom="page">
                  <wp:posOffset>3429000</wp:posOffset>
                </wp:positionH>
                <wp:positionV relativeFrom="paragraph">
                  <wp:posOffset>304800</wp:posOffset>
                </wp:positionV>
                <wp:extent cx="9144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" strokecolor="#010000" strokeweight=".25pt">
                <w10:wrap anchorx="page"/>
              </v:line>
            </w:pict>
          </mc:Fallback>
        </mc:AlternateContent>
      </w:r>
    </w:p>
    <w:sectPr w:rsidR="00434CC1" w:rsidRPr="00A77E4C" w:rsidSect="00204774">
      <w:footnotePr>
        <w:numStart w:val="3"/>
      </w:footnotePr>
      <w:endnotePr>
        <w:numFmt w:val="decimal"/>
      </w:endnotePr>
      <w:type w:val="continuous"/>
      <w:pgSz w:w="11909" w:h="16834"/>
      <w:pgMar w:top="1742" w:right="936" w:bottom="1898" w:left="936"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11-19T14:43:00Z" w:initials="Start">
    <w:p w:rsidR="00204774" w:rsidRPr="00434CC1" w:rsidRDefault="00204774">
      <w:pPr>
        <w:pStyle w:val="CommentText"/>
        <w:rPr>
          <w:lang w:val="en-US"/>
        </w:rPr>
      </w:pPr>
      <w:r>
        <w:fldChar w:fldCharType="begin"/>
      </w:r>
      <w:r w:rsidRPr="00434CC1">
        <w:rPr>
          <w:rStyle w:val="CommentReference"/>
          <w:lang w:val="en-US"/>
        </w:rPr>
        <w:instrText xml:space="preserve"> </w:instrText>
      </w:r>
      <w:r w:rsidRPr="00434CC1">
        <w:rPr>
          <w:lang w:val="en-US"/>
        </w:rPr>
        <w:instrText>PAGE \# "'Page: '#'</w:instrText>
      </w:r>
      <w:r w:rsidRPr="00434CC1">
        <w:rPr>
          <w:lang w:val="en-US"/>
        </w:rPr>
        <w:br/>
        <w:instrText>'"</w:instrText>
      </w:r>
      <w:r w:rsidRPr="00434CC1">
        <w:rPr>
          <w:rStyle w:val="CommentReference"/>
          <w:lang w:val="en-US"/>
        </w:rPr>
        <w:instrText xml:space="preserve"> </w:instrText>
      </w:r>
      <w:r>
        <w:fldChar w:fldCharType="end"/>
      </w:r>
      <w:r>
        <w:rPr>
          <w:rStyle w:val="CommentReference"/>
        </w:rPr>
        <w:annotationRef/>
      </w:r>
      <w:r w:rsidRPr="00434CC1">
        <w:rPr>
          <w:lang w:val="en-US"/>
        </w:rPr>
        <w:t>&lt;&lt;ODS JOB NO&gt;&gt;N1521395F&lt;&lt;ODS JOB NO&gt;&gt;</w:t>
      </w:r>
    </w:p>
    <w:p w:rsidR="00204774" w:rsidRDefault="00204774">
      <w:pPr>
        <w:pStyle w:val="CommentText"/>
      </w:pPr>
      <w:r>
        <w:t>&lt;&lt;ODS DOC SYMBOL1&gt;&gt;ECE/TRANS/WP.29/GRSP/2015/25&lt;&lt;ODS DOC SYMBOL1&gt;&gt;</w:t>
      </w:r>
    </w:p>
    <w:p w:rsidR="00204774" w:rsidRDefault="00204774">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8D7" w:rsidRDefault="004578D7" w:rsidP="00F3330B">
      <w:pPr>
        <w:spacing w:line="240" w:lineRule="auto"/>
      </w:pPr>
      <w:r>
        <w:separator/>
      </w:r>
    </w:p>
  </w:endnote>
  <w:endnote w:type="continuationSeparator" w:id="0">
    <w:p w:rsidR="004578D7" w:rsidRDefault="004578D7"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CellMar>
        <w:left w:w="70" w:type="dxa"/>
        <w:right w:w="70" w:type="dxa"/>
      </w:tblCellMar>
      <w:tblLook w:val="0000" w:firstRow="0" w:lastRow="0" w:firstColumn="0" w:lastColumn="0" w:noHBand="0" w:noVBand="0"/>
    </w:tblPr>
    <w:tblGrid>
      <w:gridCol w:w="5088"/>
      <w:gridCol w:w="5089"/>
    </w:tblGrid>
    <w:tr w:rsidR="00204774" w:rsidTr="00204774">
      <w:trPr>
        <w:jc w:val="center"/>
      </w:trPr>
      <w:tc>
        <w:tcPr>
          <w:tcW w:w="5088" w:type="dxa"/>
          <w:shd w:val="clear" w:color="auto" w:fill="auto"/>
        </w:tcPr>
        <w:p w:rsidR="00204774" w:rsidRPr="00204774" w:rsidRDefault="00204774" w:rsidP="00204774">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7E25E3">
            <w:rPr>
              <w:b w:val="0"/>
              <w:w w:val="103"/>
              <w:sz w:val="14"/>
            </w:rPr>
            <w:t>GE.15-15997</w:t>
          </w:r>
          <w:r>
            <w:rPr>
              <w:b w:val="0"/>
              <w:w w:val="103"/>
              <w:sz w:val="14"/>
            </w:rPr>
            <w:fldChar w:fldCharType="end"/>
          </w:r>
        </w:p>
      </w:tc>
      <w:tc>
        <w:tcPr>
          <w:tcW w:w="5089" w:type="dxa"/>
          <w:shd w:val="clear" w:color="auto" w:fill="auto"/>
        </w:tcPr>
        <w:p w:rsidR="00204774" w:rsidRPr="00204774" w:rsidRDefault="00204774" w:rsidP="00204774">
          <w:pPr>
            <w:pStyle w:val="Footer"/>
            <w:rPr>
              <w:w w:val="103"/>
            </w:rPr>
          </w:pPr>
          <w:r>
            <w:rPr>
              <w:w w:val="103"/>
            </w:rPr>
            <w:fldChar w:fldCharType="begin"/>
          </w:r>
          <w:r>
            <w:rPr>
              <w:w w:val="103"/>
            </w:rPr>
            <w:instrText xml:space="preserve"> PAGE  \* Arabic  \* MERGEFORMAT </w:instrText>
          </w:r>
          <w:r>
            <w:rPr>
              <w:w w:val="103"/>
            </w:rPr>
            <w:fldChar w:fldCharType="separate"/>
          </w:r>
          <w:r w:rsidR="00C37434">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C37434">
            <w:rPr>
              <w:noProof/>
              <w:w w:val="103"/>
            </w:rPr>
            <w:t>5</w:t>
          </w:r>
          <w:r>
            <w:rPr>
              <w:w w:val="103"/>
            </w:rPr>
            <w:fldChar w:fldCharType="end"/>
          </w:r>
        </w:p>
      </w:tc>
    </w:tr>
  </w:tbl>
  <w:p w:rsidR="00204774" w:rsidRPr="00204774" w:rsidRDefault="00204774" w:rsidP="002047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CellMar>
        <w:left w:w="70" w:type="dxa"/>
        <w:right w:w="70" w:type="dxa"/>
      </w:tblCellMar>
      <w:tblLook w:val="0000" w:firstRow="0" w:lastRow="0" w:firstColumn="0" w:lastColumn="0" w:noHBand="0" w:noVBand="0"/>
    </w:tblPr>
    <w:tblGrid>
      <w:gridCol w:w="5088"/>
      <w:gridCol w:w="5089"/>
    </w:tblGrid>
    <w:tr w:rsidR="00204774" w:rsidTr="00204774">
      <w:trPr>
        <w:jc w:val="center"/>
      </w:trPr>
      <w:tc>
        <w:tcPr>
          <w:tcW w:w="5088" w:type="dxa"/>
          <w:shd w:val="clear" w:color="auto" w:fill="auto"/>
        </w:tcPr>
        <w:p w:rsidR="00204774" w:rsidRPr="00204774" w:rsidRDefault="00204774" w:rsidP="00204774">
          <w:pPr>
            <w:pStyle w:val="Footer"/>
            <w:jc w:val="right"/>
            <w:rPr>
              <w:w w:val="103"/>
            </w:rPr>
          </w:pPr>
          <w:r>
            <w:rPr>
              <w:w w:val="103"/>
            </w:rPr>
            <w:fldChar w:fldCharType="begin"/>
          </w:r>
          <w:r>
            <w:rPr>
              <w:w w:val="103"/>
            </w:rPr>
            <w:instrText xml:space="preserve"> PAGE  \* Arabic  \* MERGEFORMAT </w:instrText>
          </w:r>
          <w:r>
            <w:rPr>
              <w:w w:val="103"/>
            </w:rPr>
            <w:fldChar w:fldCharType="separate"/>
          </w:r>
          <w:r w:rsidR="00C37434">
            <w:rPr>
              <w:noProof/>
              <w:w w:val="103"/>
            </w:rPr>
            <w:t>5</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C37434">
            <w:rPr>
              <w:noProof/>
              <w:w w:val="103"/>
            </w:rPr>
            <w:t>5</w:t>
          </w:r>
          <w:r>
            <w:rPr>
              <w:w w:val="103"/>
            </w:rPr>
            <w:fldChar w:fldCharType="end"/>
          </w:r>
        </w:p>
      </w:tc>
      <w:tc>
        <w:tcPr>
          <w:tcW w:w="5089" w:type="dxa"/>
          <w:shd w:val="clear" w:color="auto" w:fill="auto"/>
        </w:tcPr>
        <w:p w:rsidR="00204774" w:rsidRPr="00204774" w:rsidRDefault="00204774" w:rsidP="00204774">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7E25E3">
            <w:rPr>
              <w:b w:val="0"/>
              <w:w w:val="103"/>
              <w:sz w:val="14"/>
            </w:rPr>
            <w:t>GE.15-15997</w:t>
          </w:r>
          <w:r>
            <w:rPr>
              <w:b w:val="0"/>
              <w:w w:val="103"/>
              <w:sz w:val="14"/>
            </w:rPr>
            <w:fldChar w:fldCharType="end"/>
          </w:r>
        </w:p>
      </w:tc>
    </w:tr>
  </w:tbl>
  <w:p w:rsidR="00204774" w:rsidRPr="00204774" w:rsidRDefault="00204774" w:rsidP="002047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774" w:rsidRDefault="00204774">
    <w:pPr>
      <w:pStyle w:val="Footer"/>
    </w:pPr>
    <w:r>
      <w:rPr>
        <w:noProof/>
        <w:lang w:val="en-GB" w:eastAsia="en-GB"/>
      </w:rPr>
      <w:drawing>
        <wp:anchor distT="0" distB="0" distL="114300" distR="114300" simplePos="0" relativeHeight="251658240" behindDoc="0" locked="0" layoutInCell="1" allowOverlap="1" wp14:anchorId="1369C392" wp14:editId="5B8073AE">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WP.29/GRSP/2015/25&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GRSP/2015/25&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70" w:type="dxa"/>
        <w:right w:w="70" w:type="dxa"/>
      </w:tblCellMar>
      <w:tblLook w:val="0000" w:firstRow="0" w:lastRow="0" w:firstColumn="0" w:lastColumn="0" w:noHBand="0" w:noVBand="0"/>
    </w:tblPr>
    <w:tblGrid>
      <w:gridCol w:w="3859"/>
      <w:gridCol w:w="5089"/>
    </w:tblGrid>
    <w:tr w:rsidR="00204774" w:rsidTr="00204774">
      <w:tc>
        <w:tcPr>
          <w:tcW w:w="3859" w:type="dxa"/>
        </w:tcPr>
        <w:p w:rsidR="00204774" w:rsidRDefault="00204774" w:rsidP="00204774">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7E25E3">
            <w:rPr>
              <w:b w:val="0"/>
              <w:sz w:val="20"/>
            </w:rPr>
            <w:t>GE.15-15997 (F)</w:t>
          </w:r>
          <w:r>
            <w:rPr>
              <w:b w:val="0"/>
              <w:sz w:val="20"/>
            </w:rPr>
            <w:fldChar w:fldCharType="end"/>
          </w:r>
          <w:r>
            <w:rPr>
              <w:b w:val="0"/>
              <w:sz w:val="20"/>
            </w:rPr>
            <w:t xml:space="preserve">    191115    191115</w:t>
          </w:r>
        </w:p>
        <w:p w:rsidR="00204774" w:rsidRPr="00204774" w:rsidRDefault="00204774" w:rsidP="00204774">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7E25E3">
            <w:rPr>
              <w:rFonts w:ascii="Barcode 3 of 9 by request" w:hAnsi="Barcode 3 of 9 by request"/>
              <w:b w:val="0"/>
              <w:spacing w:val="0"/>
              <w:w w:val="100"/>
              <w:sz w:val="24"/>
            </w:rPr>
            <w:t>*1515997*</w:t>
          </w:r>
          <w:r>
            <w:rPr>
              <w:rFonts w:ascii="Barcode 3 of 9 by request" w:hAnsi="Barcode 3 of 9 by request"/>
              <w:b w:val="0"/>
              <w:spacing w:val="0"/>
              <w:w w:val="100"/>
              <w:sz w:val="24"/>
            </w:rPr>
            <w:fldChar w:fldCharType="end"/>
          </w:r>
        </w:p>
      </w:tc>
      <w:tc>
        <w:tcPr>
          <w:tcW w:w="5089" w:type="dxa"/>
        </w:tcPr>
        <w:p w:rsidR="00204774" w:rsidRDefault="00204774" w:rsidP="00204774">
          <w:pPr>
            <w:pStyle w:val="Footer"/>
            <w:spacing w:line="240" w:lineRule="atLeast"/>
            <w:jc w:val="right"/>
            <w:rPr>
              <w:b w:val="0"/>
              <w:sz w:val="20"/>
            </w:rPr>
          </w:pPr>
          <w:r>
            <w:rPr>
              <w:b w:val="0"/>
              <w:noProof/>
              <w:sz w:val="20"/>
              <w:lang w:val="en-GB" w:eastAsia="en-GB"/>
            </w:rPr>
            <w:drawing>
              <wp:inline distT="0" distB="0" distL="0" distR="0" wp14:anchorId="69E2CA87" wp14:editId="3C808199">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204774" w:rsidRPr="00204774" w:rsidRDefault="00204774" w:rsidP="00204774">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8D7" w:rsidRPr="00434CC1" w:rsidRDefault="00434CC1" w:rsidP="00434CC1">
      <w:pPr>
        <w:pStyle w:val="Footer"/>
        <w:spacing w:after="80"/>
        <w:ind w:left="792"/>
        <w:rPr>
          <w:sz w:val="16"/>
        </w:rPr>
      </w:pPr>
      <w:r w:rsidRPr="00434CC1">
        <w:rPr>
          <w:sz w:val="16"/>
        </w:rPr>
        <w:t>__________________</w:t>
      </w:r>
    </w:p>
  </w:footnote>
  <w:footnote w:type="continuationSeparator" w:id="0">
    <w:p w:rsidR="004578D7" w:rsidRPr="00434CC1" w:rsidRDefault="00434CC1" w:rsidP="00434CC1">
      <w:pPr>
        <w:pStyle w:val="Footer"/>
        <w:spacing w:after="80"/>
        <w:ind w:left="792"/>
        <w:rPr>
          <w:sz w:val="16"/>
        </w:rPr>
      </w:pPr>
      <w:r w:rsidRPr="00434CC1">
        <w:rPr>
          <w:sz w:val="16"/>
        </w:rPr>
        <w:t>__________________</w:t>
      </w:r>
    </w:p>
  </w:footnote>
  <w:footnote w:id="1">
    <w:p w:rsidR="00434CC1" w:rsidRPr="00434CC1" w:rsidRDefault="00434CC1" w:rsidP="00434CC1">
      <w:pPr>
        <w:pStyle w:val="FootnoteText"/>
        <w:tabs>
          <w:tab w:val="right" w:pos="1195"/>
          <w:tab w:val="left" w:pos="1267"/>
          <w:tab w:val="left" w:pos="1742"/>
          <w:tab w:val="left" w:pos="2218"/>
          <w:tab w:val="left" w:pos="2693"/>
        </w:tabs>
        <w:ind w:left="1267" w:right="1260" w:hanging="432"/>
        <w:rPr>
          <w:spacing w:val="2"/>
        </w:rPr>
      </w:pPr>
      <w:r w:rsidRPr="00434CC1">
        <w:tab/>
      </w:r>
      <w:r w:rsidRPr="00434CC1">
        <w:rPr>
          <w:rStyle w:val="FootnoteReference"/>
          <w:vertAlign w:val="baseline"/>
        </w:rPr>
        <w:t>*</w:t>
      </w:r>
      <w:r w:rsidRPr="00434CC1">
        <w:tab/>
      </w:r>
      <w:r w:rsidRPr="00434CC1">
        <w:rPr>
          <w:spacing w:val="2"/>
        </w:rPr>
        <w:t>Conformément au programme de travail du Comité des transports intérieurs pour la période 2012-2016 (ECE/TRANS/224, par.</w:t>
      </w:r>
      <w:r>
        <w:rPr>
          <w:spacing w:val="2"/>
        </w:rPr>
        <w:t> </w:t>
      </w:r>
      <w:r w:rsidRPr="00434CC1">
        <w:rPr>
          <w:spacing w:val="2"/>
        </w:rPr>
        <w:t>94,</w:t>
      </w:r>
      <w:r>
        <w:rPr>
          <w:spacing w:val="2"/>
        </w:rPr>
        <w:t xml:space="preserve"> et ECE/TRANS/2012/12, activité </w:t>
      </w:r>
      <w:r w:rsidRPr="00434CC1">
        <w:rPr>
          <w:spacing w:val="2"/>
        </w:rPr>
        <w:t>02.4), le Forum mondial a pour mission d</w:t>
      </w:r>
      <w:r>
        <w:rPr>
          <w:spacing w:val="2"/>
        </w:rPr>
        <w:t>’</w:t>
      </w:r>
      <w:r w:rsidRPr="00434CC1">
        <w:rPr>
          <w:spacing w:val="2"/>
        </w:rPr>
        <w:t>élaborer, d</w:t>
      </w:r>
      <w:r>
        <w:rPr>
          <w:spacing w:val="2"/>
        </w:rPr>
        <w:t>’</w:t>
      </w:r>
      <w:r w:rsidRPr="00434CC1">
        <w:rPr>
          <w:spacing w:val="2"/>
        </w:rPr>
        <w:t>harmoniser et de mettre à jour les Règlements en vue d</w:t>
      </w:r>
      <w:r>
        <w:rPr>
          <w:spacing w:val="2"/>
        </w:rPr>
        <w:t>’</w:t>
      </w:r>
      <w:r w:rsidRPr="00434CC1">
        <w:rPr>
          <w:spacing w:val="2"/>
        </w:rPr>
        <w:t>améliorer les caractéristiques fonctionnelles des véhicules. Le présent document est soumis dans le cadre de ce mandat.</w:t>
      </w:r>
    </w:p>
  </w:footnote>
  <w:footnote w:id="2">
    <w:p w:rsidR="009A394C" w:rsidRPr="009A394C" w:rsidRDefault="009A394C" w:rsidP="009A394C">
      <w:pPr>
        <w:pStyle w:val="FootnoteText"/>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spacing w:val="5"/>
          <w:w w:val="104"/>
          <w:lang w:val="fr-CH"/>
        </w:rPr>
      </w:pPr>
      <w:r>
        <w:tab/>
      </w:r>
      <w:r>
        <w:rPr>
          <w:rStyle w:val="FootnoteReference"/>
        </w:rPr>
        <w:footnoteRef/>
      </w:r>
      <w:r>
        <w:t xml:space="preserve"> </w:t>
      </w:r>
      <w:r>
        <w:tab/>
        <w:t>Indiquer le type de rétracteur.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204774" w:rsidTr="00204774">
      <w:trPr>
        <w:trHeight w:hRule="exact" w:val="864"/>
        <w:jc w:val="center"/>
      </w:trPr>
      <w:tc>
        <w:tcPr>
          <w:tcW w:w="4882" w:type="dxa"/>
          <w:shd w:val="clear" w:color="auto" w:fill="auto"/>
          <w:vAlign w:val="bottom"/>
        </w:tcPr>
        <w:p w:rsidR="00204774" w:rsidRPr="00204774" w:rsidRDefault="00204774" w:rsidP="00204774">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7E25E3">
            <w:rPr>
              <w:b/>
              <w:color w:val="000000"/>
            </w:rPr>
            <w:t>ECE/TRANS/WP.29/GRSP/2015/25</w:t>
          </w:r>
          <w:r>
            <w:rPr>
              <w:b/>
              <w:color w:val="000000"/>
            </w:rPr>
            <w:fldChar w:fldCharType="end"/>
          </w:r>
        </w:p>
      </w:tc>
      <w:tc>
        <w:tcPr>
          <w:tcW w:w="5089" w:type="dxa"/>
          <w:shd w:val="clear" w:color="auto" w:fill="auto"/>
          <w:vAlign w:val="bottom"/>
        </w:tcPr>
        <w:p w:rsidR="00204774" w:rsidRDefault="00204774" w:rsidP="00204774">
          <w:pPr>
            <w:pStyle w:val="Header"/>
          </w:pPr>
        </w:p>
      </w:tc>
    </w:tr>
  </w:tbl>
  <w:p w:rsidR="00204774" w:rsidRPr="00204774" w:rsidRDefault="00204774" w:rsidP="00204774">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204774" w:rsidTr="00204774">
      <w:trPr>
        <w:trHeight w:hRule="exact" w:val="864"/>
        <w:jc w:val="center"/>
      </w:trPr>
      <w:tc>
        <w:tcPr>
          <w:tcW w:w="4882" w:type="dxa"/>
          <w:shd w:val="clear" w:color="auto" w:fill="auto"/>
          <w:vAlign w:val="bottom"/>
        </w:tcPr>
        <w:p w:rsidR="00204774" w:rsidRDefault="00204774" w:rsidP="00204774">
          <w:pPr>
            <w:pStyle w:val="Header"/>
          </w:pPr>
        </w:p>
      </w:tc>
      <w:tc>
        <w:tcPr>
          <w:tcW w:w="5089" w:type="dxa"/>
          <w:shd w:val="clear" w:color="auto" w:fill="auto"/>
          <w:vAlign w:val="bottom"/>
        </w:tcPr>
        <w:p w:rsidR="00204774" w:rsidRPr="00204774" w:rsidRDefault="00204774" w:rsidP="00204774">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7E25E3">
            <w:rPr>
              <w:b/>
              <w:color w:val="000000"/>
            </w:rPr>
            <w:t>ECE/TRANS/WP.29/GRSP/2015/25</w:t>
          </w:r>
          <w:r>
            <w:rPr>
              <w:b/>
              <w:color w:val="000000"/>
            </w:rPr>
            <w:fldChar w:fldCharType="end"/>
          </w:r>
        </w:p>
      </w:tc>
    </w:tr>
  </w:tbl>
  <w:p w:rsidR="00204774" w:rsidRPr="00204774" w:rsidRDefault="00204774" w:rsidP="00204774">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204774" w:rsidTr="00204774">
      <w:trPr>
        <w:trHeight w:hRule="exact" w:val="864"/>
      </w:trPr>
      <w:tc>
        <w:tcPr>
          <w:tcW w:w="1267" w:type="dxa"/>
          <w:tcBorders>
            <w:bottom w:val="single" w:sz="4" w:space="0" w:color="auto"/>
          </w:tcBorders>
          <w:shd w:val="clear" w:color="auto" w:fill="auto"/>
          <w:vAlign w:val="bottom"/>
        </w:tcPr>
        <w:p w:rsidR="00204774" w:rsidRDefault="00204774" w:rsidP="00204774">
          <w:pPr>
            <w:pStyle w:val="Header"/>
            <w:spacing w:after="120"/>
          </w:pPr>
        </w:p>
      </w:tc>
      <w:tc>
        <w:tcPr>
          <w:tcW w:w="2059" w:type="dxa"/>
          <w:tcBorders>
            <w:bottom w:val="single" w:sz="4" w:space="0" w:color="auto"/>
          </w:tcBorders>
          <w:shd w:val="clear" w:color="auto" w:fill="auto"/>
          <w:vAlign w:val="bottom"/>
        </w:tcPr>
        <w:p w:rsidR="00204774" w:rsidRPr="00204774" w:rsidRDefault="00204774" w:rsidP="00204774">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204774" w:rsidRDefault="00204774" w:rsidP="00204774">
          <w:pPr>
            <w:pStyle w:val="Header"/>
            <w:spacing w:after="120"/>
          </w:pPr>
        </w:p>
      </w:tc>
      <w:tc>
        <w:tcPr>
          <w:tcW w:w="6653" w:type="dxa"/>
          <w:gridSpan w:val="4"/>
          <w:tcBorders>
            <w:bottom w:val="single" w:sz="4" w:space="0" w:color="auto"/>
          </w:tcBorders>
          <w:shd w:val="clear" w:color="auto" w:fill="auto"/>
          <w:vAlign w:val="bottom"/>
        </w:tcPr>
        <w:p w:rsidR="00204774" w:rsidRPr="00204774" w:rsidRDefault="00204774" w:rsidP="00204774">
          <w:pPr>
            <w:spacing w:after="80" w:line="240" w:lineRule="auto"/>
            <w:jc w:val="right"/>
            <w:rPr>
              <w:position w:val="-4"/>
            </w:rPr>
          </w:pPr>
          <w:r>
            <w:rPr>
              <w:position w:val="-4"/>
              <w:sz w:val="40"/>
            </w:rPr>
            <w:t>ECE</w:t>
          </w:r>
          <w:r>
            <w:rPr>
              <w:position w:val="-4"/>
            </w:rPr>
            <w:t>/TRANS/WP.29/GRSP/2015/25</w:t>
          </w:r>
        </w:p>
      </w:tc>
    </w:tr>
    <w:tr w:rsidR="00204774" w:rsidRPr="00204774" w:rsidTr="00204774">
      <w:trPr>
        <w:gridAfter w:val="1"/>
        <w:wAfter w:w="18" w:type="dxa"/>
        <w:trHeight w:hRule="exact" w:val="2880"/>
      </w:trPr>
      <w:tc>
        <w:tcPr>
          <w:tcW w:w="1267" w:type="dxa"/>
          <w:tcBorders>
            <w:top w:val="single" w:sz="4" w:space="0" w:color="auto"/>
            <w:bottom w:val="single" w:sz="12" w:space="0" w:color="auto"/>
          </w:tcBorders>
          <w:shd w:val="clear" w:color="auto" w:fill="auto"/>
        </w:tcPr>
        <w:p w:rsidR="00204774" w:rsidRPr="00204774" w:rsidRDefault="00204774" w:rsidP="00204774">
          <w:pPr>
            <w:pStyle w:val="Header"/>
            <w:spacing w:before="120" w:line="240" w:lineRule="auto"/>
            <w:ind w:left="-72"/>
            <w:jc w:val="center"/>
          </w:pPr>
          <w:r>
            <w:t xml:space="preserve">  </w:t>
          </w:r>
          <w:r>
            <w:rPr>
              <w:noProof/>
              <w:lang w:val="en-GB" w:eastAsia="en-GB"/>
            </w:rPr>
            <w:drawing>
              <wp:inline distT="0" distB="0" distL="0" distR="0" wp14:anchorId="7595E796" wp14:editId="12E26C84">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204774" w:rsidRPr="00204774" w:rsidRDefault="00204774" w:rsidP="00204774">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204774" w:rsidRPr="00204774" w:rsidRDefault="00204774" w:rsidP="00204774">
          <w:pPr>
            <w:pStyle w:val="Header"/>
            <w:spacing w:before="109"/>
          </w:pPr>
        </w:p>
      </w:tc>
      <w:tc>
        <w:tcPr>
          <w:tcW w:w="3280" w:type="dxa"/>
          <w:tcBorders>
            <w:top w:val="single" w:sz="4" w:space="0" w:color="auto"/>
            <w:bottom w:val="single" w:sz="12" w:space="0" w:color="auto"/>
          </w:tcBorders>
          <w:shd w:val="clear" w:color="auto" w:fill="auto"/>
        </w:tcPr>
        <w:p w:rsidR="00204774" w:rsidRPr="00434CC1" w:rsidRDefault="00204774" w:rsidP="00204774">
          <w:pPr>
            <w:pStyle w:val="Distribution"/>
            <w:rPr>
              <w:color w:val="000000"/>
              <w:lang w:val="fr-CH"/>
            </w:rPr>
          </w:pPr>
          <w:r w:rsidRPr="00434CC1">
            <w:rPr>
              <w:color w:val="000000"/>
              <w:lang w:val="fr-CH"/>
            </w:rPr>
            <w:t>Distr. générale</w:t>
          </w:r>
        </w:p>
        <w:p w:rsidR="00204774" w:rsidRPr="00434CC1" w:rsidRDefault="00204774" w:rsidP="00204774">
          <w:pPr>
            <w:pStyle w:val="Publication"/>
            <w:rPr>
              <w:color w:val="000000"/>
              <w:lang w:val="fr-CH"/>
            </w:rPr>
          </w:pPr>
          <w:r w:rsidRPr="00434CC1">
            <w:rPr>
              <w:color w:val="000000"/>
              <w:lang w:val="fr-CH"/>
            </w:rPr>
            <w:t>21 septembre 2015</w:t>
          </w:r>
        </w:p>
        <w:p w:rsidR="00204774" w:rsidRPr="00434CC1" w:rsidRDefault="00204774" w:rsidP="00204774">
          <w:pPr>
            <w:rPr>
              <w:lang w:val="fr-CH"/>
            </w:rPr>
          </w:pPr>
          <w:r w:rsidRPr="00434CC1">
            <w:rPr>
              <w:lang w:val="fr-CH"/>
            </w:rPr>
            <w:t>Français</w:t>
          </w:r>
        </w:p>
        <w:p w:rsidR="00204774" w:rsidRPr="00434CC1" w:rsidRDefault="00204774" w:rsidP="00204774">
          <w:pPr>
            <w:pStyle w:val="Original"/>
            <w:rPr>
              <w:color w:val="000000"/>
              <w:lang w:val="fr-CH"/>
            </w:rPr>
          </w:pPr>
          <w:r w:rsidRPr="00434CC1">
            <w:rPr>
              <w:color w:val="000000"/>
              <w:lang w:val="fr-CH"/>
            </w:rPr>
            <w:t>Original : anglais</w:t>
          </w:r>
        </w:p>
      </w:tc>
    </w:tr>
  </w:tbl>
  <w:p w:rsidR="00204774" w:rsidRPr="00434CC1" w:rsidRDefault="00204774" w:rsidP="00204774">
    <w:pPr>
      <w:pStyle w:val="Header"/>
      <w:spacing w:line="240" w:lineRule="auto"/>
      <w:rPr>
        <w:sz w:val="2"/>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06202F3E"/>
    <w:multiLevelType w:val="singleLevel"/>
    <w:tmpl w:val="CED2DE0A"/>
    <w:lvl w:ilvl="0">
      <w:start w:val="1"/>
      <w:numFmt w:val="decimal"/>
      <w:lvlRestart w:val="0"/>
      <w:lvlText w:val="%1."/>
      <w:lvlJc w:val="left"/>
      <w:pPr>
        <w:tabs>
          <w:tab w:val="num" w:pos="475"/>
        </w:tabs>
        <w:ind w:left="0" w:firstLine="0"/>
      </w:pPr>
      <w:rPr>
        <w:w w:val="100"/>
      </w:rPr>
    </w:lvl>
  </w:abstractNum>
  <w:abstractNum w:abstractNumId="2">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B62841"/>
    <w:multiLevelType w:val="hybridMultilevel"/>
    <w:tmpl w:val="335E2B76"/>
    <w:lvl w:ilvl="0" w:tplc="6E66B5CE">
      <w:start w:val="1"/>
      <w:numFmt w:val="lowerLetter"/>
      <w:lvlText w:val="(%1)"/>
      <w:lvlJc w:val="left"/>
      <w:pPr>
        <w:ind w:left="2628" w:hanging="360"/>
      </w:pPr>
      <w:rPr>
        <w:b w:val="0"/>
      </w:rPr>
    </w:lvl>
    <w:lvl w:ilvl="1" w:tplc="04130019">
      <w:start w:val="1"/>
      <w:numFmt w:val="lowerLetter"/>
      <w:lvlText w:val="%2."/>
      <w:lvlJc w:val="left"/>
      <w:pPr>
        <w:ind w:left="3348" w:hanging="360"/>
      </w:pPr>
    </w:lvl>
    <w:lvl w:ilvl="2" w:tplc="0413001B">
      <w:start w:val="1"/>
      <w:numFmt w:val="lowerRoman"/>
      <w:lvlText w:val="%3."/>
      <w:lvlJc w:val="right"/>
      <w:pPr>
        <w:ind w:left="4068" w:hanging="180"/>
      </w:pPr>
    </w:lvl>
    <w:lvl w:ilvl="3" w:tplc="0413000F">
      <w:start w:val="1"/>
      <w:numFmt w:val="decimal"/>
      <w:lvlText w:val="%4."/>
      <w:lvlJc w:val="left"/>
      <w:pPr>
        <w:ind w:left="4788" w:hanging="360"/>
      </w:pPr>
    </w:lvl>
    <w:lvl w:ilvl="4" w:tplc="04130019">
      <w:start w:val="1"/>
      <w:numFmt w:val="lowerLetter"/>
      <w:lvlText w:val="%5."/>
      <w:lvlJc w:val="left"/>
      <w:pPr>
        <w:ind w:left="5508" w:hanging="360"/>
      </w:pPr>
    </w:lvl>
    <w:lvl w:ilvl="5" w:tplc="0413001B">
      <w:start w:val="1"/>
      <w:numFmt w:val="lowerRoman"/>
      <w:lvlText w:val="%6."/>
      <w:lvlJc w:val="right"/>
      <w:pPr>
        <w:ind w:left="6228" w:hanging="180"/>
      </w:pPr>
    </w:lvl>
    <w:lvl w:ilvl="6" w:tplc="0413000F">
      <w:start w:val="1"/>
      <w:numFmt w:val="decimal"/>
      <w:lvlText w:val="%7."/>
      <w:lvlJc w:val="left"/>
      <w:pPr>
        <w:ind w:left="6948" w:hanging="360"/>
      </w:pPr>
    </w:lvl>
    <w:lvl w:ilvl="7" w:tplc="04130019">
      <w:start w:val="1"/>
      <w:numFmt w:val="lowerLetter"/>
      <w:lvlText w:val="%8."/>
      <w:lvlJc w:val="left"/>
      <w:pPr>
        <w:ind w:left="7668" w:hanging="360"/>
      </w:pPr>
    </w:lvl>
    <w:lvl w:ilvl="8" w:tplc="0413001B">
      <w:start w:val="1"/>
      <w:numFmt w:val="lowerRoman"/>
      <w:lvlText w:val="%9."/>
      <w:lvlJc w:val="right"/>
      <w:pPr>
        <w:ind w:left="8388" w:hanging="180"/>
      </w:pPr>
    </w:lvl>
  </w:abstractNum>
  <w:abstractNum w:abstractNumId="6">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SortMethod w:val="0003"/>
  <w:revisionView w:markup="0"/>
  <w:defaultTabStop w:val="475"/>
  <w:hyphenationZone w:val="425"/>
  <w:doNotHyphenateCaps/>
  <w:evenAndOddHeaders/>
  <w:characterSpacingControl w:val="doNotCompress"/>
  <w:hdrShapeDefaults>
    <o:shapedefaults v:ext="edit" spidmax="8193"/>
  </w:hdrShapeDefaults>
  <w:footnotePr>
    <w:footnote w:id="-1"/>
    <w:footnote w:id="0"/>
  </w:footnotePr>
  <w:endnotePr>
    <w:pos w:val="sectEnd"/>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5997*"/>
    <w:docVar w:name="CreationDt" w:val="11/19/2015 2:43: PM"/>
    <w:docVar w:name="DocCategory" w:val="Doc"/>
    <w:docVar w:name="DocType" w:val="Final"/>
    <w:docVar w:name="DutyStation" w:val="Geneva"/>
    <w:docVar w:name="FooterJN" w:val="GE.15-15997"/>
    <w:docVar w:name="jobn" w:val="GE.15-15997 (F)"/>
    <w:docVar w:name="jobnDT" w:val="GE.15-15997 (F)   191115"/>
    <w:docVar w:name="jobnDTDT" w:val="GE.15-15997 (F)   191115   191115"/>
    <w:docVar w:name="JobNo" w:val="GE.1515997F"/>
    <w:docVar w:name="JobNo2" w:val="GE.1521395F"/>
    <w:docVar w:name="LocalDrive" w:val="0"/>
    <w:docVar w:name="OandT" w:val="N.Morin"/>
    <w:docVar w:name="PaperSize" w:val="A4"/>
    <w:docVar w:name="sss1" w:val="ECE/TRANS/WP.29/GRSP/2015/25"/>
    <w:docVar w:name="sss2" w:val="-"/>
    <w:docVar w:name="Symbol1" w:val="ECE/TRANS/WP.29/GRSP/2015/25"/>
    <w:docVar w:name="Symbol2" w:val="-"/>
  </w:docVars>
  <w:rsids>
    <w:rsidRoot w:val="004578D7"/>
    <w:rsid w:val="000015B8"/>
    <w:rsid w:val="000046A5"/>
    <w:rsid w:val="000055FB"/>
    <w:rsid w:val="00010C97"/>
    <w:rsid w:val="00016483"/>
    <w:rsid w:val="00022173"/>
    <w:rsid w:val="0002226F"/>
    <w:rsid w:val="00022B4A"/>
    <w:rsid w:val="00023E37"/>
    <w:rsid w:val="000249FF"/>
    <w:rsid w:val="00025DE5"/>
    <w:rsid w:val="000274C2"/>
    <w:rsid w:val="00033DC9"/>
    <w:rsid w:val="000378DE"/>
    <w:rsid w:val="00040497"/>
    <w:rsid w:val="00041ABD"/>
    <w:rsid w:val="00046145"/>
    <w:rsid w:val="00050D9C"/>
    <w:rsid w:val="00054482"/>
    <w:rsid w:val="0005669A"/>
    <w:rsid w:val="00057151"/>
    <w:rsid w:val="000571B5"/>
    <w:rsid w:val="000616D7"/>
    <w:rsid w:val="000636D2"/>
    <w:rsid w:val="00063B2D"/>
    <w:rsid w:val="000643C1"/>
    <w:rsid w:val="000658A4"/>
    <w:rsid w:val="00065BD4"/>
    <w:rsid w:val="000675CF"/>
    <w:rsid w:val="00071173"/>
    <w:rsid w:val="0007246F"/>
    <w:rsid w:val="000746A5"/>
    <w:rsid w:val="00074EA0"/>
    <w:rsid w:val="000776CA"/>
    <w:rsid w:val="00077CC4"/>
    <w:rsid w:val="00083D89"/>
    <w:rsid w:val="00085112"/>
    <w:rsid w:val="0008708F"/>
    <w:rsid w:val="00091BC1"/>
    <w:rsid w:val="00091DBD"/>
    <w:rsid w:val="00096B3C"/>
    <w:rsid w:val="000A18B6"/>
    <w:rsid w:val="000A24DE"/>
    <w:rsid w:val="000A2612"/>
    <w:rsid w:val="000A2DFB"/>
    <w:rsid w:val="000A3AB1"/>
    <w:rsid w:val="000A4A47"/>
    <w:rsid w:val="000A5458"/>
    <w:rsid w:val="000A74D1"/>
    <w:rsid w:val="000B0E9A"/>
    <w:rsid w:val="000B1A18"/>
    <w:rsid w:val="000B2CD0"/>
    <w:rsid w:val="000B3ED4"/>
    <w:rsid w:val="000B5AF0"/>
    <w:rsid w:val="000B6B84"/>
    <w:rsid w:val="000B7004"/>
    <w:rsid w:val="000C085A"/>
    <w:rsid w:val="000C349B"/>
    <w:rsid w:val="000C683C"/>
    <w:rsid w:val="000D44E3"/>
    <w:rsid w:val="000D5D82"/>
    <w:rsid w:val="000D66AC"/>
    <w:rsid w:val="000D7ED4"/>
    <w:rsid w:val="000E1550"/>
    <w:rsid w:val="000E1ABE"/>
    <w:rsid w:val="000F04A8"/>
    <w:rsid w:val="000F1B8A"/>
    <w:rsid w:val="000F299A"/>
    <w:rsid w:val="000F36A0"/>
    <w:rsid w:val="000F53E9"/>
    <w:rsid w:val="000F6A05"/>
    <w:rsid w:val="000F6E7D"/>
    <w:rsid w:val="001027E2"/>
    <w:rsid w:val="0010575E"/>
    <w:rsid w:val="00106549"/>
    <w:rsid w:val="00107710"/>
    <w:rsid w:val="00107C97"/>
    <w:rsid w:val="00110242"/>
    <w:rsid w:val="0011255C"/>
    <w:rsid w:val="001126A7"/>
    <w:rsid w:val="00112FE9"/>
    <w:rsid w:val="0011497A"/>
    <w:rsid w:val="00114B31"/>
    <w:rsid w:val="001156F7"/>
    <w:rsid w:val="00116149"/>
    <w:rsid w:val="00123812"/>
    <w:rsid w:val="001256F6"/>
    <w:rsid w:val="001262BA"/>
    <w:rsid w:val="00126FB2"/>
    <w:rsid w:val="00127266"/>
    <w:rsid w:val="0013186C"/>
    <w:rsid w:val="00132A45"/>
    <w:rsid w:val="001359FA"/>
    <w:rsid w:val="0013714F"/>
    <w:rsid w:val="00140666"/>
    <w:rsid w:val="0014233F"/>
    <w:rsid w:val="00143703"/>
    <w:rsid w:val="00144DE1"/>
    <w:rsid w:val="00145A1F"/>
    <w:rsid w:val="001466A3"/>
    <w:rsid w:val="00147051"/>
    <w:rsid w:val="001471CF"/>
    <w:rsid w:val="00151710"/>
    <w:rsid w:val="00151AC8"/>
    <w:rsid w:val="00155B70"/>
    <w:rsid w:val="00160E65"/>
    <w:rsid w:val="00161368"/>
    <w:rsid w:val="0016199B"/>
    <w:rsid w:val="00162C83"/>
    <w:rsid w:val="001639FC"/>
    <w:rsid w:val="00163D26"/>
    <w:rsid w:val="00164BB5"/>
    <w:rsid w:val="00166384"/>
    <w:rsid w:val="001709F1"/>
    <w:rsid w:val="00177D83"/>
    <w:rsid w:val="00180387"/>
    <w:rsid w:val="001818CC"/>
    <w:rsid w:val="00183EBF"/>
    <w:rsid w:val="00186793"/>
    <w:rsid w:val="0019082C"/>
    <w:rsid w:val="00192D05"/>
    <w:rsid w:val="00193A8C"/>
    <w:rsid w:val="001A2E2D"/>
    <w:rsid w:val="001A4BAA"/>
    <w:rsid w:val="001A4F4E"/>
    <w:rsid w:val="001A5D31"/>
    <w:rsid w:val="001A76F3"/>
    <w:rsid w:val="001B5583"/>
    <w:rsid w:val="001B5A24"/>
    <w:rsid w:val="001C0599"/>
    <w:rsid w:val="001C3C57"/>
    <w:rsid w:val="001C4664"/>
    <w:rsid w:val="001C4EBE"/>
    <w:rsid w:val="001C5B90"/>
    <w:rsid w:val="001D0E60"/>
    <w:rsid w:val="001D272D"/>
    <w:rsid w:val="001D280C"/>
    <w:rsid w:val="001D294E"/>
    <w:rsid w:val="001D688B"/>
    <w:rsid w:val="001E2D50"/>
    <w:rsid w:val="001E44F3"/>
    <w:rsid w:val="001F053A"/>
    <w:rsid w:val="001F2DA6"/>
    <w:rsid w:val="001F4DBE"/>
    <w:rsid w:val="001F62AF"/>
    <w:rsid w:val="001F793D"/>
    <w:rsid w:val="001F7E9D"/>
    <w:rsid w:val="002021E9"/>
    <w:rsid w:val="00202789"/>
    <w:rsid w:val="00202F1F"/>
    <w:rsid w:val="00204774"/>
    <w:rsid w:val="00205199"/>
    <w:rsid w:val="0020521E"/>
    <w:rsid w:val="00206598"/>
    <w:rsid w:val="00207655"/>
    <w:rsid w:val="00207CAA"/>
    <w:rsid w:val="0021168F"/>
    <w:rsid w:val="002178A7"/>
    <w:rsid w:val="002220FF"/>
    <w:rsid w:val="00237D01"/>
    <w:rsid w:val="00240F64"/>
    <w:rsid w:val="002410E3"/>
    <w:rsid w:val="00241F29"/>
    <w:rsid w:val="00243D1C"/>
    <w:rsid w:val="00245B48"/>
    <w:rsid w:val="00246425"/>
    <w:rsid w:val="002515C7"/>
    <w:rsid w:val="002523F6"/>
    <w:rsid w:val="00252402"/>
    <w:rsid w:val="00254656"/>
    <w:rsid w:val="0025545A"/>
    <w:rsid w:val="00261E82"/>
    <w:rsid w:val="0026332C"/>
    <w:rsid w:val="0026552F"/>
    <w:rsid w:val="0026565F"/>
    <w:rsid w:val="00266AFD"/>
    <w:rsid w:val="00270780"/>
    <w:rsid w:val="002730C7"/>
    <w:rsid w:val="0027435B"/>
    <w:rsid w:val="00276E85"/>
    <w:rsid w:val="00280143"/>
    <w:rsid w:val="00280E2F"/>
    <w:rsid w:val="002810F0"/>
    <w:rsid w:val="00281BC7"/>
    <w:rsid w:val="00285DC4"/>
    <w:rsid w:val="00286531"/>
    <w:rsid w:val="002867C7"/>
    <w:rsid w:val="0029018C"/>
    <w:rsid w:val="002A07EF"/>
    <w:rsid w:val="002A2122"/>
    <w:rsid w:val="002A27E5"/>
    <w:rsid w:val="002A530D"/>
    <w:rsid w:val="002A69DB"/>
    <w:rsid w:val="002B037D"/>
    <w:rsid w:val="002B1D15"/>
    <w:rsid w:val="002B4A7F"/>
    <w:rsid w:val="002B5449"/>
    <w:rsid w:val="002B5928"/>
    <w:rsid w:val="002C3640"/>
    <w:rsid w:val="002C3FD3"/>
    <w:rsid w:val="002C419A"/>
    <w:rsid w:val="002C472D"/>
    <w:rsid w:val="002C77CF"/>
    <w:rsid w:val="002D45C0"/>
    <w:rsid w:val="002D5981"/>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8EE"/>
    <w:rsid w:val="002F1E33"/>
    <w:rsid w:val="002F5482"/>
    <w:rsid w:val="002F5972"/>
    <w:rsid w:val="00303A3C"/>
    <w:rsid w:val="00303D82"/>
    <w:rsid w:val="00303E4E"/>
    <w:rsid w:val="003047D2"/>
    <w:rsid w:val="00306DE1"/>
    <w:rsid w:val="0030788D"/>
    <w:rsid w:val="00316628"/>
    <w:rsid w:val="00316B58"/>
    <w:rsid w:val="003235C7"/>
    <w:rsid w:val="00326270"/>
    <w:rsid w:val="0032685C"/>
    <w:rsid w:val="0032728E"/>
    <w:rsid w:val="00332A87"/>
    <w:rsid w:val="00333703"/>
    <w:rsid w:val="003342DF"/>
    <w:rsid w:val="00334FEB"/>
    <w:rsid w:val="00337015"/>
    <w:rsid w:val="003406CA"/>
    <w:rsid w:val="00340736"/>
    <w:rsid w:val="00343F8A"/>
    <w:rsid w:val="003441A5"/>
    <w:rsid w:val="00344969"/>
    <w:rsid w:val="00347E5F"/>
    <w:rsid w:val="003506F1"/>
    <w:rsid w:val="003555DE"/>
    <w:rsid w:val="00355810"/>
    <w:rsid w:val="003559A7"/>
    <w:rsid w:val="0035691F"/>
    <w:rsid w:val="00356B67"/>
    <w:rsid w:val="003616BD"/>
    <w:rsid w:val="00362737"/>
    <w:rsid w:val="00362F57"/>
    <w:rsid w:val="003640A0"/>
    <w:rsid w:val="00365932"/>
    <w:rsid w:val="003738C0"/>
    <w:rsid w:val="003810FF"/>
    <w:rsid w:val="003824F9"/>
    <w:rsid w:val="00384511"/>
    <w:rsid w:val="00385D78"/>
    <w:rsid w:val="003864EE"/>
    <w:rsid w:val="00386953"/>
    <w:rsid w:val="003909DD"/>
    <w:rsid w:val="00391295"/>
    <w:rsid w:val="00391342"/>
    <w:rsid w:val="00392934"/>
    <w:rsid w:val="00393A67"/>
    <w:rsid w:val="00393C9F"/>
    <w:rsid w:val="003942F1"/>
    <w:rsid w:val="00395031"/>
    <w:rsid w:val="00395EB8"/>
    <w:rsid w:val="003968AB"/>
    <w:rsid w:val="00396ABF"/>
    <w:rsid w:val="00397343"/>
    <w:rsid w:val="003A2037"/>
    <w:rsid w:val="003A4ED6"/>
    <w:rsid w:val="003A56DC"/>
    <w:rsid w:val="003B411E"/>
    <w:rsid w:val="003B445F"/>
    <w:rsid w:val="003B49BF"/>
    <w:rsid w:val="003B60DA"/>
    <w:rsid w:val="003B60EE"/>
    <w:rsid w:val="003B668A"/>
    <w:rsid w:val="003C012D"/>
    <w:rsid w:val="003C16E3"/>
    <w:rsid w:val="003C222D"/>
    <w:rsid w:val="003C252F"/>
    <w:rsid w:val="003C6DDA"/>
    <w:rsid w:val="003C7AEA"/>
    <w:rsid w:val="003C7D21"/>
    <w:rsid w:val="003D15A3"/>
    <w:rsid w:val="003D35C1"/>
    <w:rsid w:val="003D635C"/>
    <w:rsid w:val="003D7BC4"/>
    <w:rsid w:val="003E1642"/>
    <w:rsid w:val="003E3E2D"/>
    <w:rsid w:val="003E3E48"/>
    <w:rsid w:val="003E47D8"/>
    <w:rsid w:val="003E4E03"/>
    <w:rsid w:val="003F108A"/>
    <w:rsid w:val="003F11A9"/>
    <w:rsid w:val="003F1243"/>
    <w:rsid w:val="003F27A0"/>
    <w:rsid w:val="003F34C6"/>
    <w:rsid w:val="003F57D1"/>
    <w:rsid w:val="00401219"/>
    <w:rsid w:val="004039C7"/>
    <w:rsid w:val="004065B7"/>
    <w:rsid w:val="004066EB"/>
    <w:rsid w:val="00406E1E"/>
    <w:rsid w:val="00414C9D"/>
    <w:rsid w:val="00415A2B"/>
    <w:rsid w:val="00416293"/>
    <w:rsid w:val="004204AE"/>
    <w:rsid w:val="004216F7"/>
    <w:rsid w:val="0042753D"/>
    <w:rsid w:val="004309B5"/>
    <w:rsid w:val="0043103D"/>
    <w:rsid w:val="00432662"/>
    <w:rsid w:val="00433AB0"/>
    <w:rsid w:val="004342B2"/>
    <w:rsid w:val="00434CC1"/>
    <w:rsid w:val="00441593"/>
    <w:rsid w:val="00443A00"/>
    <w:rsid w:val="00444609"/>
    <w:rsid w:val="004448E6"/>
    <w:rsid w:val="00450D24"/>
    <w:rsid w:val="00452DA5"/>
    <w:rsid w:val="00453DAB"/>
    <w:rsid w:val="0045423E"/>
    <w:rsid w:val="004548AC"/>
    <w:rsid w:val="00455176"/>
    <w:rsid w:val="00455E42"/>
    <w:rsid w:val="004578D7"/>
    <w:rsid w:val="00457D04"/>
    <w:rsid w:val="00460112"/>
    <w:rsid w:val="00461788"/>
    <w:rsid w:val="004627F7"/>
    <w:rsid w:val="00462FE3"/>
    <w:rsid w:val="004638A8"/>
    <w:rsid w:val="00464787"/>
    <w:rsid w:val="004669E9"/>
    <w:rsid w:val="00472794"/>
    <w:rsid w:val="00475F9F"/>
    <w:rsid w:val="00476698"/>
    <w:rsid w:val="00477592"/>
    <w:rsid w:val="004814BB"/>
    <w:rsid w:val="00481634"/>
    <w:rsid w:val="00487428"/>
    <w:rsid w:val="00491CD5"/>
    <w:rsid w:val="00492510"/>
    <w:rsid w:val="00492DC3"/>
    <w:rsid w:val="004973EC"/>
    <w:rsid w:val="004A0AA6"/>
    <w:rsid w:val="004A1763"/>
    <w:rsid w:val="004A186E"/>
    <w:rsid w:val="004A2319"/>
    <w:rsid w:val="004A2455"/>
    <w:rsid w:val="004A698E"/>
    <w:rsid w:val="004A7606"/>
    <w:rsid w:val="004B1DBB"/>
    <w:rsid w:val="004B56C6"/>
    <w:rsid w:val="004B7E99"/>
    <w:rsid w:val="004C1A6A"/>
    <w:rsid w:val="004C304C"/>
    <w:rsid w:val="004C38FF"/>
    <w:rsid w:val="004C5C41"/>
    <w:rsid w:val="004D13C8"/>
    <w:rsid w:val="004D4F44"/>
    <w:rsid w:val="004D5D20"/>
    <w:rsid w:val="004D6212"/>
    <w:rsid w:val="004D789D"/>
    <w:rsid w:val="004E0FB8"/>
    <w:rsid w:val="004E272F"/>
    <w:rsid w:val="004E2B64"/>
    <w:rsid w:val="004E4258"/>
    <w:rsid w:val="004E47A4"/>
    <w:rsid w:val="004E5CD5"/>
    <w:rsid w:val="004F1F9F"/>
    <w:rsid w:val="004F2765"/>
    <w:rsid w:val="004F5238"/>
    <w:rsid w:val="004F53F0"/>
    <w:rsid w:val="004F69D3"/>
    <w:rsid w:val="004F6B7C"/>
    <w:rsid w:val="005049A9"/>
    <w:rsid w:val="00505F1C"/>
    <w:rsid w:val="0050603C"/>
    <w:rsid w:val="00506B44"/>
    <w:rsid w:val="005100BC"/>
    <w:rsid w:val="0051451F"/>
    <w:rsid w:val="0051666F"/>
    <w:rsid w:val="0051772A"/>
    <w:rsid w:val="00517E8B"/>
    <w:rsid w:val="00520271"/>
    <w:rsid w:val="00520B7B"/>
    <w:rsid w:val="00521F7B"/>
    <w:rsid w:val="00522110"/>
    <w:rsid w:val="00522657"/>
    <w:rsid w:val="00523069"/>
    <w:rsid w:val="00523378"/>
    <w:rsid w:val="0052413A"/>
    <w:rsid w:val="00525A3D"/>
    <w:rsid w:val="00527615"/>
    <w:rsid w:val="00527DD0"/>
    <w:rsid w:val="00533905"/>
    <w:rsid w:val="005372C0"/>
    <w:rsid w:val="00541630"/>
    <w:rsid w:val="0054168D"/>
    <w:rsid w:val="00542357"/>
    <w:rsid w:val="00551176"/>
    <w:rsid w:val="00551EAE"/>
    <w:rsid w:val="00552150"/>
    <w:rsid w:val="005522D6"/>
    <w:rsid w:val="005536AE"/>
    <w:rsid w:val="00554B37"/>
    <w:rsid w:val="0055536F"/>
    <w:rsid w:val="005669CA"/>
    <w:rsid w:val="00575199"/>
    <w:rsid w:val="005770F6"/>
    <w:rsid w:val="00577899"/>
    <w:rsid w:val="00577BDD"/>
    <w:rsid w:val="005811A3"/>
    <w:rsid w:val="00583566"/>
    <w:rsid w:val="00584E7A"/>
    <w:rsid w:val="00585CA8"/>
    <w:rsid w:val="00585DEA"/>
    <w:rsid w:val="0058795C"/>
    <w:rsid w:val="00590A88"/>
    <w:rsid w:val="00591AA0"/>
    <w:rsid w:val="0059357F"/>
    <w:rsid w:val="00593781"/>
    <w:rsid w:val="00594AE2"/>
    <w:rsid w:val="005958B3"/>
    <w:rsid w:val="00596647"/>
    <w:rsid w:val="00597A85"/>
    <w:rsid w:val="005A037D"/>
    <w:rsid w:val="005A0DEC"/>
    <w:rsid w:val="005A1E12"/>
    <w:rsid w:val="005A305D"/>
    <w:rsid w:val="005A6A6E"/>
    <w:rsid w:val="005A6D92"/>
    <w:rsid w:val="005A6DD6"/>
    <w:rsid w:val="005A7976"/>
    <w:rsid w:val="005B33A4"/>
    <w:rsid w:val="005B3C4C"/>
    <w:rsid w:val="005B5D99"/>
    <w:rsid w:val="005B74B8"/>
    <w:rsid w:val="005C1353"/>
    <w:rsid w:val="005C1587"/>
    <w:rsid w:val="005C3A63"/>
    <w:rsid w:val="005C65C2"/>
    <w:rsid w:val="005C765D"/>
    <w:rsid w:val="005C7B4D"/>
    <w:rsid w:val="005D7CA9"/>
    <w:rsid w:val="005E0F5F"/>
    <w:rsid w:val="005F12E0"/>
    <w:rsid w:val="005F2726"/>
    <w:rsid w:val="005F2A30"/>
    <w:rsid w:val="005F2FA6"/>
    <w:rsid w:val="005F34E5"/>
    <w:rsid w:val="005F35C5"/>
    <w:rsid w:val="005F43E1"/>
    <w:rsid w:val="005F47D4"/>
    <w:rsid w:val="005F6A9F"/>
    <w:rsid w:val="005F6E3F"/>
    <w:rsid w:val="0060033F"/>
    <w:rsid w:val="00603211"/>
    <w:rsid w:val="0060375B"/>
    <w:rsid w:val="00606A0C"/>
    <w:rsid w:val="00607448"/>
    <w:rsid w:val="0060792E"/>
    <w:rsid w:val="00611860"/>
    <w:rsid w:val="00611DA0"/>
    <w:rsid w:val="00612407"/>
    <w:rsid w:val="006125AC"/>
    <w:rsid w:val="00616984"/>
    <w:rsid w:val="00616E84"/>
    <w:rsid w:val="00617EBE"/>
    <w:rsid w:val="0062117B"/>
    <w:rsid w:val="00622055"/>
    <w:rsid w:val="00632332"/>
    <w:rsid w:val="00633E85"/>
    <w:rsid w:val="006361EE"/>
    <w:rsid w:val="0063657E"/>
    <w:rsid w:val="00636EB6"/>
    <w:rsid w:val="006407EF"/>
    <w:rsid w:val="0064115E"/>
    <w:rsid w:val="006423E0"/>
    <w:rsid w:val="00646AE5"/>
    <w:rsid w:val="00646F60"/>
    <w:rsid w:val="0064762B"/>
    <w:rsid w:val="00650623"/>
    <w:rsid w:val="0065129E"/>
    <w:rsid w:val="006512C8"/>
    <w:rsid w:val="00653CD3"/>
    <w:rsid w:val="00656E62"/>
    <w:rsid w:val="006573FC"/>
    <w:rsid w:val="00660D00"/>
    <w:rsid w:val="00662686"/>
    <w:rsid w:val="00665605"/>
    <w:rsid w:val="00665692"/>
    <w:rsid w:val="006660B5"/>
    <w:rsid w:val="00671687"/>
    <w:rsid w:val="00673F2C"/>
    <w:rsid w:val="00675A53"/>
    <w:rsid w:val="006770E8"/>
    <w:rsid w:val="006803F5"/>
    <w:rsid w:val="006817AB"/>
    <w:rsid w:val="00683C7E"/>
    <w:rsid w:val="006853D8"/>
    <w:rsid w:val="006866E8"/>
    <w:rsid w:val="00687FB1"/>
    <w:rsid w:val="0069608C"/>
    <w:rsid w:val="00697952"/>
    <w:rsid w:val="006A04E6"/>
    <w:rsid w:val="006A0B3D"/>
    <w:rsid w:val="006A2F71"/>
    <w:rsid w:val="006A5910"/>
    <w:rsid w:val="006B1ABC"/>
    <w:rsid w:val="006B2934"/>
    <w:rsid w:val="006B2CC8"/>
    <w:rsid w:val="006B64BE"/>
    <w:rsid w:val="006B6669"/>
    <w:rsid w:val="006C1A92"/>
    <w:rsid w:val="006C3BDD"/>
    <w:rsid w:val="006C449D"/>
    <w:rsid w:val="006D0C9B"/>
    <w:rsid w:val="006D1115"/>
    <w:rsid w:val="006D138E"/>
    <w:rsid w:val="006D1B76"/>
    <w:rsid w:val="006D5832"/>
    <w:rsid w:val="006E215F"/>
    <w:rsid w:val="006E3D5C"/>
    <w:rsid w:val="006E4078"/>
    <w:rsid w:val="006E4E12"/>
    <w:rsid w:val="006E4EFA"/>
    <w:rsid w:val="006E5649"/>
    <w:rsid w:val="006F41DD"/>
    <w:rsid w:val="006F5A33"/>
    <w:rsid w:val="006F6787"/>
    <w:rsid w:val="006F6EDD"/>
    <w:rsid w:val="006F79A5"/>
    <w:rsid w:val="007033D2"/>
    <w:rsid w:val="00704AF5"/>
    <w:rsid w:val="0070555E"/>
    <w:rsid w:val="00707DF8"/>
    <w:rsid w:val="00711F00"/>
    <w:rsid w:val="0071328D"/>
    <w:rsid w:val="00717865"/>
    <w:rsid w:val="00721866"/>
    <w:rsid w:val="0072436A"/>
    <w:rsid w:val="00735F3A"/>
    <w:rsid w:val="00735FB1"/>
    <w:rsid w:val="007367E1"/>
    <w:rsid w:val="007379A0"/>
    <w:rsid w:val="00743131"/>
    <w:rsid w:val="0074339E"/>
    <w:rsid w:val="00744BE5"/>
    <w:rsid w:val="00744D58"/>
    <w:rsid w:val="00745376"/>
    <w:rsid w:val="0074587F"/>
    <w:rsid w:val="007476BA"/>
    <w:rsid w:val="00750C8F"/>
    <w:rsid w:val="0075110B"/>
    <w:rsid w:val="007517F6"/>
    <w:rsid w:val="007531C9"/>
    <w:rsid w:val="007537B8"/>
    <w:rsid w:val="00754913"/>
    <w:rsid w:val="00755393"/>
    <w:rsid w:val="007553FC"/>
    <w:rsid w:val="00756346"/>
    <w:rsid w:val="007609C3"/>
    <w:rsid w:val="00760F66"/>
    <w:rsid w:val="00761561"/>
    <w:rsid w:val="00762F97"/>
    <w:rsid w:val="0076382E"/>
    <w:rsid w:val="00763AE4"/>
    <w:rsid w:val="00765152"/>
    <w:rsid w:val="00767FBE"/>
    <w:rsid w:val="00770DEF"/>
    <w:rsid w:val="00770EB4"/>
    <w:rsid w:val="00772106"/>
    <w:rsid w:val="0077228A"/>
    <w:rsid w:val="00772CF6"/>
    <w:rsid w:val="00772EB1"/>
    <w:rsid w:val="00774368"/>
    <w:rsid w:val="0077589C"/>
    <w:rsid w:val="00775BFD"/>
    <w:rsid w:val="00775FB5"/>
    <w:rsid w:val="007769D2"/>
    <w:rsid w:val="00780058"/>
    <w:rsid w:val="007804F4"/>
    <w:rsid w:val="00781004"/>
    <w:rsid w:val="00781F43"/>
    <w:rsid w:val="0078227E"/>
    <w:rsid w:val="0078267A"/>
    <w:rsid w:val="00783270"/>
    <w:rsid w:val="0078374C"/>
    <w:rsid w:val="007842C1"/>
    <w:rsid w:val="00786271"/>
    <w:rsid w:val="007867FB"/>
    <w:rsid w:val="00790459"/>
    <w:rsid w:val="00790682"/>
    <w:rsid w:val="00790789"/>
    <w:rsid w:val="00791633"/>
    <w:rsid w:val="00792100"/>
    <w:rsid w:val="0079292B"/>
    <w:rsid w:val="0079302E"/>
    <w:rsid w:val="0079379B"/>
    <w:rsid w:val="0079452A"/>
    <w:rsid w:val="00794EC6"/>
    <w:rsid w:val="00794FED"/>
    <w:rsid w:val="00795AD7"/>
    <w:rsid w:val="007961E2"/>
    <w:rsid w:val="007A345A"/>
    <w:rsid w:val="007A3D35"/>
    <w:rsid w:val="007A78C2"/>
    <w:rsid w:val="007B05E9"/>
    <w:rsid w:val="007B148E"/>
    <w:rsid w:val="007B1E17"/>
    <w:rsid w:val="007B4C73"/>
    <w:rsid w:val="007C0C1F"/>
    <w:rsid w:val="007C206E"/>
    <w:rsid w:val="007C2936"/>
    <w:rsid w:val="007C662A"/>
    <w:rsid w:val="007C7D7F"/>
    <w:rsid w:val="007D33BA"/>
    <w:rsid w:val="007D385A"/>
    <w:rsid w:val="007D6FCB"/>
    <w:rsid w:val="007D7FD4"/>
    <w:rsid w:val="007E25E3"/>
    <w:rsid w:val="007E2FEB"/>
    <w:rsid w:val="007E3CF9"/>
    <w:rsid w:val="007E74E9"/>
    <w:rsid w:val="007F0ED6"/>
    <w:rsid w:val="007F1AB9"/>
    <w:rsid w:val="007F3DCC"/>
    <w:rsid w:val="007F49BD"/>
    <w:rsid w:val="007F6F95"/>
    <w:rsid w:val="007F77CB"/>
    <w:rsid w:val="00800903"/>
    <w:rsid w:val="008040BA"/>
    <w:rsid w:val="00804131"/>
    <w:rsid w:val="00804565"/>
    <w:rsid w:val="00806A3B"/>
    <w:rsid w:val="00807CA4"/>
    <w:rsid w:val="008100FD"/>
    <w:rsid w:val="008114C3"/>
    <w:rsid w:val="00814C2A"/>
    <w:rsid w:val="00816ECE"/>
    <w:rsid w:val="008173CF"/>
    <w:rsid w:val="00817884"/>
    <w:rsid w:val="0082537E"/>
    <w:rsid w:val="00825C31"/>
    <w:rsid w:val="00831BD0"/>
    <w:rsid w:val="00833A79"/>
    <w:rsid w:val="00833BFF"/>
    <w:rsid w:val="0083677A"/>
    <w:rsid w:val="00837284"/>
    <w:rsid w:val="0083731D"/>
    <w:rsid w:val="00837549"/>
    <w:rsid w:val="008415FE"/>
    <w:rsid w:val="00842319"/>
    <w:rsid w:val="008435C2"/>
    <w:rsid w:val="00844B5C"/>
    <w:rsid w:val="00845C9F"/>
    <w:rsid w:val="00846431"/>
    <w:rsid w:val="00850A6F"/>
    <w:rsid w:val="00851353"/>
    <w:rsid w:val="008555BA"/>
    <w:rsid w:val="00856155"/>
    <w:rsid w:val="00856CD0"/>
    <w:rsid w:val="008579A6"/>
    <w:rsid w:val="00860226"/>
    <w:rsid w:val="00861D7A"/>
    <w:rsid w:val="00862E29"/>
    <w:rsid w:val="00863E44"/>
    <w:rsid w:val="0086499F"/>
    <w:rsid w:val="00865A5F"/>
    <w:rsid w:val="00867D33"/>
    <w:rsid w:val="00867F04"/>
    <w:rsid w:val="008703DB"/>
    <w:rsid w:val="008710A1"/>
    <w:rsid w:val="0087489F"/>
    <w:rsid w:val="00874E3A"/>
    <w:rsid w:val="00875E49"/>
    <w:rsid w:val="0088158E"/>
    <w:rsid w:val="0088258D"/>
    <w:rsid w:val="008829F3"/>
    <w:rsid w:val="00882D4B"/>
    <w:rsid w:val="00887256"/>
    <w:rsid w:val="00890BEA"/>
    <w:rsid w:val="00890EF0"/>
    <w:rsid w:val="0089184F"/>
    <w:rsid w:val="00891ADA"/>
    <w:rsid w:val="008962D4"/>
    <w:rsid w:val="008A3ABC"/>
    <w:rsid w:val="008A4C0E"/>
    <w:rsid w:val="008A5334"/>
    <w:rsid w:val="008A630B"/>
    <w:rsid w:val="008A734B"/>
    <w:rsid w:val="008B24ED"/>
    <w:rsid w:val="008B5932"/>
    <w:rsid w:val="008C1225"/>
    <w:rsid w:val="008C1646"/>
    <w:rsid w:val="008C189A"/>
    <w:rsid w:val="008C1E51"/>
    <w:rsid w:val="008C2C0E"/>
    <w:rsid w:val="008C5E6B"/>
    <w:rsid w:val="008C6672"/>
    <w:rsid w:val="008D2DCF"/>
    <w:rsid w:val="008D3043"/>
    <w:rsid w:val="008D3318"/>
    <w:rsid w:val="008D4C00"/>
    <w:rsid w:val="008D52CD"/>
    <w:rsid w:val="008D5C5F"/>
    <w:rsid w:val="008D613D"/>
    <w:rsid w:val="008D756B"/>
    <w:rsid w:val="008E07B5"/>
    <w:rsid w:val="008E1E88"/>
    <w:rsid w:val="008E4FFA"/>
    <w:rsid w:val="008E5CC1"/>
    <w:rsid w:val="008E6532"/>
    <w:rsid w:val="008E7FF5"/>
    <w:rsid w:val="008F125F"/>
    <w:rsid w:val="008F2C00"/>
    <w:rsid w:val="008F3DAE"/>
    <w:rsid w:val="008F6630"/>
    <w:rsid w:val="008F7622"/>
    <w:rsid w:val="0090311E"/>
    <w:rsid w:val="0090438E"/>
    <w:rsid w:val="00906110"/>
    <w:rsid w:val="0090704E"/>
    <w:rsid w:val="0091108F"/>
    <w:rsid w:val="009133F5"/>
    <w:rsid w:val="00914786"/>
    <w:rsid w:val="00915680"/>
    <w:rsid w:val="00915FB9"/>
    <w:rsid w:val="0091610E"/>
    <w:rsid w:val="00916373"/>
    <w:rsid w:val="00916548"/>
    <w:rsid w:val="00916A77"/>
    <w:rsid w:val="00921BE8"/>
    <w:rsid w:val="00922E3D"/>
    <w:rsid w:val="009316DC"/>
    <w:rsid w:val="00931752"/>
    <w:rsid w:val="00932FDF"/>
    <w:rsid w:val="00936529"/>
    <w:rsid w:val="00940B65"/>
    <w:rsid w:val="0094133A"/>
    <w:rsid w:val="0094148D"/>
    <w:rsid w:val="009419AD"/>
    <w:rsid w:val="0095064A"/>
    <w:rsid w:val="00951A0B"/>
    <w:rsid w:val="009535B3"/>
    <w:rsid w:val="00953A36"/>
    <w:rsid w:val="00953F33"/>
    <w:rsid w:val="00955DBA"/>
    <w:rsid w:val="00957244"/>
    <w:rsid w:val="00962CAC"/>
    <w:rsid w:val="00964BDE"/>
    <w:rsid w:val="009676D3"/>
    <w:rsid w:val="00970A5C"/>
    <w:rsid w:val="00971E24"/>
    <w:rsid w:val="0098128C"/>
    <w:rsid w:val="009813FE"/>
    <w:rsid w:val="00983DD0"/>
    <w:rsid w:val="0098506E"/>
    <w:rsid w:val="0098670F"/>
    <w:rsid w:val="00986E56"/>
    <w:rsid w:val="00990AFB"/>
    <w:rsid w:val="00991387"/>
    <w:rsid w:val="00992A5D"/>
    <w:rsid w:val="00993B88"/>
    <w:rsid w:val="00993D02"/>
    <w:rsid w:val="009943AB"/>
    <w:rsid w:val="00994740"/>
    <w:rsid w:val="00995515"/>
    <w:rsid w:val="009966F8"/>
    <w:rsid w:val="009A10C4"/>
    <w:rsid w:val="009A142A"/>
    <w:rsid w:val="009A17F4"/>
    <w:rsid w:val="009A193C"/>
    <w:rsid w:val="009A325B"/>
    <w:rsid w:val="009A394C"/>
    <w:rsid w:val="009A3FE3"/>
    <w:rsid w:val="009A4787"/>
    <w:rsid w:val="009A7DEC"/>
    <w:rsid w:val="009B0AF7"/>
    <w:rsid w:val="009B0BFB"/>
    <w:rsid w:val="009B4398"/>
    <w:rsid w:val="009B4EEC"/>
    <w:rsid w:val="009C1815"/>
    <w:rsid w:val="009C5249"/>
    <w:rsid w:val="009C70D0"/>
    <w:rsid w:val="009C7F1B"/>
    <w:rsid w:val="009D5A2E"/>
    <w:rsid w:val="009D702B"/>
    <w:rsid w:val="009E0573"/>
    <w:rsid w:val="009E06DE"/>
    <w:rsid w:val="009E09FA"/>
    <w:rsid w:val="009E246F"/>
    <w:rsid w:val="009E76A1"/>
    <w:rsid w:val="009F004A"/>
    <w:rsid w:val="009F235E"/>
    <w:rsid w:val="009F29EB"/>
    <w:rsid w:val="009F2D3B"/>
    <w:rsid w:val="009F3C78"/>
    <w:rsid w:val="009F5ACE"/>
    <w:rsid w:val="009F7FE9"/>
    <w:rsid w:val="00A00A92"/>
    <w:rsid w:val="00A02426"/>
    <w:rsid w:val="00A0589C"/>
    <w:rsid w:val="00A06CAB"/>
    <w:rsid w:val="00A12A69"/>
    <w:rsid w:val="00A12DBB"/>
    <w:rsid w:val="00A150A7"/>
    <w:rsid w:val="00A151B8"/>
    <w:rsid w:val="00A157E7"/>
    <w:rsid w:val="00A210DD"/>
    <w:rsid w:val="00A21443"/>
    <w:rsid w:val="00A22ED0"/>
    <w:rsid w:val="00A23006"/>
    <w:rsid w:val="00A24099"/>
    <w:rsid w:val="00A264B0"/>
    <w:rsid w:val="00A2768E"/>
    <w:rsid w:val="00A329BC"/>
    <w:rsid w:val="00A33E3C"/>
    <w:rsid w:val="00A3426E"/>
    <w:rsid w:val="00A353ED"/>
    <w:rsid w:val="00A375D9"/>
    <w:rsid w:val="00A37FBB"/>
    <w:rsid w:val="00A4236C"/>
    <w:rsid w:val="00A43CAC"/>
    <w:rsid w:val="00A45E20"/>
    <w:rsid w:val="00A46DB8"/>
    <w:rsid w:val="00A52DF2"/>
    <w:rsid w:val="00A54A5E"/>
    <w:rsid w:val="00A55810"/>
    <w:rsid w:val="00A56CDD"/>
    <w:rsid w:val="00A56E3B"/>
    <w:rsid w:val="00A57C5A"/>
    <w:rsid w:val="00A64AD2"/>
    <w:rsid w:val="00A72C1F"/>
    <w:rsid w:val="00A72F5E"/>
    <w:rsid w:val="00A75482"/>
    <w:rsid w:val="00A761B5"/>
    <w:rsid w:val="00A77E4C"/>
    <w:rsid w:val="00A83E5E"/>
    <w:rsid w:val="00A84C12"/>
    <w:rsid w:val="00A85CA4"/>
    <w:rsid w:val="00A85D04"/>
    <w:rsid w:val="00A85DB4"/>
    <w:rsid w:val="00A86044"/>
    <w:rsid w:val="00A90002"/>
    <w:rsid w:val="00A96709"/>
    <w:rsid w:val="00A97EBD"/>
    <w:rsid w:val="00AA260F"/>
    <w:rsid w:val="00AA5F19"/>
    <w:rsid w:val="00AA750A"/>
    <w:rsid w:val="00AB001C"/>
    <w:rsid w:val="00AB37EB"/>
    <w:rsid w:val="00AB39C5"/>
    <w:rsid w:val="00AB4438"/>
    <w:rsid w:val="00AB4466"/>
    <w:rsid w:val="00AB50E6"/>
    <w:rsid w:val="00AB6814"/>
    <w:rsid w:val="00AB6863"/>
    <w:rsid w:val="00AB6BE3"/>
    <w:rsid w:val="00AB71F3"/>
    <w:rsid w:val="00AC0555"/>
    <w:rsid w:val="00AC1F73"/>
    <w:rsid w:val="00AC625F"/>
    <w:rsid w:val="00AC67C3"/>
    <w:rsid w:val="00AC6CA3"/>
    <w:rsid w:val="00AC6DB5"/>
    <w:rsid w:val="00AD3D04"/>
    <w:rsid w:val="00AD500D"/>
    <w:rsid w:val="00AD7C27"/>
    <w:rsid w:val="00AE0DF0"/>
    <w:rsid w:val="00AE10E9"/>
    <w:rsid w:val="00AE11C7"/>
    <w:rsid w:val="00AE164F"/>
    <w:rsid w:val="00AE2D40"/>
    <w:rsid w:val="00AE73A1"/>
    <w:rsid w:val="00AE7F88"/>
    <w:rsid w:val="00AF4648"/>
    <w:rsid w:val="00AF4DD3"/>
    <w:rsid w:val="00AF6B78"/>
    <w:rsid w:val="00B01631"/>
    <w:rsid w:val="00B01D80"/>
    <w:rsid w:val="00B05198"/>
    <w:rsid w:val="00B0544B"/>
    <w:rsid w:val="00B06C4C"/>
    <w:rsid w:val="00B078C6"/>
    <w:rsid w:val="00B10BF5"/>
    <w:rsid w:val="00B145B5"/>
    <w:rsid w:val="00B152AC"/>
    <w:rsid w:val="00B16C8B"/>
    <w:rsid w:val="00B20969"/>
    <w:rsid w:val="00B22BE8"/>
    <w:rsid w:val="00B2331A"/>
    <w:rsid w:val="00B2356B"/>
    <w:rsid w:val="00B249F3"/>
    <w:rsid w:val="00B25B74"/>
    <w:rsid w:val="00B26B93"/>
    <w:rsid w:val="00B26C0B"/>
    <w:rsid w:val="00B27126"/>
    <w:rsid w:val="00B27CAC"/>
    <w:rsid w:val="00B32CDE"/>
    <w:rsid w:val="00B34479"/>
    <w:rsid w:val="00B34D72"/>
    <w:rsid w:val="00B362BE"/>
    <w:rsid w:val="00B363A2"/>
    <w:rsid w:val="00B37213"/>
    <w:rsid w:val="00B41711"/>
    <w:rsid w:val="00B44EB6"/>
    <w:rsid w:val="00B503F3"/>
    <w:rsid w:val="00B504C9"/>
    <w:rsid w:val="00B52A47"/>
    <w:rsid w:val="00B53FB4"/>
    <w:rsid w:val="00B541C6"/>
    <w:rsid w:val="00B556DD"/>
    <w:rsid w:val="00B5798F"/>
    <w:rsid w:val="00B57EB0"/>
    <w:rsid w:val="00B61107"/>
    <w:rsid w:val="00B61CB4"/>
    <w:rsid w:val="00B65DB9"/>
    <w:rsid w:val="00B66644"/>
    <w:rsid w:val="00B67756"/>
    <w:rsid w:val="00B70DA9"/>
    <w:rsid w:val="00B712B0"/>
    <w:rsid w:val="00B71478"/>
    <w:rsid w:val="00B71802"/>
    <w:rsid w:val="00B7200B"/>
    <w:rsid w:val="00B76414"/>
    <w:rsid w:val="00B77EB8"/>
    <w:rsid w:val="00B8015B"/>
    <w:rsid w:val="00B81A2A"/>
    <w:rsid w:val="00B82E95"/>
    <w:rsid w:val="00B84109"/>
    <w:rsid w:val="00B85BDA"/>
    <w:rsid w:val="00B870D6"/>
    <w:rsid w:val="00B874A9"/>
    <w:rsid w:val="00B932C8"/>
    <w:rsid w:val="00B93B31"/>
    <w:rsid w:val="00B9457F"/>
    <w:rsid w:val="00B965BF"/>
    <w:rsid w:val="00BA06B1"/>
    <w:rsid w:val="00BA3125"/>
    <w:rsid w:val="00BA3654"/>
    <w:rsid w:val="00BA600B"/>
    <w:rsid w:val="00BC05C8"/>
    <w:rsid w:val="00BC0F9A"/>
    <w:rsid w:val="00BC3D5F"/>
    <w:rsid w:val="00BC43E2"/>
    <w:rsid w:val="00BD0917"/>
    <w:rsid w:val="00BD1607"/>
    <w:rsid w:val="00BD45A0"/>
    <w:rsid w:val="00BD45BA"/>
    <w:rsid w:val="00BE1D55"/>
    <w:rsid w:val="00BE2F51"/>
    <w:rsid w:val="00BE3214"/>
    <w:rsid w:val="00BE5325"/>
    <w:rsid w:val="00BE5439"/>
    <w:rsid w:val="00BE62DB"/>
    <w:rsid w:val="00BE7E1A"/>
    <w:rsid w:val="00BF041C"/>
    <w:rsid w:val="00BF055A"/>
    <w:rsid w:val="00BF0B13"/>
    <w:rsid w:val="00BF4E69"/>
    <w:rsid w:val="00BF651C"/>
    <w:rsid w:val="00BF734B"/>
    <w:rsid w:val="00BF7BD3"/>
    <w:rsid w:val="00C01B04"/>
    <w:rsid w:val="00C01B3A"/>
    <w:rsid w:val="00C03721"/>
    <w:rsid w:val="00C05291"/>
    <w:rsid w:val="00C06025"/>
    <w:rsid w:val="00C067A3"/>
    <w:rsid w:val="00C115C1"/>
    <w:rsid w:val="00C118DD"/>
    <w:rsid w:val="00C13C81"/>
    <w:rsid w:val="00C14A5C"/>
    <w:rsid w:val="00C14B0A"/>
    <w:rsid w:val="00C23EFE"/>
    <w:rsid w:val="00C26CD3"/>
    <w:rsid w:val="00C3047B"/>
    <w:rsid w:val="00C30749"/>
    <w:rsid w:val="00C3163F"/>
    <w:rsid w:val="00C35E4D"/>
    <w:rsid w:val="00C37434"/>
    <w:rsid w:val="00C436F7"/>
    <w:rsid w:val="00C45692"/>
    <w:rsid w:val="00C46175"/>
    <w:rsid w:val="00C472E3"/>
    <w:rsid w:val="00C47E57"/>
    <w:rsid w:val="00C55B02"/>
    <w:rsid w:val="00C56142"/>
    <w:rsid w:val="00C56B3A"/>
    <w:rsid w:val="00C56EFE"/>
    <w:rsid w:val="00C57F00"/>
    <w:rsid w:val="00C60C0B"/>
    <w:rsid w:val="00C66382"/>
    <w:rsid w:val="00C67F09"/>
    <w:rsid w:val="00C72788"/>
    <w:rsid w:val="00C75F9C"/>
    <w:rsid w:val="00C76A5E"/>
    <w:rsid w:val="00C770FD"/>
    <w:rsid w:val="00C865D9"/>
    <w:rsid w:val="00C87110"/>
    <w:rsid w:val="00C90813"/>
    <w:rsid w:val="00C90C2B"/>
    <w:rsid w:val="00C9582B"/>
    <w:rsid w:val="00C978FA"/>
    <w:rsid w:val="00CA13F9"/>
    <w:rsid w:val="00CA2B14"/>
    <w:rsid w:val="00CA2D2A"/>
    <w:rsid w:val="00CA40E0"/>
    <w:rsid w:val="00CA4C49"/>
    <w:rsid w:val="00CA67AB"/>
    <w:rsid w:val="00CA789C"/>
    <w:rsid w:val="00CB016F"/>
    <w:rsid w:val="00CB0CBE"/>
    <w:rsid w:val="00CB1C6D"/>
    <w:rsid w:val="00CB2393"/>
    <w:rsid w:val="00CB5956"/>
    <w:rsid w:val="00CB60A9"/>
    <w:rsid w:val="00CC3EAA"/>
    <w:rsid w:val="00CD4A8B"/>
    <w:rsid w:val="00CE1548"/>
    <w:rsid w:val="00CE3799"/>
    <w:rsid w:val="00CE4AA9"/>
    <w:rsid w:val="00CE5477"/>
    <w:rsid w:val="00CE7ADD"/>
    <w:rsid w:val="00CF5E7B"/>
    <w:rsid w:val="00CF7A75"/>
    <w:rsid w:val="00D00362"/>
    <w:rsid w:val="00D01153"/>
    <w:rsid w:val="00D02293"/>
    <w:rsid w:val="00D026B6"/>
    <w:rsid w:val="00D03862"/>
    <w:rsid w:val="00D03953"/>
    <w:rsid w:val="00D03F61"/>
    <w:rsid w:val="00D047D6"/>
    <w:rsid w:val="00D047EE"/>
    <w:rsid w:val="00D11FE5"/>
    <w:rsid w:val="00D12150"/>
    <w:rsid w:val="00D12CFB"/>
    <w:rsid w:val="00D1326C"/>
    <w:rsid w:val="00D1431B"/>
    <w:rsid w:val="00D14690"/>
    <w:rsid w:val="00D15BBA"/>
    <w:rsid w:val="00D16823"/>
    <w:rsid w:val="00D16F48"/>
    <w:rsid w:val="00D17215"/>
    <w:rsid w:val="00D250AB"/>
    <w:rsid w:val="00D265B2"/>
    <w:rsid w:val="00D26BA6"/>
    <w:rsid w:val="00D27D4B"/>
    <w:rsid w:val="00D301BE"/>
    <w:rsid w:val="00D31EE4"/>
    <w:rsid w:val="00D320C3"/>
    <w:rsid w:val="00D33B40"/>
    <w:rsid w:val="00D35146"/>
    <w:rsid w:val="00D3596F"/>
    <w:rsid w:val="00D42F04"/>
    <w:rsid w:val="00D447E5"/>
    <w:rsid w:val="00D457D0"/>
    <w:rsid w:val="00D463A4"/>
    <w:rsid w:val="00D4699C"/>
    <w:rsid w:val="00D47877"/>
    <w:rsid w:val="00D513A1"/>
    <w:rsid w:val="00D57D07"/>
    <w:rsid w:val="00D618E7"/>
    <w:rsid w:val="00D619A2"/>
    <w:rsid w:val="00D6375A"/>
    <w:rsid w:val="00D64A77"/>
    <w:rsid w:val="00D66AB5"/>
    <w:rsid w:val="00D67265"/>
    <w:rsid w:val="00D676A0"/>
    <w:rsid w:val="00D70856"/>
    <w:rsid w:val="00D73117"/>
    <w:rsid w:val="00D73D86"/>
    <w:rsid w:val="00D8335C"/>
    <w:rsid w:val="00D9068D"/>
    <w:rsid w:val="00D92B16"/>
    <w:rsid w:val="00D93862"/>
    <w:rsid w:val="00D93CC2"/>
    <w:rsid w:val="00D9629E"/>
    <w:rsid w:val="00D97633"/>
    <w:rsid w:val="00DA2106"/>
    <w:rsid w:val="00DA23EB"/>
    <w:rsid w:val="00DA4ECD"/>
    <w:rsid w:val="00DB02EF"/>
    <w:rsid w:val="00DB0A56"/>
    <w:rsid w:val="00DB1007"/>
    <w:rsid w:val="00DB1699"/>
    <w:rsid w:val="00DB3DC8"/>
    <w:rsid w:val="00DB5115"/>
    <w:rsid w:val="00DB5177"/>
    <w:rsid w:val="00DB5C75"/>
    <w:rsid w:val="00DB66E6"/>
    <w:rsid w:val="00DC23FE"/>
    <w:rsid w:val="00DC38B9"/>
    <w:rsid w:val="00DC5B37"/>
    <w:rsid w:val="00DC5DDD"/>
    <w:rsid w:val="00DD309E"/>
    <w:rsid w:val="00DD7C73"/>
    <w:rsid w:val="00DE01B6"/>
    <w:rsid w:val="00DE1304"/>
    <w:rsid w:val="00DE1DD3"/>
    <w:rsid w:val="00DE1FBD"/>
    <w:rsid w:val="00DE4677"/>
    <w:rsid w:val="00DE64ED"/>
    <w:rsid w:val="00DF064D"/>
    <w:rsid w:val="00DF0CBF"/>
    <w:rsid w:val="00DF5407"/>
    <w:rsid w:val="00E00127"/>
    <w:rsid w:val="00E003D9"/>
    <w:rsid w:val="00E00C20"/>
    <w:rsid w:val="00E028F6"/>
    <w:rsid w:val="00E036CD"/>
    <w:rsid w:val="00E0543E"/>
    <w:rsid w:val="00E0753F"/>
    <w:rsid w:val="00E10BF1"/>
    <w:rsid w:val="00E11B5C"/>
    <w:rsid w:val="00E13E2B"/>
    <w:rsid w:val="00E22DB7"/>
    <w:rsid w:val="00E23C1B"/>
    <w:rsid w:val="00E24D2B"/>
    <w:rsid w:val="00E25DDC"/>
    <w:rsid w:val="00E345BF"/>
    <w:rsid w:val="00E34D59"/>
    <w:rsid w:val="00E35C78"/>
    <w:rsid w:val="00E405EA"/>
    <w:rsid w:val="00E40877"/>
    <w:rsid w:val="00E474F9"/>
    <w:rsid w:val="00E51F8B"/>
    <w:rsid w:val="00E51FCF"/>
    <w:rsid w:val="00E529D4"/>
    <w:rsid w:val="00E53839"/>
    <w:rsid w:val="00E53C18"/>
    <w:rsid w:val="00E53F41"/>
    <w:rsid w:val="00E54488"/>
    <w:rsid w:val="00E5638A"/>
    <w:rsid w:val="00E56D2F"/>
    <w:rsid w:val="00E635B9"/>
    <w:rsid w:val="00E6363C"/>
    <w:rsid w:val="00E66700"/>
    <w:rsid w:val="00E66AD7"/>
    <w:rsid w:val="00E67B0A"/>
    <w:rsid w:val="00E71BAD"/>
    <w:rsid w:val="00E733FF"/>
    <w:rsid w:val="00E74106"/>
    <w:rsid w:val="00E74864"/>
    <w:rsid w:val="00E754E8"/>
    <w:rsid w:val="00E75EF4"/>
    <w:rsid w:val="00E82FD8"/>
    <w:rsid w:val="00E834E7"/>
    <w:rsid w:val="00E83ABA"/>
    <w:rsid w:val="00E83E70"/>
    <w:rsid w:val="00E86286"/>
    <w:rsid w:val="00E878FF"/>
    <w:rsid w:val="00E91E16"/>
    <w:rsid w:val="00E927CD"/>
    <w:rsid w:val="00E952EF"/>
    <w:rsid w:val="00E96437"/>
    <w:rsid w:val="00E968A0"/>
    <w:rsid w:val="00E97145"/>
    <w:rsid w:val="00EA4196"/>
    <w:rsid w:val="00EB0BAE"/>
    <w:rsid w:val="00EB0F20"/>
    <w:rsid w:val="00EB1632"/>
    <w:rsid w:val="00EB377B"/>
    <w:rsid w:val="00EB4086"/>
    <w:rsid w:val="00EB4EB6"/>
    <w:rsid w:val="00EB535D"/>
    <w:rsid w:val="00EB5CD2"/>
    <w:rsid w:val="00EC34E0"/>
    <w:rsid w:val="00EC5385"/>
    <w:rsid w:val="00EC5430"/>
    <w:rsid w:val="00EC60B6"/>
    <w:rsid w:val="00EC6373"/>
    <w:rsid w:val="00EC7853"/>
    <w:rsid w:val="00ED047D"/>
    <w:rsid w:val="00ED0A59"/>
    <w:rsid w:val="00ED297E"/>
    <w:rsid w:val="00ED4626"/>
    <w:rsid w:val="00ED5B3C"/>
    <w:rsid w:val="00ED732D"/>
    <w:rsid w:val="00ED7BC4"/>
    <w:rsid w:val="00EE104D"/>
    <w:rsid w:val="00EE5F6D"/>
    <w:rsid w:val="00EF0701"/>
    <w:rsid w:val="00EF11F2"/>
    <w:rsid w:val="00EF236F"/>
    <w:rsid w:val="00EF3067"/>
    <w:rsid w:val="00F03AFB"/>
    <w:rsid w:val="00F03CB2"/>
    <w:rsid w:val="00F13DC7"/>
    <w:rsid w:val="00F14729"/>
    <w:rsid w:val="00F14ED7"/>
    <w:rsid w:val="00F150D6"/>
    <w:rsid w:val="00F17670"/>
    <w:rsid w:val="00F17A90"/>
    <w:rsid w:val="00F2031D"/>
    <w:rsid w:val="00F2622B"/>
    <w:rsid w:val="00F26369"/>
    <w:rsid w:val="00F31671"/>
    <w:rsid w:val="00F3240D"/>
    <w:rsid w:val="00F328DE"/>
    <w:rsid w:val="00F3330B"/>
    <w:rsid w:val="00F357CB"/>
    <w:rsid w:val="00F35CA0"/>
    <w:rsid w:val="00F36A57"/>
    <w:rsid w:val="00F4019F"/>
    <w:rsid w:val="00F405BB"/>
    <w:rsid w:val="00F4328A"/>
    <w:rsid w:val="00F44706"/>
    <w:rsid w:val="00F44A91"/>
    <w:rsid w:val="00F45420"/>
    <w:rsid w:val="00F51EF7"/>
    <w:rsid w:val="00F5253C"/>
    <w:rsid w:val="00F52A72"/>
    <w:rsid w:val="00F52EDF"/>
    <w:rsid w:val="00F54C59"/>
    <w:rsid w:val="00F6067A"/>
    <w:rsid w:val="00F609CB"/>
    <w:rsid w:val="00F60FB9"/>
    <w:rsid w:val="00F64004"/>
    <w:rsid w:val="00F642D3"/>
    <w:rsid w:val="00F64DDA"/>
    <w:rsid w:val="00F65F73"/>
    <w:rsid w:val="00F6631A"/>
    <w:rsid w:val="00F66E3F"/>
    <w:rsid w:val="00F70436"/>
    <w:rsid w:val="00F713DB"/>
    <w:rsid w:val="00F730A9"/>
    <w:rsid w:val="00F735FC"/>
    <w:rsid w:val="00F738D2"/>
    <w:rsid w:val="00F73A7C"/>
    <w:rsid w:val="00F75F3B"/>
    <w:rsid w:val="00F77CB4"/>
    <w:rsid w:val="00F83763"/>
    <w:rsid w:val="00F83C6C"/>
    <w:rsid w:val="00F84EA3"/>
    <w:rsid w:val="00F85513"/>
    <w:rsid w:val="00F86D76"/>
    <w:rsid w:val="00F877CE"/>
    <w:rsid w:val="00F90614"/>
    <w:rsid w:val="00F90A2F"/>
    <w:rsid w:val="00F91BD0"/>
    <w:rsid w:val="00F9239B"/>
    <w:rsid w:val="00F92E85"/>
    <w:rsid w:val="00F9336C"/>
    <w:rsid w:val="00F93BDC"/>
    <w:rsid w:val="00F95080"/>
    <w:rsid w:val="00F9544F"/>
    <w:rsid w:val="00F9741A"/>
    <w:rsid w:val="00FA2589"/>
    <w:rsid w:val="00FA34DF"/>
    <w:rsid w:val="00FA3F4D"/>
    <w:rsid w:val="00FA3FBD"/>
    <w:rsid w:val="00FA62B4"/>
    <w:rsid w:val="00FA70CF"/>
    <w:rsid w:val="00FA71DD"/>
    <w:rsid w:val="00FB3AA4"/>
    <w:rsid w:val="00FB3C35"/>
    <w:rsid w:val="00FB4627"/>
    <w:rsid w:val="00FC0F57"/>
    <w:rsid w:val="00FC1BC9"/>
    <w:rsid w:val="00FC4133"/>
    <w:rsid w:val="00FC41DA"/>
    <w:rsid w:val="00FC5C65"/>
    <w:rsid w:val="00FC75B8"/>
    <w:rsid w:val="00FC75D3"/>
    <w:rsid w:val="00FD318F"/>
    <w:rsid w:val="00FD54BE"/>
    <w:rsid w:val="00FD7CD4"/>
    <w:rsid w:val="00FE2498"/>
    <w:rsid w:val="00FE3548"/>
    <w:rsid w:val="00FE3F2D"/>
    <w:rsid w:val="00FE6556"/>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Normal"/>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basedOn w:val="Normal"/>
    <w:link w:val="FootnoteTextChar"/>
    <w:uiPriority w:val="99"/>
    <w:rsid w:val="00611DA0"/>
    <w:pPr>
      <w:spacing w:line="210" w:lineRule="exact"/>
    </w:pPr>
    <w:rPr>
      <w:sz w:val="17"/>
      <w:szCs w:val="20"/>
    </w:rPr>
  </w:style>
  <w:style w:type="character" w:customStyle="1" w:styleId="FootnoteTextChar">
    <w:name w:val="Footnote Text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uiPriority w:val="99"/>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204774"/>
    <w:rPr>
      <w:sz w:val="16"/>
      <w:szCs w:val="16"/>
    </w:rPr>
  </w:style>
  <w:style w:type="paragraph" w:styleId="CommentText">
    <w:name w:val="annotation text"/>
    <w:basedOn w:val="Normal"/>
    <w:link w:val="CommentTextChar"/>
    <w:uiPriority w:val="99"/>
    <w:semiHidden/>
    <w:unhideWhenUsed/>
    <w:rsid w:val="00204774"/>
    <w:pPr>
      <w:spacing w:line="240" w:lineRule="auto"/>
    </w:pPr>
    <w:rPr>
      <w:szCs w:val="20"/>
    </w:rPr>
  </w:style>
  <w:style w:type="character" w:customStyle="1" w:styleId="CommentTextChar">
    <w:name w:val="Comment Text Char"/>
    <w:basedOn w:val="DefaultParagraphFont"/>
    <w:link w:val="CommentText"/>
    <w:uiPriority w:val="99"/>
    <w:semiHidden/>
    <w:rsid w:val="00204774"/>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204774"/>
    <w:rPr>
      <w:b/>
      <w:bCs/>
    </w:rPr>
  </w:style>
  <w:style w:type="character" w:customStyle="1" w:styleId="CommentSubjectChar">
    <w:name w:val="Comment Subject Char"/>
    <w:basedOn w:val="CommentTextChar"/>
    <w:link w:val="CommentSubject"/>
    <w:uiPriority w:val="99"/>
    <w:semiHidden/>
    <w:rsid w:val="00204774"/>
    <w:rPr>
      <w:rFonts w:ascii="Times New Roman" w:hAnsi="Times New Roman"/>
      <w:b/>
      <w:bCs/>
      <w:spacing w:val="4"/>
      <w:w w:val="103"/>
      <w:kern w:val="14"/>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Normal"/>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basedOn w:val="Normal"/>
    <w:link w:val="FootnoteTextChar"/>
    <w:uiPriority w:val="99"/>
    <w:rsid w:val="00611DA0"/>
    <w:pPr>
      <w:spacing w:line="210" w:lineRule="exact"/>
    </w:pPr>
    <w:rPr>
      <w:sz w:val="17"/>
      <w:szCs w:val="20"/>
    </w:rPr>
  </w:style>
  <w:style w:type="character" w:customStyle="1" w:styleId="FootnoteTextChar">
    <w:name w:val="Footnote Text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uiPriority w:val="99"/>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204774"/>
    <w:rPr>
      <w:sz w:val="16"/>
      <w:szCs w:val="16"/>
    </w:rPr>
  </w:style>
  <w:style w:type="paragraph" w:styleId="CommentText">
    <w:name w:val="annotation text"/>
    <w:basedOn w:val="Normal"/>
    <w:link w:val="CommentTextChar"/>
    <w:uiPriority w:val="99"/>
    <w:semiHidden/>
    <w:unhideWhenUsed/>
    <w:rsid w:val="00204774"/>
    <w:pPr>
      <w:spacing w:line="240" w:lineRule="auto"/>
    </w:pPr>
    <w:rPr>
      <w:szCs w:val="20"/>
    </w:rPr>
  </w:style>
  <w:style w:type="character" w:customStyle="1" w:styleId="CommentTextChar">
    <w:name w:val="Comment Text Char"/>
    <w:basedOn w:val="DefaultParagraphFont"/>
    <w:link w:val="CommentText"/>
    <w:uiPriority w:val="99"/>
    <w:semiHidden/>
    <w:rsid w:val="00204774"/>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204774"/>
    <w:rPr>
      <w:b/>
      <w:bCs/>
    </w:rPr>
  </w:style>
  <w:style w:type="character" w:customStyle="1" w:styleId="CommentSubjectChar">
    <w:name w:val="Comment Subject Char"/>
    <w:basedOn w:val="CommentTextChar"/>
    <w:link w:val="CommentSubject"/>
    <w:uiPriority w:val="99"/>
    <w:semiHidden/>
    <w:rsid w:val="00204774"/>
    <w:rPr>
      <w:rFonts w:ascii="Times New Roman" w:hAnsi="Times New Roman"/>
      <w:b/>
      <w:bCs/>
      <w:spacing w:val="4"/>
      <w:w w:val="103"/>
      <w:kern w:val="1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89264">
      <w:bodyDiv w:val="1"/>
      <w:marLeft w:val="0"/>
      <w:marRight w:val="0"/>
      <w:marTop w:val="0"/>
      <w:marBottom w:val="0"/>
      <w:divBdr>
        <w:top w:val="none" w:sz="0" w:space="0" w:color="auto"/>
        <w:left w:val="none" w:sz="0" w:space="0" w:color="auto"/>
        <w:bottom w:val="none" w:sz="0" w:space="0" w:color="auto"/>
        <w:right w:val="none" w:sz="0" w:space="0" w:color="auto"/>
      </w:divBdr>
    </w:div>
    <w:div w:id="235088406">
      <w:bodyDiv w:val="1"/>
      <w:marLeft w:val="0"/>
      <w:marRight w:val="0"/>
      <w:marTop w:val="0"/>
      <w:marBottom w:val="0"/>
      <w:divBdr>
        <w:top w:val="none" w:sz="0" w:space="0" w:color="auto"/>
        <w:left w:val="none" w:sz="0" w:space="0" w:color="auto"/>
        <w:bottom w:val="none" w:sz="0" w:space="0" w:color="auto"/>
        <w:right w:val="none" w:sz="0" w:space="0" w:color="auto"/>
      </w:divBdr>
    </w:div>
    <w:div w:id="412046656">
      <w:bodyDiv w:val="1"/>
      <w:marLeft w:val="0"/>
      <w:marRight w:val="0"/>
      <w:marTop w:val="0"/>
      <w:marBottom w:val="0"/>
      <w:divBdr>
        <w:top w:val="none" w:sz="0" w:space="0" w:color="auto"/>
        <w:left w:val="none" w:sz="0" w:space="0" w:color="auto"/>
        <w:bottom w:val="none" w:sz="0" w:space="0" w:color="auto"/>
        <w:right w:val="none" w:sz="0" w:space="0" w:color="auto"/>
      </w:divBdr>
    </w:div>
    <w:div w:id="1075014383">
      <w:bodyDiv w:val="1"/>
      <w:marLeft w:val="0"/>
      <w:marRight w:val="0"/>
      <w:marTop w:val="0"/>
      <w:marBottom w:val="0"/>
      <w:divBdr>
        <w:top w:val="none" w:sz="0" w:space="0" w:color="auto"/>
        <w:left w:val="none" w:sz="0" w:space="0" w:color="auto"/>
        <w:bottom w:val="none" w:sz="0" w:space="0" w:color="auto"/>
        <w:right w:val="none" w:sz="0" w:space="0" w:color="auto"/>
      </w:divBdr>
    </w:div>
    <w:div w:id="1498425102">
      <w:bodyDiv w:val="1"/>
      <w:marLeft w:val="0"/>
      <w:marRight w:val="0"/>
      <w:marTop w:val="0"/>
      <w:marBottom w:val="0"/>
      <w:divBdr>
        <w:top w:val="none" w:sz="0" w:space="0" w:color="auto"/>
        <w:left w:val="none" w:sz="0" w:space="0" w:color="auto"/>
        <w:bottom w:val="none" w:sz="0" w:space="0" w:color="auto"/>
        <w:right w:val="none" w:sz="0" w:space="0" w:color="auto"/>
      </w:divBdr>
    </w:div>
    <w:div w:id="1618953546">
      <w:bodyDiv w:val="1"/>
      <w:marLeft w:val="0"/>
      <w:marRight w:val="0"/>
      <w:marTop w:val="0"/>
      <w:marBottom w:val="0"/>
      <w:divBdr>
        <w:top w:val="none" w:sz="0" w:space="0" w:color="auto"/>
        <w:left w:val="none" w:sz="0" w:space="0" w:color="auto"/>
        <w:bottom w:val="none" w:sz="0" w:space="0" w:color="auto"/>
        <w:right w:val="none" w:sz="0" w:space="0" w:color="auto"/>
      </w:divBdr>
    </w:div>
    <w:div w:id="201375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26299-55D9-480F-9652-C808D572E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1388</Words>
  <Characters>7913</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Morin</dc:creator>
  <cp:lastModifiedBy>Benedicte Boudol</cp:lastModifiedBy>
  <cp:revision>2</cp:revision>
  <cp:lastPrinted>2015-11-19T14:34:00Z</cp:lastPrinted>
  <dcterms:created xsi:type="dcterms:W3CDTF">2015-11-19T15:56:00Z</dcterms:created>
  <dcterms:modified xsi:type="dcterms:W3CDTF">2015-11-19T15:56:00Z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1515997F</vt:lpwstr>
  </property>
  <property fmtid="{D5CDD505-2E9C-101B-9397-08002B2CF9AE}" pid="3" name="ODSRefJobNo">
    <vt:lpwstr>1521395F</vt:lpwstr>
  </property>
  <property fmtid="{D5CDD505-2E9C-101B-9397-08002B2CF9AE}" pid="4" name="Symbol1">
    <vt:lpwstr>ECE/TRANS/WP.29/GRSP/2015/25</vt:lpwstr>
  </property>
  <property fmtid="{D5CDD505-2E9C-101B-9397-08002B2CF9AE}" pid="5" name="Symbol2">
    <vt:lpwstr/>
  </property>
  <property fmtid="{D5CDD505-2E9C-101B-9397-08002B2CF9AE}" pid="6" name="Translator">
    <vt:lpwstr/>
  </property>
  <property fmtid="{D5CDD505-2E9C-101B-9397-08002B2CF9AE}" pid="7" name="Operator">
    <vt:lpwstr>N.Morin</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21 septembre 2015</vt:lpwstr>
  </property>
  <property fmtid="{D5CDD505-2E9C-101B-9397-08002B2CF9AE}" pid="12" name="Original">
    <vt:lpwstr>anglais</vt:lpwstr>
  </property>
  <property fmtid="{D5CDD505-2E9C-101B-9397-08002B2CF9AE}" pid="13" name="Release Date">
    <vt:lpwstr>191115</vt:lpwstr>
  </property>
</Properties>
</file>