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5F1" w:rsidRPr="000615F1" w:rsidRDefault="000615F1" w:rsidP="00AF636E">
      <w:pPr>
        <w:jc w:val="center"/>
        <w:rPr>
          <w:rFonts w:ascii="Times New Roman" w:hAnsi="Times New Roman"/>
          <w:sz w:val="24"/>
          <w:szCs w:val="24"/>
          <w:lang w:val="en-US"/>
        </w:rPr>
      </w:pPr>
      <w:r w:rsidRPr="000615F1">
        <w:rPr>
          <w:rFonts w:ascii="Times New Roman" w:hAnsi="Times New Roman"/>
          <w:b/>
          <w:sz w:val="24"/>
          <w:szCs w:val="24"/>
          <w:lang w:val="en-US"/>
        </w:rPr>
        <w:t xml:space="preserve">Proposal for </w:t>
      </w:r>
      <w:r w:rsidR="000B5EF2">
        <w:rPr>
          <w:rFonts w:ascii="Times New Roman" w:hAnsi="Times New Roman"/>
          <w:b/>
          <w:sz w:val="24"/>
          <w:szCs w:val="24"/>
          <w:lang w:val="en-US"/>
        </w:rPr>
        <w:t xml:space="preserve">amendments to </w:t>
      </w:r>
      <w:r w:rsidRPr="000615F1">
        <w:rPr>
          <w:rFonts w:ascii="Times New Roman" w:hAnsi="Times New Roman"/>
          <w:b/>
          <w:sz w:val="24"/>
          <w:szCs w:val="24"/>
          <w:lang w:val="en-US"/>
        </w:rPr>
        <w:t xml:space="preserve">the </w:t>
      </w:r>
      <w:r w:rsidR="00AF636E">
        <w:rPr>
          <w:rFonts w:ascii="Times New Roman" w:hAnsi="Times New Roman"/>
          <w:b/>
          <w:sz w:val="24"/>
          <w:szCs w:val="24"/>
          <w:lang w:val="en-US"/>
        </w:rPr>
        <w:t>01</w:t>
      </w:r>
      <w:r w:rsidRPr="000615F1">
        <w:rPr>
          <w:rFonts w:ascii="Times New Roman" w:hAnsi="Times New Roman"/>
          <w:b/>
          <w:sz w:val="24"/>
          <w:szCs w:val="24"/>
          <w:lang w:val="en-US"/>
        </w:rPr>
        <w:t xml:space="preserve"> series of amendments to Regulation No. </w:t>
      </w:r>
      <w:r w:rsidR="00AF636E">
        <w:rPr>
          <w:rFonts w:ascii="Times New Roman" w:hAnsi="Times New Roman"/>
          <w:b/>
          <w:sz w:val="24"/>
          <w:szCs w:val="24"/>
          <w:lang w:val="en-US"/>
        </w:rPr>
        <w:t>67</w:t>
      </w:r>
      <w:r w:rsidR="005959A4">
        <w:rPr>
          <w:rFonts w:ascii="Times New Roman" w:hAnsi="Times New Roman"/>
          <w:b/>
          <w:sz w:val="24"/>
          <w:szCs w:val="24"/>
          <w:lang w:val="en-US"/>
        </w:rPr>
        <w:br/>
      </w:r>
      <w:r w:rsidR="00AF636E">
        <w:rPr>
          <w:rFonts w:ascii="Times New Roman" w:hAnsi="Times New Roman"/>
          <w:b/>
          <w:sz w:val="24"/>
          <w:szCs w:val="24"/>
          <w:lang w:val="en-US"/>
        </w:rPr>
        <w:t>(Equipment for Liquefied Petroleum Gas)</w:t>
      </w:r>
    </w:p>
    <w:p w:rsidR="00AF636E" w:rsidRPr="005E7739" w:rsidRDefault="000615F1" w:rsidP="000615F1">
      <w:pPr>
        <w:jc w:val="both"/>
        <w:rPr>
          <w:rFonts w:ascii="Times New Roman" w:hAnsi="Times New Roman"/>
          <w:sz w:val="20"/>
          <w:szCs w:val="20"/>
          <w:lang w:val="en-US"/>
        </w:rPr>
      </w:pPr>
      <w:r w:rsidRPr="005E7739">
        <w:rPr>
          <w:rFonts w:ascii="Times New Roman" w:hAnsi="Times New Roman"/>
          <w:sz w:val="20"/>
          <w:szCs w:val="20"/>
          <w:lang w:val="en-US"/>
        </w:rPr>
        <w:t xml:space="preserve">The text reproduced below was prepared by the expert from </w:t>
      </w:r>
      <w:r w:rsidR="00993CE5" w:rsidRPr="005E7739">
        <w:rPr>
          <w:rFonts w:ascii="Times New Roman" w:hAnsi="Times New Roman"/>
          <w:sz w:val="20"/>
          <w:szCs w:val="20"/>
          <w:lang w:val="en-US"/>
        </w:rPr>
        <w:t xml:space="preserve">Germany </w:t>
      </w:r>
      <w:r w:rsidR="00BF6123" w:rsidRPr="005E7739">
        <w:rPr>
          <w:rFonts w:ascii="Times New Roman" w:hAnsi="Times New Roman"/>
          <w:sz w:val="20"/>
          <w:szCs w:val="20"/>
          <w:lang w:val="en-US"/>
        </w:rPr>
        <w:t xml:space="preserve">regarding </w:t>
      </w:r>
      <w:r w:rsidR="00993CE5" w:rsidRPr="005E7739">
        <w:rPr>
          <w:rFonts w:ascii="Times New Roman" w:hAnsi="Times New Roman"/>
          <w:sz w:val="20"/>
          <w:szCs w:val="20"/>
          <w:lang w:val="en-US"/>
        </w:rPr>
        <w:t xml:space="preserve">some aspects of ECE/TRANS/WP.29/GRSG/2015/35 submitted by the expert form </w:t>
      </w:r>
      <w:bookmarkStart w:id="0" w:name="_GoBack"/>
      <w:r w:rsidR="00993CE5" w:rsidRPr="005E7739">
        <w:rPr>
          <w:rFonts w:ascii="Times New Roman" w:hAnsi="Times New Roman"/>
          <w:sz w:val="20"/>
          <w:szCs w:val="20"/>
          <w:lang w:val="en-US"/>
        </w:rPr>
        <w:t xml:space="preserve">the </w:t>
      </w:r>
      <w:bookmarkEnd w:id="0"/>
      <w:r w:rsidR="000B5EF2" w:rsidRPr="005E7739">
        <w:rPr>
          <w:rFonts w:ascii="Times New Roman" w:hAnsi="Times New Roman"/>
          <w:sz w:val="20"/>
          <w:szCs w:val="20"/>
          <w:lang w:val="en-US"/>
        </w:rPr>
        <w:t xml:space="preserve">European </w:t>
      </w:r>
      <w:r w:rsidR="00993CE5" w:rsidRPr="005E7739">
        <w:rPr>
          <w:rFonts w:ascii="Times New Roman" w:hAnsi="Times New Roman"/>
          <w:sz w:val="20"/>
          <w:szCs w:val="20"/>
          <w:lang w:val="en-US"/>
        </w:rPr>
        <w:t>Liquefied Petroleum Gas Association.</w:t>
      </w:r>
    </w:p>
    <w:p w:rsidR="000615F1" w:rsidRPr="005E7739" w:rsidRDefault="00993CE5" w:rsidP="000615F1">
      <w:pPr>
        <w:jc w:val="both"/>
        <w:rPr>
          <w:rFonts w:ascii="Times New Roman" w:hAnsi="Times New Roman"/>
          <w:sz w:val="20"/>
          <w:szCs w:val="20"/>
          <w:lang w:val="en-US"/>
        </w:rPr>
      </w:pPr>
      <w:r w:rsidRPr="005E7739">
        <w:rPr>
          <w:rFonts w:ascii="Times New Roman" w:hAnsi="Times New Roman"/>
          <w:sz w:val="20"/>
          <w:szCs w:val="20"/>
          <w:lang w:val="en-US"/>
        </w:rPr>
        <w:t xml:space="preserve">Amendments to the </w:t>
      </w:r>
      <w:r w:rsidR="000615F1" w:rsidRPr="005E7739">
        <w:rPr>
          <w:rFonts w:ascii="Times New Roman" w:hAnsi="Times New Roman"/>
          <w:sz w:val="20"/>
          <w:szCs w:val="20"/>
          <w:lang w:val="en-US"/>
        </w:rPr>
        <w:t xml:space="preserve">text </w:t>
      </w:r>
      <w:r w:rsidR="00DE0B1A" w:rsidRPr="005E7739">
        <w:rPr>
          <w:rFonts w:ascii="Times New Roman" w:hAnsi="Times New Roman"/>
          <w:sz w:val="20"/>
          <w:szCs w:val="20"/>
          <w:lang w:val="en-US"/>
        </w:rPr>
        <w:t xml:space="preserve">proposed </w:t>
      </w:r>
      <w:r w:rsidRPr="005E7739">
        <w:rPr>
          <w:rFonts w:ascii="Times New Roman" w:hAnsi="Times New Roman"/>
          <w:sz w:val="20"/>
          <w:szCs w:val="20"/>
          <w:lang w:val="en-US"/>
        </w:rPr>
        <w:t xml:space="preserve">in ECE/TRANS/WP.29/GRSG/2015/35 </w:t>
      </w:r>
      <w:r w:rsidR="000615F1" w:rsidRPr="005E7739">
        <w:rPr>
          <w:rFonts w:ascii="Times New Roman" w:hAnsi="Times New Roman"/>
          <w:sz w:val="20"/>
          <w:szCs w:val="20"/>
          <w:lang w:val="en-US"/>
        </w:rPr>
        <w:t xml:space="preserve">are marked in </w:t>
      </w:r>
      <w:r w:rsidRPr="005E7739">
        <w:rPr>
          <w:rFonts w:ascii="Times New Roman" w:hAnsi="Times New Roman"/>
          <w:color w:val="FF0000"/>
          <w:sz w:val="20"/>
          <w:szCs w:val="20"/>
          <w:lang w:val="en-US"/>
        </w:rPr>
        <w:t>red</w:t>
      </w:r>
      <w:r w:rsidRPr="005E7739">
        <w:rPr>
          <w:rFonts w:ascii="Times New Roman" w:hAnsi="Times New Roman"/>
          <w:sz w:val="20"/>
          <w:szCs w:val="20"/>
          <w:lang w:val="en-US"/>
        </w:rPr>
        <w:t xml:space="preserve"> </w:t>
      </w:r>
      <w:r w:rsidR="000615F1" w:rsidRPr="005E7739">
        <w:rPr>
          <w:rFonts w:ascii="Times New Roman" w:hAnsi="Times New Roman"/>
          <w:sz w:val="20"/>
          <w:szCs w:val="20"/>
          <w:lang w:val="en-US"/>
        </w:rPr>
        <w:t>and deleted information is marked with strikethrough.</w:t>
      </w:r>
    </w:p>
    <w:p w:rsidR="000615F1" w:rsidRPr="000615F1" w:rsidRDefault="000615F1" w:rsidP="000615F1">
      <w:pPr>
        <w:jc w:val="both"/>
        <w:rPr>
          <w:rFonts w:ascii="Times New Roman" w:hAnsi="Times New Roman"/>
          <w:b/>
          <w:sz w:val="24"/>
          <w:szCs w:val="24"/>
          <w:lang w:val="en-US"/>
        </w:rPr>
      </w:pPr>
      <w:r w:rsidRPr="000615F1">
        <w:rPr>
          <w:rFonts w:ascii="Times New Roman" w:hAnsi="Times New Roman"/>
          <w:b/>
          <w:sz w:val="24"/>
          <w:szCs w:val="24"/>
          <w:lang w:val="en-US"/>
        </w:rPr>
        <w:t>I.</w:t>
      </w:r>
      <w:r w:rsidRPr="000615F1">
        <w:rPr>
          <w:rFonts w:ascii="Times New Roman" w:hAnsi="Times New Roman"/>
          <w:b/>
          <w:sz w:val="24"/>
          <w:szCs w:val="24"/>
          <w:lang w:val="en-US"/>
        </w:rPr>
        <w:tab/>
        <w:t>Proposal</w:t>
      </w:r>
    </w:p>
    <w:p w:rsidR="00993CE5" w:rsidRPr="00993CE5" w:rsidRDefault="00993CE5" w:rsidP="00993CE5">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sz w:val="20"/>
          <w:szCs w:val="20"/>
          <w:lang w:val="en-GB"/>
        </w:rPr>
      </w:pPr>
      <w:r w:rsidRPr="00993CE5">
        <w:rPr>
          <w:rFonts w:ascii="Times New Roman" w:eastAsia="Times New Roman" w:hAnsi="Times New Roman" w:cs="Times New Roman"/>
          <w:i/>
          <w:sz w:val="20"/>
          <w:szCs w:val="20"/>
          <w:lang w:val="en-GB"/>
        </w:rPr>
        <w:t xml:space="preserve">Amend paragraph 6.16.1.6., </w:t>
      </w:r>
      <w:r w:rsidRPr="00993CE5">
        <w:rPr>
          <w:rFonts w:ascii="Times New Roman" w:eastAsia="Times New Roman" w:hAnsi="Times New Roman" w:cs="Times New Roman"/>
          <w:sz w:val="20"/>
          <w:szCs w:val="20"/>
          <w:lang w:val="en-GB"/>
        </w:rPr>
        <w:t xml:space="preserve">to </w:t>
      </w:r>
      <w:r w:rsidRPr="00993CE5">
        <w:rPr>
          <w:rFonts w:ascii="Times New Roman" w:eastAsia="Times New Roman" w:hAnsi="Times New Roman" w:cs="Times New Roman"/>
          <w:sz w:val="20"/>
          <w:szCs w:val="20"/>
          <w:lang w:val="en-GB" w:eastAsia="ar-SA"/>
        </w:rPr>
        <w:t>read</w:t>
      </w:r>
      <w:r w:rsidRPr="00993CE5">
        <w:rPr>
          <w:rFonts w:ascii="Times New Roman" w:eastAsia="Times New Roman" w:hAnsi="Times New Roman" w:cs="Times New Roman"/>
          <w:sz w:val="20"/>
          <w:szCs w:val="20"/>
          <w:lang w:val="en-GB"/>
        </w:rPr>
        <w:t>:</w:t>
      </w:r>
    </w:p>
    <w:p w:rsidR="00993CE5" w:rsidRPr="00993CE5" w:rsidRDefault="00993CE5" w:rsidP="00993CE5">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sz w:val="20"/>
          <w:szCs w:val="20"/>
          <w:lang w:val="en-GB"/>
        </w:rPr>
      </w:pPr>
      <w:r w:rsidRPr="00993CE5">
        <w:rPr>
          <w:rFonts w:ascii="Times New Roman" w:eastAsia="Times New Roman" w:hAnsi="Times New Roman" w:cs="Times New Roman"/>
          <w:sz w:val="20"/>
          <w:szCs w:val="20"/>
          <w:lang w:val="en-GB"/>
        </w:rPr>
        <w:t>"</w:t>
      </w:r>
      <w:r w:rsidRPr="00993CE5">
        <w:rPr>
          <w:rFonts w:ascii="Times New Roman" w:eastAsia="Times New Roman" w:hAnsi="Times New Roman" w:cs="Times New Roman"/>
          <w:b/>
          <w:sz w:val="20"/>
          <w:szCs w:val="20"/>
          <w:lang w:val="en-GB"/>
        </w:rPr>
        <w:t>6.16.1.6.</w:t>
      </w:r>
      <w:r w:rsidRPr="00993CE5">
        <w:rPr>
          <w:rFonts w:ascii="Times New Roman" w:eastAsia="Times New Roman" w:hAnsi="Times New Roman" w:cs="Times New Roman"/>
          <w:b/>
          <w:sz w:val="20"/>
          <w:szCs w:val="20"/>
          <w:lang w:val="en-GB"/>
        </w:rPr>
        <w:tab/>
      </w:r>
      <w:r w:rsidRPr="00993CE5">
        <w:rPr>
          <w:rFonts w:ascii="Times New Roman" w:eastAsia="Times New Roman" w:hAnsi="Times New Roman" w:cs="Times New Roman"/>
          <w:b/>
          <w:sz w:val="20"/>
          <w:szCs w:val="20"/>
          <w:lang w:val="en-GB" w:eastAsia="ar-SA"/>
        </w:rPr>
        <w:t>When</w:t>
      </w:r>
      <w:r w:rsidRPr="00993CE5">
        <w:rPr>
          <w:rFonts w:ascii="Times New Roman" w:eastAsia="Times New Roman" w:hAnsi="Times New Roman" w:cs="Times New Roman"/>
          <w:b/>
          <w:sz w:val="20"/>
          <w:szCs w:val="20"/>
          <w:lang w:val="en-GB"/>
        </w:rPr>
        <w:t xml:space="preserve"> the 80 per cent stop valve is intended to be fitted as a component of an interconnected LPG-system, the manufacturer shall demonstrate to the type approval authority that the safety concept of the LPG-system prevents an overfilling of the container</w:t>
      </w:r>
      <w:r w:rsidRPr="00993CE5">
        <w:rPr>
          <w:rFonts w:ascii="Times New Roman" w:eastAsia="Times New Roman" w:hAnsi="Times New Roman" w:cs="Times New Roman"/>
          <w:sz w:val="20"/>
          <w:szCs w:val="20"/>
          <w:lang w:val="en-GB"/>
        </w:rPr>
        <w:t xml:space="preserve">. </w:t>
      </w:r>
      <w:r w:rsidRPr="00993CE5">
        <w:rPr>
          <w:rFonts w:ascii="Times New Roman" w:eastAsia="Times New Roman" w:hAnsi="Times New Roman" w:cs="Times New Roman"/>
          <w:color w:val="FF0000"/>
          <w:sz w:val="20"/>
          <w:szCs w:val="20"/>
          <w:lang w:val="en-GB"/>
        </w:rPr>
        <w:t>The safety concept shall be laid down according to ISO 26262:2011.</w:t>
      </w:r>
      <w:r w:rsidRPr="00993CE5">
        <w:rPr>
          <w:rFonts w:ascii="Times New Roman" w:eastAsia="Times New Roman" w:hAnsi="Times New Roman" w:cs="Times New Roman"/>
          <w:sz w:val="20"/>
          <w:szCs w:val="20"/>
          <w:lang w:val="en-GB"/>
        </w:rPr>
        <w:t>"</w:t>
      </w:r>
    </w:p>
    <w:p w:rsidR="00993CE5" w:rsidRPr="00993CE5" w:rsidRDefault="00993CE5" w:rsidP="00993CE5">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sz w:val="20"/>
          <w:szCs w:val="20"/>
          <w:lang w:val="en-GB"/>
        </w:rPr>
      </w:pPr>
      <w:r w:rsidRPr="00993CE5">
        <w:rPr>
          <w:rFonts w:ascii="Times New Roman" w:eastAsia="Times New Roman" w:hAnsi="Times New Roman" w:cs="Times New Roman"/>
          <w:i/>
          <w:sz w:val="20"/>
          <w:szCs w:val="20"/>
          <w:lang w:val="en-GB"/>
        </w:rPr>
        <w:t xml:space="preserve">Amend Annex 18, </w:t>
      </w:r>
      <w:r w:rsidRPr="00993CE5">
        <w:rPr>
          <w:rFonts w:ascii="Times New Roman" w:eastAsia="Times New Roman" w:hAnsi="Times New Roman" w:cs="Times New Roman"/>
          <w:sz w:val="20"/>
          <w:szCs w:val="20"/>
          <w:lang w:val="en-GB"/>
        </w:rPr>
        <w:t xml:space="preserve">to </w:t>
      </w:r>
      <w:r w:rsidRPr="00993CE5">
        <w:rPr>
          <w:rFonts w:ascii="Times New Roman" w:eastAsia="Times New Roman" w:hAnsi="Times New Roman" w:cs="Times New Roman"/>
          <w:sz w:val="20"/>
          <w:szCs w:val="20"/>
          <w:lang w:val="en-GB" w:eastAsia="ar-SA"/>
        </w:rPr>
        <w:t>read</w:t>
      </w:r>
      <w:r w:rsidRPr="00993CE5">
        <w:rPr>
          <w:rFonts w:ascii="Times New Roman" w:eastAsia="Times New Roman" w:hAnsi="Times New Roman" w:cs="Times New Roman"/>
          <w:sz w:val="20"/>
          <w:szCs w:val="20"/>
          <w:lang w:val="en-GB"/>
        </w:rPr>
        <w:t>:</w:t>
      </w:r>
    </w:p>
    <w:p w:rsidR="00993CE5" w:rsidRPr="00993CE5" w:rsidRDefault="00993CE5" w:rsidP="00993CE5">
      <w:pPr>
        <w:keepNext/>
        <w:keepLines/>
        <w:tabs>
          <w:tab w:val="right" w:pos="851"/>
        </w:tabs>
        <w:spacing w:before="360" w:after="240" w:line="300" w:lineRule="exact"/>
        <w:ind w:left="2268" w:right="1134" w:hanging="1134"/>
        <w:rPr>
          <w:rFonts w:ascii="Times New Roman" w:eastAsia="Times New Roman" w:hAnsi="Times New Roman" w:cs="Times New Roman"/>
          <w:b/>
          <w:bCs/>
          <w:sz w:val="28"/>
          <w:szCs w:val="20"/>
          <w:lang w:val="en-GB"/>
        </w:rPr>
      </w:pPr>
      <w:r w:rsidRPr="00993CE5">
        <w:rPr>
          <w:rFonts w:ascii="Times New Roman" w:eastAsia="Times New Roman" w:hAnsi="Times New Roman" w:cs="Times New Roman"/>
          <w:b/>
          <w:sz w:val="28"/>
          <w:szCs w:val="20"/>
          <w:lang w:val="en-US"/>
        </w:rPr>
        <w:t>"Annex 18</w:t>
      </w:r>
    </w:p>
    <w:p w:rsidR="00993CE5" w:rsidRPr="00993CE5" w:rsidRDefault="00993CE5" w:rsidP="00993CE5">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93CE5">
        <w:rPr>
          <w:rFonts w:ascii="Times New Roman" w:eastAsia="Times New Roman" w:hAnsi="Times New Roman" w:cs="Times New Roman"/>
          <w:b/>
          <w:sz w:val="28"/>
          <w:szCs w:val="20"/>
          <w:lang w:val="en-GB"/>
        </w:rPr>
        <w:tab/>
      </w:r>
      <w:r w:rsidRPr="00993CE5">
        <w:rPr>
          <w:rFonts w:ascii="Times New Roman" w:eastAsia="Times New Roman" w:hAnsi="Times New Roman" w:cs="Times New Roman"/>
          <w:b/>
          <w:sz w:val="28"/>
          <w:szCs w:val="20"/>
          <w:lang w:val="en-GB"/>
        </w:rPr>
        <w:tab/>
        <w:t>Provisions regarding compatibility of metallic and non-metallic components and parts with petrol</w:t>
      </w:r>
      <w:r w:rsidRPr="00993CE5">
        <w:rPr>
          <w:rFonts w:ascii="Times New Roman" w:eastAsia="Times New Roman" w:hAnsi="Times New Roman" w:cs="Times New Roman"/>
          <w:b/>
          <w:color w:val="FF0000"/>
          <w:sz w:val="28"/>
          <w:szCs w:val="20"/>
          <w:lang w:val="en-GB"/>
        </w:rPr>
        <w:t xml:space="preserve"> and diesel</w:t>
      </w:r>
      <w:r w:rsidR="005959A4">
        <w:rPr>
          <w:rFonts w:ascii="Times New Roman" w:eastAsia="Times New Roman" w:hAnsi="Times New Roman" w:cs="Times New Roman"/>
          <w:b/>
          <w:sz w:val="28"/>
          <w:szCs w:val="20"/>
          <w:lang w:val="en-GB"/>
        </w:rPr>
        <w:t>"</w:t>
      </w:r>
    </w:p>
    <w:p w:rsidR="00993CE5" w:rsidRPr="00993CE5" w:rsidRDefault="00993CE5" w:rsidP="00993CE5">
      <w:pPr>
        <w:suppressAutoHyphens/>
        <w:spacing w:after="120" w:line="240" w:lineRule="auto"/>
        <w:ind w:left="1134" w:right="1134"/>
        <w:jc w:val="both"/>
        <w:rPr>
          <w:rFonts w:ascii="Times New Roman" w:eastAsia="Times New Roman" w:hAnsi="Times New Roman" w:cs="Times New Roman"/>
          <w:i/>
          <w:sz w:val="20"/>
          <w:szCs w:val="20"/>
          <w:lang w:val="en-GB"/>
        </w:rPr>
      </w:pPr>
    </w:p>
    <w:p w:rsidR="00993CE5" w:rsidRPr="00993CE5" w:rsidRDefault="00993CE5" w:rsidP="00993CE5">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i/>
          <w:sz w:val="20"/>
          <w:szCs w:val="20"/>
          <w:lang w:val="en-GB"/>
        </w:rPr>
      </w:pPr>
      <w:r w:rsidRPr="00993CE5">
        <w:rPr>
          <w:rFonts w:ascii="Times New Roman" w:eastAsia="Times New Roman" w:hAnsi="Times New Roman" w:cs="Times New Roman"/>
          <w:i/>
          <w:sz w:val="20"/>
          <w:szCs w:val="20"/>
          <w:lang w:val="en-GB"/>
        </w:rPr>
        <w:t>Amend Annex 19,</w:t>
      </w:r>
      <w:r w:rsidRPr="00993CE5">
        <w:rPr>
          <w:rFonts w:ascii="Times New Roman" w:eastAsia="Times New Roman" w:hAnsi="Times New Roman" w:cs="Times New Roman"/>
          <w:sz w:val="20"/>
          <w:szCs w:val="20"/>
          <w:lang w:val="en-GB"/>
        </w:rPr>
        <w:t xml:space="preserve"> to read:</w:t>
      </w:r>
    </w:p>
    <w:p w:rsidR="00993CE5" w:rsidRPr="00993CE5" w:rsidRDefault="00993CE5" w:rsidP="00993CE5">
      <w:pPr>
        <w:keepNext/>
        <w:keepLines/>
        <w:tabs>
          <w:tab w:val="right" w:pos="851"/>
        </w:tabs>
        <w:spacing w:before="360" w:after="240" w:line="300" w:lineRule="exact"/>
        <w:ind w:left="2268" w:right="1134" w:hanging="1134"/>
        <w:rPr>
          <w:rFonts w:ascii="Times New Roman" w:eastAsia="Times New Roman" w:hAnsi="Times New Roman" w:cs="Times New Roman"/>
          <w:b/>
          <w:bCs/>
          <w:sz w:val="28"/>
          <w:szCs w:val="20"/>
          <w:lang w:val="en-GB"/>
        </w:rPr>
      </w:pPr>
      <w:r w:rsidRPr="00993CE5">
        <w:rPr>
          <w:rFonts w:ascii="Times New Roman" w:eastAsia="Times New Roman" w:hAnsi="Times New Roman" w:cs="Times New Roman"/>
          <w:b/>
          <w:sz w:val="28"/>
          <w:szCs w:val="20"/>
          <w:lang w:val="en-US"/>
        </w:rPr>
        <w:t>"Annex 19</w:t>
      </w:r>
    </w:p>
    <w:p w:rsidR="00993CE5" w:rsidRPr="00993CE5" w:rsidRDefault="00993CE5" w:rsidP="00993CE5">
      <w:pPr>
        <w:keepNext/>
        <w:keepLines/>
        <w:tabs>
          <w:tab w:val="right" w:pos="851"/>
        </w:tabs>
        <w:spacing w:before="360" w:after="240" w:line="300" w:lineRule="exact"/>
        <w:ind w:left="1134" w:right="1134" w:hanging="1134"/>
        <w:rPr>
          <w:rFonts w:ascii="Times New Roman" w:eastAsia="Times New Roman" w:hAnsi="Times New Roman" w:cs="Times New Roman"/>
          <w:b/>
          <w:bCs/>
          <w:sz w:val="28"/>
          <w:szCs w:val="20"/>
          <w:lang w:val="en-GB"/>
        </w:rPr>
      </w:pPr>
      <w:r w:rsidRPr="00993CE5">
        <w:rPr>
          <w:rFonts w:ascii="Times New Roman" w:eastAsia="Times New Roman" w:hAnsi="Times New Roman" w:cs="Times New Roman"/>
          <w:b/>
          <w:bCs/>
          <w:sz w:val="28"/>
          <w:szCs w:val="20"/>
          <w:lang w:val="en-GB"/>
        </w:rPr>
        <w:tab/>
      </w:r>
      <w:r w:rsidRPr="00993CE5">
        <w:rPr>
          <w:rFonts w:ascii="Times New Roman" w:eastAsia="Times New Roman" w:hAnsi="Times New Roman" w:cs="Times New Roman"/>
          <w:b/>
          <w:bCs/>
          <w:sz w:val="28"/>
          <w:szCs w:val="20"/>
          <w:lang w:val="en-GB"/>
        </w:rPr>
        <w:tab/>
        <w:t>Provisions regarding interconnected LPG-systems</w:t>
      </w:r>
    </w:p>
    <w:p w:rsidR="00993CE5" w:rsidRPr="00993CE5" w:rsidRDefault="00993CE5" w:rsidP="00993CE5">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b/>
          <w:bCs/>
          <w:sz w:val="20"/>
          <w:szCs w:val="20"/>
          <w:lang w:val="en-US"/>
        </w:rPr>
      </w:pPr>
      <w:r w:rsidRPr="00993CE5">
        <w:rPr>
          <w:rFonts w:ascii="Times New Roman" w:eastAsia="Times New Roman" w:hAnsi="Times New Roman" w:cs="Times New Roman"/>
          <w:b/>
          <w:bCs/>
          <w:sz w:val="20"/>
          <w:szCs w:val="20"/>
          <w:lang w:val="en-US"/>
        </w:rPr>
        <w:t>1.</w:t>
      </w:r>
      <w:r w:rsidRPr="00993CE5">
        <w:rPr>
          <w:rFonts w:ascii="Times New Roman" w:eastAsia="Times New Roman" w:hAnsi="Times New Roman" w:cs="Times New Roman"/>
          <w:b/>
          <w:bCs/>
          <w:sz w:val="20"/>
          <w:szCs w:val="20"/>
          <w:lang w:val="en-US"/>
        </w:rPr>
        <w:tab/>
        <w:t>Documentation</w:t>
      </w:r>
    </w:p>
    <w:p w:rsidR="00993CE5" w:rsidRPr="00993CE5" w:rsidRDefault="00993CE5" w:rsidP="00993CE5">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b/>
          <w:bCs/>
          <w:sz w:val="20"/>
          <w:szCs w:val="20"/>
          <w:lang w:val="en-US"/>
        </w:rPr>
      </w:pPr>
      <w:r w:rsidRPr="00993CE5">
        <w:rPr>
          <w:rFonts w:ascii="Times New Roman" w:eastAsia="Times New Roman" w:hAnsi="Times New Roman" w:cs="Times New Roman"/>
          <w:b/>
          <w:bCs/>
          <w:sz w:val="20"/>
          <w:szCs w:val="20"/>
          <w:lang w:val="en-US"/>
        </w:rPr>
        <w:t>1.1.</w:t>
      </w:r>
      <w:r w:rsidRPr="00993CE5">
        <w:rPr>
          <w:rFonts w:ascii="Times New Roman" w:eastAsia="Times New Roman" w:hAnsi="Times New Roman" w:cs="Times New Roman"/>
          <w:b/>
          <w:bCs/>
          <w:sz w:val="20"/>
          <w:szCs w:val="20"/>
          <w:lang w:val="en-US"/>
        </w:rPr>
        <w:tab/>
        <w:t>The following documentation shall be provided to the Type-Approval Authority and to the Technical Service:</w:t>
      </w:r>
    </w:p>
    <w:p w:rsidR="00993CE5" w:rsidRPr="00993CE5" w:rsidRDefault="00993CE5" w:rsidP="00993CE5">
      <w:pPr>
        <w:tabs>
          <w:tab w:val="left" w:pos="2268"/>
          <w:tab w:val="left" w:pos="8505"/>
        </w:tabs>
        <w:suppressAutoHyphens/>
        <w:spacing w:before="120" w:after="120" w:line="240" w:lineRule="auto"/>
        <w:ind w:left="2835" w:right="1134" w:hanging="1701"/>
        <w:jc w:val="both"/>
        <w:rPr>
          <w:rFonts w:ascii="Times New Roman" w:eastAsia="Times New Roman" w:hAnsi="Times New Roman" w:cs="Times New Roman"/>
          <w:b/>
          <w:bCs/>
          <w:sz w:val="20"/>
          <w:szCs w:val="20"/>
          <w:lang w:val="en-US"/>
        </w:rPr>
      </w:pPr>
      <w:r w:rsidRPr="00993CE5">
        <w:rPr>
          <w:rFonts w:ascii="Times New Roman" w:eastAsia="Times New Roman" w:hAnsi="Times New Roman" w:cs="Times New Roman"/>
          <w:b/>
          <w:bCs/>
          <w:sz w:val="20"/>
          <w:szCs w:val="20"/>
          <w:lang w:val="en-US"/>
        </w:rPr>
        <w:tab/>
      </w:r>
      <w:r w:rsidRPr="00993CE5">
        <w:rPr>
          <w:rFonts w:ascii="Times New Roman" w:eastAsia="Times New Roman" w:hAnsi="Times New Roman" w:cs="Times New Roman"/>
          <w:b/>
          <w:bCs/>
          <w:color w:val="FF0000"/>
          <w:sz w:val="20"/>
          <w:szCs w:val="20"/>
          <w:lang w:val="en-US"/>
        </w:rPr>
        <w:t>(a)</w:t>
      </w:r>
      <w:r w:rsidRPr="00993CE5">
        <w:rPr>
          <w:rFonts w:ascii="Times New Roman" w:eastAsia="Times New Roman" w:hAnsi="Times New Roman" w:cs="Times New Roman"/>
          <w:b/>
          <w:bCs/>
          <w:color w:val="FF0000"/>
          <w:sz w:val="20"/>
          <w:szCs w:val="20"/>
          <w:lang w:val="en-US"/>
        </w:rPr>
        <w:tab/>
        <w:t>A list of all parts of specific equipment mentioned in paragraph 2.2 [including the approval documentation] that are part of a multi-component according to paragraph 2.23</w:t>
      </w:r>
      <w:r w:rsidR="005959A4">
        <w:rPr>
          <w:rFonts w:ascii="Times New Roman" w:eastAsia="Times New Roman" w:hAnsi="Times New Roman" w:cs="Times New Roman"/>
          <w:b/>
          <w:bCs/>
          <w:color w:val="FF0000"/>
          <w:sz w:val="20"/>
          <w:szCs w:val="20"/>
          <w:lang w:val="en-US"/>
        </w:rPr>
        <w:t>.</w:t>
      </w:r>
      <w:r w:rsidRPr="00993CE5">
        <w:rPr>
          <w:rFonts w:ascii="Times New Roman" w:eastAsia="Times New Roman" w:hAnsi="Times New Roman" w:cs="Times New Roman"/>
          <w:b/>
          <w:bCs/>
          <w:color w:val="FF0000"/>
          <w:sz w:val="20"/>
          <w:szCs w:val="20"/>
          <w:lang w:val="en-US"/>
        </w:rPr>
        <w:t>, if available in the system;</w:t>
      </w:r>
    </w:p>
    <w:p w:rsidR="00993CE5" w:rsidRPr="00993CE5" w:rsidRDefault="00993CE5" w:rsidP="00993CE5">
      <w:pPr>
        <w:tabs>
          <w:tab w:val="left" w:pos="2268"/>
          <w:tab w:val="left" w:pos="8505"/>
        </w:tabs>
        <w:suppressAutoHyphens/>
        <w:spacing w:before="120" w:after="120" w:line="240" w:lineRule="auto"/>
        <w:ind w:left="2835" w:right="1134" w:hanging="1701"/>
        <w:jc w:val="both"/>
        <w:rPr>
          <w:rFonts w:ascii="Times New Roman" w:eastAsia="Times New Roman" w:hAnsi="Times New Roman" w:cs="Times New Roman"/>
          <w:b/>
          <w:bCs/>
          <w:sz w:val="20"/>
          <w:szCs w:val="20"/>
          <w:lang w:val="en-US"/>
        </w:rPr>
      </w:pPr>
      <w:r w:rsidRPr="00993CE5">
        <w:rPr>
          <w:rFonts w:ascii="Times New Roman" w:eastAsia="Times New Roman" w:hAnsi="Times New Roman" w:cs="Times New Roman"/>
          <w:b/>
          <w:bCs/>
          <w:sz w:val="20"/>
          <w:szCs w:val="20"/>
          <w:lang w:val="en-US"/>
        </w:rPr>
        <w:tab/>
      </w:r>
      <w:r w:rsidRPr="00993CE5">
        <w:rPr>
          <w:rFonts w:ascii="Times New Roman" w:eastAsia="Times New Roman" w:hAnsi="Times New Roman" w:cs="Times New Roman"/>
          <w:b/>
          <w:bCs/>
          <w:strike/>
          <w:color w:val="FF0000"/>
          <w:sz w:val="20"/>
          <w:szCs w:val="20"/>
          <w:lang w:val="en-US"/>
        </w:rPr>
        <w:t>(a)</w:t>
      </w:r>
      <w:r w:rsidRPr="00993CE5">
        <w:rPr>
          <w:rFonts w:ascii="Times New Roman" w:eastAsia="Times New Roman" w:hAnsi="Times New Roman" w:cs="Times New Roman"/>
          <w:b/>
          <w:bCs/>
          <w:color w:val="FF0000"/>
          <w:sz w:val="20"/>
          <w:szCs w:val="20"/>
          <w:lang w:val="en-US"/>
        </w:rPr>
        <w:t xml:space="preserve"> (</w:t>
      </w:r>
      <w:proofErr w:type="gramStart"/>
      <w:r w:rsidRPr="00993CE5">
        <w:rPr>
          <w:rFonts w:ascii="Times New Roman" w:eastAsia="Times New Roman" w:hAnsi="Times New Roman" w:cs="Times New Roman"/>
          <w:b/>
          <w:bCs/>
          <w:color w:val="FF0000"/>
          <w:sz w:val="20"/>
          <w:szCs w:val="20"/>
          <w:lang w:val="en-US"/>
        </w:rPr>
        <w:t>b</w:t>
      </w:r>
      <w:proofErr w:type="gramEnd"/>
      <w:r w:rsidRPr="00993CE5">
        <w:rPr>
          <w:rFonts w:ascii="Times New Roman" w:eastAsia="Times New Roman" w:hAnsi="Times New Roman" w:cs="Times New Roman"/>
          <w:b/>
          <w:bCs/>
          <w:color w:val="FF0000"/>
          <w:sz w:val="20"/>
          <w:szCs w:val="20"/>
          <w:lang w:val="en-US"/>
        </w:rPr>
        <w:t>)</w:t>
      </w:r>
      <w:r w:rsidRPr="00993CE5">
        <w:rPr>
          <w:rFonts w:ascii="Times New Roman" w:eastAsia="Times New Roman" w:hAnsi="Times New Roman" w:cs="Times New Roman"/>
          <w:b/>
          <w:bCs/>
          <w:sz w:val="20"/>
          <w:szCs w:val="20"/>
          <w:lang w:val="en-US"/>
        </w:rPr>
        <w:tab/>
        <w:t xml:space="preserve">The description of the safety concept used to ensure compliance with the requirements specified in paragraph 17.13.2.3. </w:t>
      </w:r>
      <w:proofErr w:type="gramStart"/>
      <w:r w:rsidRPr="00993CE5">
        <w:rPr>
          <w:rFonts w:ascii="Times New Roman" w:eastAsia="Times New Roman" w:hAnsi="Times New Roman" w:cs="Times New Roman"/>
          <w:b/>
          <w:bCs/>
          <w:sz w:val="20"/>
          <w:szCs w:val="20"/>
          <w:lang w:val="en-US"/>
        </w:rPr>
        <w:t>of</w:t>
      </w:r>
      <w:proofErr w:type="gramEnd"/>
      <w:r w:rsidRPr="00993CE5">
        <w:rPr>
          <w:rFonts w:ascii="Times New Roman" w:eastAsia="Times New Roman" w:hAnsi="Times New Roman" w:cs="Times New Roman"/>
          <w:b/>
          <w:bCs/>
          <w:sz w:val="20"/>
          <w:szCs w:val="20"/>
          <w:lang w:val="en-US"/>
        </w:rPr>
        <w:t xml:space="preserve"> this Regulation, including all equipment, monitored parameters, relevant factors, criteria and actions;</w:t>
      </w:r>
    </w:p>
    <w:p w:rsidR="00993CE5" w:rsidRPr="00993CE5" w:rsidRDefault="00993CE5" w:rsidP="00993CE5">
      <w:pPr>
        <w:tabs>
          <w:tab w:val="left" w:pos="2268"/>
          <w:tab w:val="left" w:pos="8505"/>
        </w:tabs>
        <w:suppressAutoHyphens/>
        <w:spacing w:before="120" w:after="120" w:line="240" w:lineRule="auto"/>
        <w:ind w:left="2835" w:right="1134" w:hanging="1701"/>
        <w:jc w:val="both"/>
        <w:rPr>
          <w:rFonts w:ascii="Times New Roman" w:eastAsia="Times New Roman" w:hAnsi="Times New Roman" w:cs="Times New Roman"/>
          <w:b/>
          <w:bCs/>
          <w:sz w:val="20"/>
          <w:szCs w:val="20"/>
          <w:lang w:val="en-US"/>
        </w:rPr>
      </w:pPr>
      <w:r w:rsidRPr="00993CE5">
        <w:rPr>
          <w:rFonts w:ascii="Times New Roman" w:eastAsia="Times New Roman" w:hAnsi="Times New Roman" w:cs="Times New Roman"/>
          <w:b/>
          <w:bCs/>
          <w:sz w:val="20"/>
          <w:szCs w:val="20"/>
          <w:lang w:val="en-US"/>
        </w:rPr>
        <w:tab/>
      </w:r>
      <w:r w:rsidRPr="00993CE5">
        <w:rPr>
          <w:rFonts w:ascii="Times New Roman" w:eastAsia="Times New Roman" w:hAnsi="Times New Roman" w:cs="Times New Roman"/>
          <w:b/>
          <w:bCs/>
          <w:strike/>
          <w:color w:val="FF0000"/>
          <w:sz w:val="20"/>
          <w:szCs w:val="20"/>
          <w:lang w:val="en-US"/>
        </w:rPr>
        <w:t>(b)</w:t>
      </w:r>
      <w:r w:rsidRPr="00993CE5">
        <w:rPr>
          <w:rFonts w:ascii="Times New Roman" w:eastAsia="Times New Roman" w:hAnsi="Times New Roman" w:cs="Times New Roman"/>
          <w:b/>
          <w:bCs/>
          <w:color w:val="FF0000"/>
          <w:sz w:val="20"/>
          <w:szCs w:val="20"/>
          <w:lang w:val="en-US"/>
        </w:rPr>
        <w:t xml:space="preserve"> (c)</w:t>
      </w:r>
      <w:r w:rsidRPr="00993CE5">
        <w:rPr>
          <w:rFonts w:ascii="Times New Roman" w:eastAsia="Times New Roman" w:hAnsi="Times New Roman" w:cs="Times New Roman"/>
          <w:b/>
          <w:bCs/>
          <w:sz w:val="20"/>
          <w:szCs w:val="20"/>
          <w:lang w:val="en-US"/>
        </w:rPr>
        <w:tab/>
        <w:t>A detailed flowchart that depicts the strategies used for the purposes of meeting the requirements specified in paragraph 17.13.2.3.</w:t>
      </w:r>
      <w:r w:rsidRPr="00993CE5">
        <w:rPr>
          <w:rFonts w:ascii="Times New Roman" w:eastAsia="Times New Roman" w:hAnsi="Times New Roman" w:cs="Times New Roman"/>
          <w:sz w:val="20"/>
          <w:szCs w:val="20"/>
          <w:lang w:val="en-GB"/>
        </w:rPr>
        <w:t xml:space="preserve"> </w:t>
      </w:r>
      <w:proofErr w:type="gramStart"/>
      <w:r w:rsidR="005959A4">
        <w:rPr>
          <w:rFonts w:ascii="Times New Roman" w:eastAsia="Times New Roman" w:hAnsi="Times New Roman" w:cs="Times New Roman"/>
          <w:b/>
          <w:bCs/>
          <w:sz w:val="20"/>
          <w:szCs w:val="20"/>
          <w:lang w:val="en-US"/>
        </w:rPr>
        <w:t>of</w:t>
      </w:r>
      <w:proofErr w:type="gramEnd"/>
      <w:r w:rsidR="005959A4">
        <w:rPr>
          <w:rFonts w:ascii="Times New Roman" w:eastAsia="Times New Roman" w:hAnsi="Times New Roman" w:cs="Times New Roman"/>
          <w:b/>
          <w:bCs/>
          <w:sz w:val="20"/>
          <w:szCs w:val="20"/>
          <w:lang w:val="en-US"/>
        </w:rPr>
        <w:t xml:space="preserve"> this Regulation. ….."</w:t>
      </w:r>
    </w:p>
    <w:p w:rsidR="00993CE5" w:rsidRPr="00993CE5" w:rsidRDefault="00993CE5" w:rsidP="00993CE5">
      <w:pPr>
        <w:tabs>
          <w:tab w:val="left" w:pos="2835"/>
          <w:tab w:val="left" w:pos="8505"/>
        </w:tabs>
        <w:suppressAutoHyphens/>
        <w:spacing w:before="120" w:after="120" w:line="240" w:lineRule="auto"/>
        <w:ind w:left="2268" w:right="1134" w:hanging="1134"/>
        <w:jc w:val="both"/>
        <w:rPr>
          <w:rFonts w:ascii="Times New Roman" w:eastAsia="Times New Roman" w:hAnsi="Times New Roman" w:cs="Times New Roman"/>
          <w:sz w:val="20"/>
          <w:szCs w:val="20"/>
          <w:lang w:val="en-US" w:eastAsia="ar-SA"/>
        </w:rPr>
      </w:pPr>
    </w:p>
    <w:p w:rsidR="00993CE5" w:rsidRPr="00993CE5" w:rsidRDefault="00993CE5" w:rsidP="00993CE5">
      <w:pPr>
        <w:keepNext/>
        <w:keepLines/>
        <w:tabs>
          <w:tab w:val="right" w:pos="851"/>
        </w:tabs>
        <w:suppressAutoHyphens/>
        <w:spacing w:before="360" w:after="240" w:line="300" w:lineRule="exact"/>
        <w:ind w:left="1134" w:right="1134" w:hanging="1134"/>
        <w:rPr>
          <w:rFonts w:ascii="Times New Roman" w:eastAsia="Times New Roman" w:hAnsi="Times New Roman" w:cs="Times New Roman"/>
          <w:b/>
          <w:sz w:val="28"/>
          <w:szCs w:val="20"/>
          <w:lang w:val="en-GB"/>
        </w:rPr>
      </w:pPr>
      <w:r w:rsidRPr="00993CE5">
        <w:rPr>
          <w:rFonts w:ascii="Times New Roman" w:eastAsia="Times New Roman" w:hAnsi="Times New Roman" w:cs="Times New Roman"/>
          <w:b/>
          <w:sz w:val="28"/>
          <w:szCs w:val="20"/>
          <w:lang w:val="en-GB"/>
        </w:rPr>
        <w:tab/>
        <w:t>II.</w:t>
      </w:r>
      <w:r w:rsidRPr="00993CE5">
        <w:rPr>
          <w:rFonts w:ascii="Times New Roman" w:eastAsia="Times New Roman" w:hAnsi="Times New Roman" w:cs="Times New Roman"/>
          <w:b/>
          <w:sz w:val="28"/>
          <w:szCs w:val="20"/>
          <w:lang w:val="en-GB"/>
        </w:rPr>
        <w:tab/>
        <w:t>Justification</w:t>
      </w:r>
    </w:p>
    <w:p w:rsidR="00993CE5" w:rsidRPr="00993CE5" w:rsidRDefault="00993CE5" w:rsidP="00993CE5">
      <w:pPr>
        <w:tabs>
          <w:tab w:val="left" w:pos="1985"/>
          <w:tab w:val="left" w:pos="8505"/>
        </w:tabs>
        <w:suppressAutoHyphens/>
        <w:spacing w:before="120" w:after="120" w:line="240" w:lineRule="auto"/>
        <w:ind w:left="1134" w:right="1134"/>
        <w:jc w:val="both"/>
        <w:rPr>
          <w:rFonts w:ascii="Times New Roman" w:eastAsia="Times New Roman" w:hAnsi="Times New Roman" w:cs="Times New Roman"/>
          <w:sz w:val="20"/>
          <w:szCs w:val="20"/>
          <w:lang w:val="en-GB" w:eastAsia="ar-SA"/>
        </w:rPr>
      </w:pPr>
      <w:r w:rsidRPr="00993CE5">
        <w:rPr>
          <w:rFonts w:ascii="Times New Roman" w:eastAsia="Times New Roman" w:hAnsi="Times New Roman" w:cs="Times New Roman"/>
          <w:sz w:val="20"/>
          <w:szCs w:val="20"/>
          <w:lang w:val="en-GB" w:eastAsia="ar-SA"/>
        </w:rPr>
        <w:t>To ensure a harmonised safety level and the same procedure at the site of manufacturers of systems and vehicles as well as for the Technical Services and Authorities, the functional safety standard ISO 26262:2011 shall be used as a basis for the demonstration of the safety concept.</w:t>
      </w:r>
    </w:p>
    <w:p w:rsidR="00993CE5" w:rsidRPr="00993CE5" w:rsidRDefault="00993CE5" w:rsidP="00993CE5">
      <w:pPr>
        <w:tabs>
          <w:tab w:val="left" w:pos="1985"/>
          <w:tab w:val="left" w:pos="8505"/>
        </w:tabs>
        <w:suppressAutoHyphens/>
        <w:spacing w:before="120" w:after="120" w:line="240" w:lineRule="auto"/>
        <w:ind w:left="1134" w:right="1134"/>
        <w:jc w:val="both"/>
        <w:rPr>
          <w:rFonts w:ascii="Times New Roman" w:eastAsia="Times New Roman" w:hAnsi="Times New Roman" w:cs="Times New Roman"/>
          <w:sz w:val="20"/>
          <w:szCs w:val="20"/>
          <w:lang w:val="en-GB" w:eastAsia="ar-SA"/>
        </w:rPr>
      </w:pPr>
      <w:r w:rsidRPr="00993CE5">
        <w:rPr>
          <w:rFonts w:ascii="Times New Roman" w:eastAsia="Times New Roman" w:hAnsi="Times New Roman" w:cs="Times New Roman"/>
          <w:sz w:val="20"/>
          <w:szCs w:val="20"/>
          <w:lang w:val="en-GB" w:eastAsia="ar-SA"/>
        </w:rPr>
        <w:t>In Annex 18</w:t>
      </w:r>
      <w:r w:rsidR="005959A4">
        <w:rPr>
          <w:rFonts w:ascii="Times New Roman" w:eastAsia="Times New Roman" w:hAnsi="Times New Roman" w:cs="Times New Roman"/>
          <w:sz w:val="20"/>
          <w:szCs w:val="20"/>
          <w:lang w:val="en-GB" w:eastAsia="ar-SA"/>
        </w:rPr>
        <w:t>,</w:t>
      </w:r>
      <w:r w:rsidRPr="00993CE5">
        <w:rPr>
          <w:rFonts w:ascii="Times New Roman" w:eastAsia="Times New Roman" w:hAnsi="Times New Roman" w:cs="Times New Roman"/>
          <w:sz w:val="20"/>
          <w:szCs w:val="20"/>
          <w:lang w:val="en-GB" w:eastAsia="ar-SA"/>
        </w:rPr>
        <w:t xml:space="preserve"> it is proposed to ensure that components shall be resistant against petrol and diesel as the components can be used with both fuel types.</w:t>
      </w:r>
    </w:p>
    <w:p w:rsidR="00993CE5" w:rsidRPr="00993CE5" w:rsidRDefault="00993CE5" w:rsidP="00993CE5">
      <w:pPr>
        <w:tabs>
          <w:tab w:val="left" w:pos="1985"/>
          <w:tab w:val="left" w:pos="8505"/>
        </w:tabs>
        <w:suppressAutoHyphens/>
        <w:spacing w:before="120" w:after="120" w:line="240" w:lineRule="auto"/>
        <w:ind w:left="1134" w:right="1134"/>
        <w:jc w:val="both"/>
        <w:rPr>
          <w:rFonts w:ascii="Times New Roman" w:eastAsia="Times New Roman" w:hAnsi="Times New Roman" w:cs="Times New Roman"/>
          <w:sz w:val="20"/>
          <w:szCs w:val="20"/>
          <w:lang w:val="en-GB" w:eastAsia="ar-SA"/>
        </w:rPr>
      </w:pPr>
      <w:r w:rsidRPr="00993CE5">
        <w:rPr>
          <w:rFonts w:ascii="Times New Roman" w:eastAsia="Times New Roman" w:hAnsi="Times New Roman" w:cs="Times New Roman"/>
          <w:sz w:val="20"/>
          <w:szCs w:val="20"/>
          <w:lang w:val="en-GB" w:eastAsia="ar-SA"/>
        </w:rPr>
        <w:t>A modification is proposed in Annex 19 that a manufacturer shall provide a documentation of the parts used in a multi-component. This is especially necessary to let the Technical Services and the Authorities know which specific equipment a multi-component includes as this may be safety-relevant.</w:t>
      </w:r>
    </w:p>
    <w:p w:rsidR="000615F1" w:rsidRPr="000615F1" w:rsidRDefault="000615F1" w:rsidP="004F71F6">
      <w:pPr>
        <w:jc w:val="both"/>
        <w:rPr>
          <w:rFonts w:ascii="Times New Roman" w:hAnsi="Times New Roman"/>
          <w:sz w:val="20"/>
          <w:lang w:val="en-US"/>
        </w:rPr>
      </w:pPr>
    </w:p>
    <w:p w:rsidR="007D5FC0" w:rsidRPr="000615F1" w:rsidRDefault="00BA4DE4" w:rsidP="00BA4DE4">
      <w:pPr>
        <w:jc w:val="center"/>
        <w:rPr>
          <w:rFonts w:ascii="Times New Roman" w:hAnsi="Times New Roman"/>
          <w:sz w:val="20"/>
          <w:lang w:val="en-US"/>
        </w:rPr>
      </w:pPr>
      <w:r w:rsidRPr="000615F1">
        <w:rPr>
          <w:rFonts w:ascii="Times New Roman" w:hAnsi="Times New Roman"/>
          <w:sz w:val="20"/>
          <w:lang w:val="en-US"/>
        </w:rPr>
        <w:t>______________</w:t>
      </w:r>
    </w:p>
    <w:sectPr w:rsidR="007D5FC0" w:rsidRPr="000615F1" w:rsidSect="00BA4DE4">
      <w:footerReference w:type="default" r:id="rId9"/>
      <w:headerReference w:type="first" r:id="rId10"/>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45E" w:rsidRDefault="0066245E" w:rsidP="00B7049F">
      <w:pPr>
        <w:spacing w:after="0" w:line="240" w:lineRule="auto"/>
      </w:pPr>
      <w:r>
        <w:separator/>
      </w:r>
    </w:p>
  </w:endnote>
  <w:endnote w:type="continuationSeparator" w:id="0">
    <w:p w:rsidR="0066245E" w:rsidRDefault="0066245E" w:rsidP="00B704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253614"/>
      <w:docPartObj>
        <w:docPartGallery w:val="Page Numbers (Bottom of Page)"/>
        <w:docPartUnique/>
      </w:docPartObj>
    </w:sdtPr>
    <w:sdtEndPr>
      <w:rPr>
        <w:noProof/>
      </w:rPr>
    </w:sdtEndPr>
    <w:sdtContent>
      <w:p w:rsidR="00B7049F" w:rsidRDefault="00B7049F">
        <w:pPr>
          <w:pStyle w:val="Footer"/>
          <w:jc w:val="right"/>
        </w:pPr>
        <w:r>
          <w:fldChar w:fldCharType="begin"/>
        </w:r>
        <w:r>
          <w:instrText xml:space="preserve"> PAGE   \* MERGEFORMAT </w:instrText>
        </w:r>
        <w:r>
          <w:fldChar w:fldCharType="separate"/>
        </w:r>
        <w:r w:rsidR="005E7739">
          <w:rPr>
            <w:noProof/>
          </w:rPr>
          <w:t>2</w:t>
        </w:r>
        <w:r>
          <w:rPr>
            <w:noProof/>
          </w:rPr>
          <w:fldChar w:fldCharType="end"/>
        </w:r>
      </w:p>
    </w:sdtContent>
  </w:sdt>
  <w:p w:rsidR="00B7049F" w:rsidRDefault="00B704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45E" w:rsidRDefault="0066245E" w:rsidP="00B7049F">
      <w:pPr>
        <w:spacing w:after="0" w:line="240" w:lineRule="auto"/>
      </w:pPr>
      <w:r>
        <w:separator/>
      </w:r>
    </w:p>
  </w:footnote>
  <w:footnote w:type="continuationSeparator" w:id="0">
    <w:p w:rsidR="0066245E" w:rsidRDefault="0066245E" w:rsidP="00B704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000" w:firstRow="0" w:lastRow="0" w:firstColumn="0" w:lastColumn="0" w:noHBand="0" w:noVBand="0"/>
    </w:tblPr>
    <w:tblGrid>
      <w:gridCol w:w="4395"/>
      <w:gridCol w:w="4961"/>
    </w:tblGrid>
    <w:tr w:rsidR="00BA4DE4" w:rsidRPr="005959A4" w:rsidTr="00A53E63">
      <w:tc>
        <w:tcPr>
          <w:tcW w:w="4395" w:type="dxa"/>
        </w:tcPr>
        <w:p w:rsidR="00BA4DE4" w:rsidRPr="00BA4DE4" w:rsidRDefault="00BA4DE4" w:rsidP="000615F1">
          <w:pPr>
            <w:tabs>
              <w:tab w:val="center" w:pos="4677"/>
              <w:tab w:val="right" w:pos="9355"/>
            </w:tabs>
            <w:suppressAutoHyphens/>
            <w:spacing w:after="0" w:line="240" w:lineRule="auto"/>
            <w:rPr>
              <w:rFonts w:ascii="Times New Roman" w:eastAsia="Times New Roman" w:hAnsi="Times New Roman" w:cs="Times New Roman"/>
              <w:sz w:val="20"/>
              <w:szCs w:val="20"/>
              <w:lang w:val="en-GB" w:eastAsia="ar-SA"/>
            </w:rPr>
          </w:pPr>
          <w:r w:rsidRPr="00BA4DE4">
            <w:rPr>
              <w:rFonts w:ascii="Times New Roman" w:eastAsia="Times New Roman" w:hAnsi="Times New Roman" w:cs="Times New Roman"/>
              <w:sz w:val="20"/>
              <w:szCs w:val="20"/>
              <w:lang w:val="en-GB" w:eastAsia="ar-SA"/>
            </w:rPr>
            <w:t xml:space="preserve">Submitted by the </w:t>
          </w:r>
          <w:r w:rsidR="0020430C">
            <w:rPr>
              <w:rFonts w:ascii="Times New Roman" w:eastAsia="Times New Roman" w:hAnsi="Times New Roman" w:cs="Times New Roman"/>
              <w:sz w:val="20"/>
              <w:szCs w:val="20"/>
              <w:lang w:val="en-GB" w:eastAsia="ar-SA"/>
            </w:rPr>
            <w:t xml:space="preserve">expert from </w:t>
          </w:r>
          <w:r w:rsidR="00993CE5">
            <w:rPr>
              <w:rFonts w:ascii="Times New Roman" w:eastAsia="Times New Roman" w:hAnsi="Times New Roman" w:cs="Times New Roman"/>
              <w:sz w:val="20"/>
              <w:szCs w:val="20"/>
              <w:lang w:val="en-GB" w:eastAsia="ar-SA"/>
            </w:rPr>
            <w:t>Germany</w:t>
          </w:r>
        </w:p>
      </w:tc>
      <w:tc>
        <w:tcPr>
          <w:tcW w:w="4961" w:type="dxa"/>
        </w:tcPr>
        <w:p w:rsidR="00BA4DE4" w:rsidRPr="00BA4DE4" w:rsidRDefault="00BA4DE4" w:rsidP="00BA4DE4">
          <w:pPr>
            <w:suppressAutoHyphens/>
            <w:spacing w:after="0" w:line="240" w:lineRule="auto"/>
            <w:ind w:left="742"/>
            <w:rPr>
              <w:rFonts w:ascii="Times New Roman" w:eastAsia="Times New Roman" w:hAnsi="Times New Roman" w:cs="Times New Roman"/>
              <w:b/>
              <w:bCs/>
              <w:sz w:val="20"/>
              <w:szCs w:val="20"/>
              <w:lang w:val="en-GB" w:eastAsia="ar-SA"/>
            </w:rPr>
          </w:pPr>
          <w:r w:rsidRPr="00BA4DE4">
            <w:rPr>
              <w:rFonts w:ascii="Times New Roman" w:eastAsia="Times New Roman" w:hAnsi="Times New Roman" w:cs="Times New Roman"/>
              <w:sz w:val="20"/>
              <w:szCs w:val="20"/>
              <w:u w:val="single"/>
              <w:lang w:val="en-GB" w:eastAsia="ar-SA"/>
            </w:rPr>
            <w:t>Informal document</w:t>
          </w:r>
          <w:r w:rsidRPr="00BA4DE4">
            <w:rPr>
              <w:rFonts w:ascii="Times New Roman" w:eastAsia="Times New Roman" w:hAnsi="Times New Roman" w:cs="Times New Roman"/>
              <w:sz w:val="20"/>
              <w:szCs w:val="20"/>
              <w:lang w:val="en-GB" w:eastAsia="ar-SA"/>
            </w:rPr>
            <w:t xml:space="preserve"> </w:t>
          </w:r>
          <w:r w:rsidRPr="00BA4DE4">
            <w:rPr>
              <w:rFonts w:ascii="Times New Roman" w:eastAsia="Times New Roman" w:hAnsi="Times New Roman" w:cs="Times New Roman"/>
              <w:b/>
              <w:bCs/>
              <w:sz w:val="20"/>
              <w:szCs w:val="20"/>
              <w:lang w:val="en-GB" w:eastAsia="ar-SA"/>
            </w:rPr>
            <w:t>GRSG-109-</w:t>
          </w:r>
          <w:r w:rsidR="005959A4">
            <w:rPr>
              <w:rFonts w:ascii="Times New Roman" w:eastAsia="Times New Roman" w:hAnsi="Times New Roman" w:cs="Times New Roman"/>
              <w:b/>
              <w:bCs/>
              <w:sz w:val="20"/>
              <w:szCs w:val="20"/>
              <w:lang w:val="en-GB" w:eastAsia="ar-SA"/>
            </w:rPr>
            <w:t>12</w:t>
          </w:r>
        </w:p>
        <w:p w:rsidR="00BA4DE4" w:rsidRPr="00BA4DE4" w:rsidRDefault="00BA4DE4" w:rsidP="00BA4DE4">
          <w:pPr>
            <w:tabs>
              <w:tab w:val="center" w:pos="4677"/>
              <w:tab w:val="right" w:pos="9355"/>
            </w:tabs>
            <w:suppressAutoHyphens/>
            <w:spacing w:after="0" w:line="240" w:lineRule="auto"/>
            <w:ind w:left="742"/>
            <w:rPr>
              <w:rFonts w:ascii="Times New Roman" w:eastAsia="Times New Roman" w:hAnsi="Times New Roman" w:cs="Times New Roman"/>
              <w:sz w:val="20"/>
              <w:szCs w:val="20"/>
              <w:lang w:val="en-GB" w:eastAsia="ar-SA"/>
            </w:rPr>
          </w:pPr>
          <w:r w:rsidRPr="00BA4DE4">
            <w:rPr>
              <w:rFonts w:ascii="Times New Roman" w:eastAsia="Times New Roman" w:hAnsi="Times New Roman" w:cs="Times New Roman"/>
              <w:sz w:val="20"/>
              <w:szCs w:val="20"/>
              <w:lang w:val="en-GB" w:eastAsia="ar-SA"/>
            </w:rPr>
            <w:t>(109</w:t>
          </w:r>
          <w:r w:rsidRPr="00BA4DE4">
            <w:rPr>
              <w:rFonts w:ascii="Times New Roman" w:eastAsia="Times New Roman" w:hAnsi="Times New Roman" w:cs="Times New Roman"/>
              <w:sz w:val="20"/>
              <w:szCs w:val="20"/>
              <w:vertAlign w:val="superscript"/>
              <w:lang w:val="en-GB" w:eastAsia="ar-SA"/>
            </w:rPr>
            <w:t>th</w:t>
          </w:r>
          <w:r w:rsidRPr="00BA4DE4">
            <w:rPr>
              <w:rFonts w:ascii="Times New Roman" w:eastAsia="Times New Roman" w:hAnsi="Times New Roman" w:cs="Times New Roman"/>
              <w:sz w:val="20"/>
              <w:szCs w:val="20"/>
              <w:lang w:val="en-GB" w:eastAsia="ar-SA"/>
            </w:rPr>
            <w:t xml:space="preserve"> GRSG, 29 September - 2 October 2015</w:t>
          </w:r>
        </w:p>
        <w:p w:rsidR="00BA4DE4" w:rsidRPr="00BA4DE4" w:rsidRDefault="00BA4DE4" w:rsidP="005959A4">
          <w:pPr>
            <w:tabs>
              <w:tab w:val="center" w:pos="4677"/>
              <w:tab w:val="right" w:pos="9355"/>
            </w:tabs>
            <w:suppressAutoHyphens/>
            <w:spacing w:after="0" w:line="240" w:lineRule="auto"/>
            <w:ind w:left="742"/>
            <w:rPr>
              <w:rFonts w:ascii="Times New Roman" w:eastAsia="Times New Roman" w:hAnsi="Times New Roman" w:cs="Times New Roman"/>
              <w:sz w:val="20"/>
              <w:szCs w:val="20"/>
              <w:lang w:val="en-GB" w:eastAsia="ar-SA"/>
            </w:rPr>
          </w:pPr>
          <w:r w:rsidRPr="00BA4DE4">
            <w:rPr>
              <w:rFonts w:ascii="Times New Roman" w:eastAsia="Times New Roman" w:hAnsi="Times New Roman" w:cs="Times New Roman"/>
              <w:sz w:val="20"/>
              <w:szCs w:val="20"/>
              <w:lang w:val="en-GB" w:eastAsia="ar-SA"/>
            </w:rPr>
            <w:t xml:space="preserve">Agenda item </w:t>
          </w:r>
          <w:r w:rsidR="005959A4">
            <w:rPr>
              <w:rFonts w:ascii="Times New Roman" w:eastAsia="Times New Roman" w:hAnsi="Times New Roman" w:cs="Times New Roman"/>
              <w:sz w:val="20"/>
              <w:szCs w:val="20"/>
              <w:lang w:val="en-GB" w:eastAsia="ar-SA"/>
            </w:rPr>
            <w:t>9.</w:t>
          </w:r>
          <w:r w:rsidR="0020430C">
            <w:rPr>
              <w:rFonts w:ascii="Times New Roman" w:eastAsia="Times New Roman" w:hAnsi="Times New Roman" w:cs="Times New Roman"/>
              <w:sz w:val="20"/>
              <w:szCs w:val="20"/>
              <w:lang w:val="en-GB" w:eastAsia="ar-SA"/>
            </w:rPr>
            <w:t>)</w:t>
          </w:r>
        </w:p>
      </w:tc>
    </w:tr>
  </w:tbl>
  <w:p w:rsidR="00B7049F" w:rsidRPr="00993CE5" w:rsidRDefault="00B7049F">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C76DB"/>
    <w:multiLevelType w:val="hybridMultilevel"/>
    <w:tmpl w:val="2B301BB0"/>
    <w:lvl w:ilvl="0" w:tplc="ABA68072">
      <w:start w:val="4"/>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A03726A"/>
    <w:multiLevelType w:val="hybridMultilevel"/>
    <w:tmpl w:val="F6B2D3E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662034C2"/>
    <w:multiLevelType w:val="hybridMultilevel"/>
    <w:tmpl w:val="3DA41C2E"/>
    <w:lvl w:ilvl="0" w:tplc="25ACB6F4">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66C02BFA"/>
    <w:multiLevelType w:val="hybridMultilevel"/>
    <w:tmpl w:val="33EC4D6C"/>
    <w:lvl w:ilvl="0" w:tplc="D3063D7C">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ambarean, Dana">
    <w15:presenceInfo w15:providerId="AD" w15:userId="S-1-5-21-2130729834-1554841893-515445417-84335"/>
  </w15:person>
  <w15:person w15:author="Ewert, Anja N. Dr">
    <w15:presenceInfo w15:providerId="AD" w15:userId="S-1-5-21-2130729834-1554841893-515445417-434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33F"/>
    <w:rsid w:val="00006D18"/>
    <w:rsid w:val="00011722"/>
    <w:rsid w:val="0001532E"/>
    <w:rsid w:val="000218E1"/>
    <w:rsid w:val="000615F1"/>
    <w:rsid w:val="00076F11"/>
    <w:rsid w:val="00092776"/>
    <w:rsid w:val="000B5EF2"/>
    <w:rsid w:val="000E50C0"/>
    <w:rsid w:val="000F3A31"/>
    <w:rsid w:val="000F5532"/>
    <w:rsid w:val="000F7989"/>
    <w:rsid w:val="00133D5C"/>
    <w:rsid w:val="001835F2"/>
    <w:rsid w:val="00192C01"/>
    <w:rsid w:val="001B1D19"/>
    <w:rsid w:val="001C713B"/>
    <w:rsid w:val="0020430C"/>
    <w:rsid w:val="00226D28"/>
    <w:rsid w:val="00234A06"/>
    <w:rsid w:val="00255DC6"/>
    <w:rsid w:val="00260F26"/>
    <w:rsid w:val="00274FC6"/>
    <w:rsid w:val="002A4FB1"/>
    <w:rsid w:val="002B63B5"/>
    <w:rsid w:val="002E6748"/>
    <w:rsid w:val="00345138"/>
    <w:rsid w:val="00361C3B"/>
    <w:rsid w:val="00365F3B"/>
    <w:rsid w:val="003715C6"/>
    <w:rsid w:val="003850CE"/>
    <w:rsid w:val="003A1D2B"/>
    <w:rsid w:val="003C54B7"/>
    <w:rsid w:val="003E0EF7"/>
    <w:rsid w:val="003E1A2C"/>
    <w:rsid w:val="00402652"/>
    <w:rsid w:val="004174C0"/>
    <w:rsid w:val="00451BA3"/>
    <w:rsid w:val="00494A9E"/>
    <w:rsid w:val="004A0384"/>
    <w:rsid w:val="004A76FB"/>
    <w:rsid w:val="004C44F5"/>
    <w:rsid w:val="004F71F6"/>
    <w:rsid w:val="0050637C"/>
    <w:rsid w:val="005209BA"/>
    <w:rsid w:val="00520D74"/>
    <w:rsid w:val="00553F4E"/>
    <w:rsid w:val="00554628"/>
    <w:rsid w:val="00557455"/>
    <w:rsid w:val="00563BC3"/>
    <w:rsid w:val="00570181"/>
    <w:rsid w:val="00574186"/>
    <w:rsid w:val="00580272"/>
    <w:rsid w:val="005959A4"/>
    <w:rsid w:val="005C410A"/>
    <w:rsid w:val="005D360B"/>
    <w:rsid w:val="005E31A8"/>
    <w:rsid w:val="005E7739"/>
    <w:rsid w:val="0063041C"/>
    <w:rsid w:val="00637E94"/>
    <w:rsid w:val="00640C58"/>
    <w:rsid w:val="0066245E"/>
    <w:rsid w:val="006B44DB"/>
    <w:rsid w:val="006C3FCB"/>
    <w:rsid w:val="006D562C"/>
    <w:rsid w:val="00702787"/>
    <w:rsid w:val="00720550"/>
    <w:rsid w:val="00771EDE"/>
    <w:rsid w:val="00777EA3"/>
    <w:rsid w:val="00780A09"/>
    <w:rsid w:val="00781BB8"/>
    <w:rsid w:val="007833A4"/>
    <w:rsid w:val="007A5FF6"/>
    <w:rsid w:val="007D5FC0"/>
    <w:rsid w:val="008054A0"/>
    <w:rsid w:val="00830727"/>
    <w:rsid w:val="008466DA"/>
    <w:rsid w:val="00870958"/>
    <w:rsid w:val="008A02C1"/>
    <w:rsid w:val="008A47F0"/>
    <w:rsid w:val="008B5631"/>
    <w:rsid w:val="00950CA1"/>
    <w:rsid w:val="00952618"/>
    <w:rsid w:val="0096414B"/>
    <w:rsid w:val="00993CE5"/>
    <w:rsid w:val="009B5907"/>
    <w:rsid w:val="009C1B2B"/>
    <w:rsid w:val="009C40C1"/>
    <w:rsid w:val="009F2708"/>
    <w:rsid w:val="00A103C9"/>
    <w:rsid w:val="00A23198"/>
    <w:rsid w:val="00A46078"/>
    <w:rsid w:val="00A75771"/>
    <w:rsid w:val="00A90350"/>
    <w:rsid w:val="00AA7043"/>
    <w:rsid w:val="00AC5684"/>
    <w:rsid w:val="00AF636E"/>
    <w:rsid w:val="00B05A55"/>
    <w:rsid w:val="00B14170"/>
    <w:rsid w:val="00B20C49"/>
    <w:rsid w:val="00B7049F"/>
    <w:rsid w:val="00B76A0F"/>
    <w:rsid w:val="00B92B26"/>
    <w:rsid w:val="00BA1407"/>
    <w:rsid w:val="00BA4DE4"/>
    <w:rsid w:val="00BD0EF1"/>
    <w:rsid w:val="00BD1492"/>
    <w:rsid w:val="00BE24C6"/>
    <w:rsid w:val="00BF6123"/>
    <w:rsid w:val="00C11F84"/>
    <w:rsid w:val="00C52821"/>
    <w:rsid w:val="00C658F9"/>
    <w:rsid w:val="00C71D5C"/>
    <w:rsid w:val="00C908F8"/>
    <w:rsid w:val="00C97C07"/>
    <w:rsid w:val="00CD033F"/>
    <w:rsid w:val="00CD6FA4"/>
    <w:rsid w:val="00D37D58"/>
    <w:rsid w:val="00D74B95"/>
    <w:rsid w:val="00D84C03"/>
    <w:rsid w:val="00DD0AD6"/>
    <w:rsid w:val="00DE0B1A"/>
    <w:rsid w:val="00DF2133"/>
    <w:rsid w:val="00E4776B"/>
    <w:rsid w:val="00E52B93"/>
    <w:rsid w:val="00E7616E"/>
    <w:rsid w:val="00E94221"/>
    <w:rsid w:val="00E972B0"/>
    <w:rsid w:val="00ED40C5"/>
    <w:rsid w:val="00EE4D51"/>
    <w:rsid w:val="00F13E1A"/>
    <w:rsid w:val="00F4339A"/>
    <w:rsid w:val="00F5574F"/>
    <w:rsid w:val="00F86765"/>
    <w:rsid w:val="00FB4F45"/>
    <w:rsid w:val="00FE009B"/>
    <w:rsid w:val="00FE6EDB"/>
    <w:rsid w:val="00FF12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33F"/>
    <w:rPr>
      <w:color w:val="0000FF" w:themeColor="hyperlink"/>
      <w:u w:val="single"/>
    </w:rPr>
  </w:style>
  <w:style w:type="paragraph" w:styleId="ListParagraph">
    <w:name w:val="List Paragraph"/>
    <w:basedOn w:val="Normal"/>
    <w:uiPriority w:val="34"/>
    <w:qFormat/>
    <w:rsid w:val="00720550"/>
    <w:pPr>
      <w:ind w:left="720"/>
      <w:contextualSpacing/>
    </w:pPr>
  </w:style>
  <w:style w:type="paragraph" w:styleId="BalloonText">
    <w:name w:val="Balloon Text"/>
    <w:basedOn w:val="Normal"/>
    <w:link w:val="BalloonTextChar"/>
    <w:uiPriority w:val="99"/>
    <w:semiHidden/>
    <w:unhideWhenUsed/>
    <w:rsid w:val="00F8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65"/>
    <w:rPr>
      <w:rFonts w:ascii="Tahoma" w:hAnsi="Tahoma" w:cs="Tahoma"/>
      <w:sz w:val="16"/>
      <w:szCs w:val="16"/>
    </w:rPr>
  </w:style>
  <w:style w:type="character" w:styleId="CommentReference">
    <w:name w:val="annotation reference"/>
    <w:basedOn w:val="DefaultParagraphFont"/>
    <w:uiPriority w:val="99"/>
    <w:semiHidden/>
    <w:unhideWhenUsed/>
    <w:rsid w:val="00F13E1A"/>
    <w:rPr>
      <w:sz w:val="16"/>
      <w:szCs w:val="16"/>
    </w:rPr>
  </w:style>
  <w:style w:type="paragraph" w:styleId="CommentText">
    <w:name w:val="annotation text"/>
    <w:basedOn w:val="Normal"/>
    <w:link w:val="CommentTextChar"/>
    <w:uiPriority w:val="99"/>
    <w:semiHidden/>
    <w:unhideWhenUsed/>
    <w:rsid w:val="00F13E1A"/>
    <w:pPr>
      <w:spacing w:line="240" w:lineRule="auto"/>
    </w:pPr>
    <w:rPr>
      <w:sz w:val="20"/>
      <w:szCs w:val="20"/>
    </w:rPr>
  </w:style>
  <w:style w:type="character" w:customStyle="1" w:styleId="CommentTextChar">
    <w:name w:val="Comment Text Char"/>
    <w:basedOn w:val="DefaultParagraphFont"/>
    <w:link w:val="CommentText"/>
    <w:uiPriority w:val="99"/>
    <w:semiHidden/>
    <w:rsid w:val="00F13E1A"/>
    <w:rPr>
      <w:sz w:val="20"/>
      <w:szCs w:val="20"/>
    </w:rPr>
  </w:style>
  <w:style w:type="paragraph" w:styleId="CommentSubject">
    <w:name w:val="annotation subject"/>
    <w:basedOn w:val="CommentText"/>
    <w:next w:val="CommentText"/>
    <w:link w:val="CommentSubjectChar"/>
    <w:uiPriority w:val="99"/>
    <w:semiHidden/>
    <w:unhideWhenUsed/>
    <w:rsid w:val="00F13E1A"/>
    <w:rPr>
      <w:b/>
      <w:bCs/>
    </w:rPr>
  </w:style>
  <w:style w:type="character" w:customStyle="1" w:styleId="CommentSubjectChar">
    <w:name w:val="Comment Subject Char"/>
    <w:basedOn w:val="CommentTextChar"/>
    <w:link w:val="CommentSubject"/>
    <w:uiPriority w:val="99"/>
    <w:semiHidden/>
    <w:rsid w:val="00F13E1A"/>
    <w:rPr>
      <w:b/>
      <w:bCs/>
      <w:sz w:val="20"/>
      <w:szCs w:val="20"/>
    </w:rPr>
  </w:style>
  <w:style w:type="character" w:styleId="FollowedHyperlink">
    <w:name w:val="FollowedHyperlink"/>
    <w:basedOn w:val="DefaultParagraphFont"/>
    <w:uiPriority w:val="99"/>
    <w:semiHidden/>
    <w:unhideWhenUsed/>
    <w:rsid w:val="009F2708"/>
    <w:rPr>
      <w:color w:val="800080" w:themeColor="followedHyperlink"/>
      <w:u w:val="single"/>
    </w:rPr>
  </w:style>
  <w:style w:type="paragraph" w:styleId="Header">
    <w:name w:val="header"/>
    <w:basedOn w:val="Normal"/>
    <w:link w:val="HeaderChar"/>
    <w:uiPriority w:val="99"/>
    <w:unhideWhenUsed/>
    <w:rsid w:val="00B70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9F"/>
  </w:style>
  <w:style w:type="paragraph" w:styleId="Footer">
    <w:name w:val="footer"/>
    <w:basedOn w:val="Normal"/>
    <w:link w:val="FooterChar"/>
    <w:uiPriority w:val="99"/>
    <w:unhideWhenUsed/>
    <w:rsid w:val="00B70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5F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0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D033F"/>
    <w:rPr>
      <w:color w:val="0000FF" w:themeColor="hyperlink"/>
      <w:u w:val="single"/>
    </w:rPr>
  </w:style>
  <w:style w:type="paragraph" w:styleId="ListParagraph">
    <w:name w:val="List Paragraph"/>
    <w:basedOn w:val="Normal"/>
    <w:uiPriority w:val="34"/>
    <w:qFormat/>
    <w:rsid w:val="00720550"/>
    <w:pPr>
      <w:ind w:left="720"/>
      <w:contextualSpacing/>
    </w:pPr>
  </w:style>
  <w:style w:type="paragraph" w:styleId="BalloonText">
    <w:name w:val="Balloon Text"/>
    <w:basedOn w:val="Normal"/>
    <w:link w:val="BalloonTextChar"/>
    <w:uiPriority w:val="99"/>
    <w:semiHidden/>
    <w:unhideWhenUsed/>
    <w:rsid w:val="00F867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65"/>
    <w:rPr>
      <w:rFonts w:ascii="Tahoma" w:hAnsi="Tahoma" w:cs="Tahoma"/>
      <w:sz w:val="16"/>
      <w:szCs w:val="16"/>
    </w:rPr>
  </w:style>
  <w:style w:type="character" w:styleId="CommentReference">
    <w:name w:val="annotation reference"/>
    <w:basedOn w:val="DefaultParagraphFont"/>
    <w:uiPriority w:val="99"/>
    <w:semiHidden/>
    <w:unhideWhenUsed/>
    <w:rsid w:val="00F13E1A"/>
    <w:rPr>
      <w:sz w:val="16"/>
      <w:szCs w:val="16"/>
    </w:rPr>
  </w:style>
  <w:style w:type="paragraph" w:styleId="CommentText">
    <w:name w:val="annotation text"/>
    <w:basedOn w:val="Normal"/>
    <w:link w:val="CommentTextChar"/>
    <w:uiPriority w:val="99"/>
    <w:semiHidden/>
    <w:unhideWhenUsed/>
    <w:rsid w:val="00F13E1A"/>
    <w:pPr>
      <w:spacing w:line="240" w:lineRule="auto"/>
    </w:pPr>
    <w:rPr>
      <w:sz w:val="20"/>
      <w:szCs w:val="20"/>
    </w:rPr>
  </w:style>
  <w:style w:type="character" w:customStyle="1" w:styleId="CommentTextChar">
    <w:name w:val="Comment Text Char"/>
    <w:basedOn w:val="DefaultParagraphFont"/>
    <w:link w:val="CommentText"/>
    <w:uiPriority w:val="99"/>
    <w:semiHidden/>
    <w:rsid w:val="00F13E1A"/>
    <w:rPr>
      <w:sz w:val="20"/>
      <w:szCs w:val="20"/>
    </w:rPr>
  </w:style>
  <w:style w:type="paragraph" w:styleId="CommentSubject">
    <w:name w:val="annotation subject"/>
    <w:basedOn w:val="CommentText"/>
    <w:next w:val="CommentText"/>
    <w:link w:val="CommentSubjectChar"/>
    <w:uiPriority w:val="99"/>
    <w:semiHidden/>
    <w:unhideWhenUsed/>
    <w:rsid w:val="00F13E1A"/>
    <w:rPr>
      <w:b/>
      <w:bCs/>
    </w:rPr>
  </w:style>
  <w:style w:type="character" w:customStyle="1" w:styleId="CommentSubjectChar">
    <w:name w:val="Comment Subject Char"/>
    <w:basedOn w:val="CommentTextChar"/>
    <w:link w:val="CommentSubject"/>
    <w:uiPriority w:val="99"/>
    <w:semiHidden/>
    <w:rsid w:val="00F13E1A"/>
    <w:rPr>
      <w:b/>
      <w:bCs/>
      <w:sz w:val="20"/>
      <w:szCs w:val="20"/>
    </w:rPr>
  </w:style>
  <w:style w:type="character" w:styleId="FollowedHyperlink">
    <w:name w:val="FollowedHyperlink"/>
    <w:basedOn w:val="DefaultParagraphFont"/>
    <w:uiPriority w:val="99"/>
    <w:semiHidden/>
    <w:unhideWhenUsed/>
    <w:rsid w:val="009F2708"/>
    <w:rPr>
      <w:color w:val="800080" w:themeColor="followedHyperlink"/>
      <w:u w:val="single"/>
    </w:rPr>
  </w:style>
  <w:style w:type="paragraph" w:styleId="Header">
    <w:name w:val="header"/>
    <w:basedOn w:val="Normal"/>
    <w:link w:val="HeaderChar"/>
    <w:uiPriority w:val="99"/>
    <w:unhideWhenUsed/>
    <w:rsid w:val="00B704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49F"/>
  </w:style>
  <w:style w:type="paragraph" w:styleId="Footer">
    <w:name w:val="footer"/>
    <w:basedOn w:val="Normal"/>
    <w:link w:val="FooterChar"/>
    <w:uiPriority w:val="99"/>
    <w:unhideWhenUsed/>
    <w:rsid w:val="00B704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4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66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D0C1A-79A5-4CB5-9F88-0F898D058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383</Words>
  <Characters>2188</Characters>
  <Application>Microsoft Office Word</Application>
  <DocSecurity>0</DocSecurity>
  <Lines>18</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Gerd Preuss</dc:creator>
  <cp:lastModifiedBy>Hubert Romain</cp:lastModifiedBy>
  <cp:revision>3</cp:revision>
  <cp:lastPrinted>2015-09-09T11:05:00Z</cp:lastPrinted>
  <dcterms:created xsi:type="dcterms:W3CDTF">2015-09-24T09:59:00Z</dcterms:created>
  <dcterms:modified xsi:type="dcterms:W3CDTF">2015-09-24T09:59:00Z</dcterms:modified>
</cp:coreProperties>
</file>