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14" w:rsidRPr="00064114" w:rsidRDefault="00064114" w:rsidP="002226D3">
      <w:pPr>
        <w:jc w:val="center"/>
        <w:rPr>
          <w:b/>
          <w:sz w:val="28"/>
          <w:szCs w:val="28"/>
        </w:rPr>
      </w:pPr>
      <w:r w:rsidRPr="00064114">
        <w:rPr>
          <w:b/>
          <w:sz w:val="28"/>
          <w:szCs w:val="28"/>
        </w:rPr>
        <w:t xml:space="preserve">Proposal for </w:t>
      </w:r>
      <w:r w:rsidR="00BF78B2">
        <w:rPr>
          <w:b/>
          <w:sz w:val="28"/>
          <w:szCs w:val="28"/>
        </w:rPr>
        <w:t xml:space="preserve">Corrigendum </w:t>
      </w:r>
      <w:r w:rsidRPr="00064114">
        <w:rPr>
          <w:b/>
          <w:sz w:val="28"/>
          <w:szCs w:val="28"/>
        </w:rPr>
        <w:t>to</w:t>
      </w:r>
      <w:r w:rsidR="00D3044D">
        <w:rPr>
          <w:b/>
          <w:sz w:val="28"/>
          <w:szCs w:val="28"/>
        </w:rPr>
        <w:t xml:space="preserve"> the 02 series of amendments to</w:t>
      </w:r>
      <w:r w:rsidR="0015784F">
        <w:rPr>
          <w:b/>
          <w:sz w:val="28"/>
          <w:szCs w:val="28"/>
        </w:rPr>
        <w:t xml:space="preserve"> </w:t>
      </w:r>
      <w:r w:rsidRPr="00064114">
        <w:rPr>
          <w:b/>
          <w:sz w:val="28"/>
          <w:szCs w:val="28"/>
        </w:rPr>
        <w:t>Regulation No. 118 (</w:t>
      </w:r>
      <w:r w:rsidR="00BF78B2">
        <w:rPr>
          <w:b/>
          <w:sz w:val="28"/>
          <w:szCs w:val="28"/>
        </w:rPr>
        <w:t>Burning behaviour</w:t>
      </w:r>
      <w:r w:rsidRPr="00064114">
        <w:rPr>
          <w:b/>
          <w:sz w:val="28"/>
          <w:szCs w:val="28"/>
        </w:rPr>
        <w:t>)</w:t>
      </w:r>
    </w:p>
    <w:p w:rsidR="00064114" w:rsidRPr="002226D3" w:rsidRDefault="00064114" w:rsidP="00064114"/>
    <w:p w:rsidR="00064114" w:rsidRPr="002226D3" w:rsidRDefault="00064114" w:rsidP="00064114">
      <w:pPr>
        <w:rPr>
          <w:b/>
        </w:rPr>
      </w:pPr>
    </w:p>
    <w:p w:rsidR="00064114" w:rsidRPr="002226D3" w:rsidRDefault="00064114" w:rsidP="00064114">
      <w:pPr>
        <w:rPr>
          <w:b/>
        </w:rPr>
      </w:pPr>
      <w:r w:rsidRPr="002226D3">
        <w:rPr>
          <w:b/>
        </w:rPr>
        <w:t>I.</w:t>
      </w:r>
      <w:r w:rsidRPr="002226D3">
        <w:rPr>
          <w:b/>
        </w:rPr>
        <w:tab/>
        <w:t>Proposal</w:t>
      </w:r>
    </w:p>
    <w:p w:rsidR="00064114" w:rsidRPr="002226D3" w:rsidRDefault="00064114" w:rsidP="00064114"/>
    <w:p w:rsidR="00064114" w:rsidRPr="002226D3" w:rsidRDefault="00B95719" w:rsidP="00BF78B2">
      <w:r w:rsidRPr="002226D3">
        <w:rPr>
          <w:i/>
        </w:rPr>
        <w:t>Annex 4, Appendix 1, p</w:t>
      </w:r>
      <w:r w:rsidR="00064114" w:rsidRPr="002226D3">
        <w:rPr>
          <w:i/>
        </w:rPr>
        <w:t>aragraph 1.1.2</w:t>
      </w:r>
      <w:r w:rsidR="00BF78B2" w:rsidRPr="002226D3">
        <w:t>.,</w:t>
      </w:r>
      <w:r w:rsidR="00064114" w:rsidRPr="002226D3">
        <w:t xml:space="preserve"> </w:t>
      </w:r>
      <w:r w:rsidR="002226D3">
        <w:t>correct</w:t>
      </w:r>
      <w:r w:rsidR="00064114" w:rsidRPr="002226D3">
        <w:t xml:space="preserve"> to read:</w:t>
      </w:r>
    </w:p>
    <w:p w:rsidR="00BF78B2" w:rsidRPr="002226D3" w:rsidRDefault="00BF78B2" w:rsidP="00BF78B2"/>
    <w:p w:rsidR="00BF78B2" w:rsidRPr="002226D3" w:rsidRDefault="00BF78B2" w:rsidP="002226D3">
      <w:pPr>
        <w:tabs>
          <w:tab w:val="left" w:pos="1134"/>
        </w:tabs>
      </w:pPr>
      <w:r w:rsidRPr="002226D3">
        <w:t>"1.1.2.</w:t>
      </w:r>
      <w:r w:rsidR="002226D3">
        <w:tab/>
      </w:r>
      <w:r w:rsidRPr="002226D3">
        <w:t>Fulfils the requirements in paragraph 6.</w:t>
      </w:r>
      <w:r w:rsidRPr="002226D3">
        <w:rPr>
          <w:strike/>
        </w:rPr>
        <w:t>6</w:t>
      </w:r>
      <w:r w:rsidRPr="002226D3">
        <w:rPr>
          <w:b/>
        </w:rPr>
        <w:t>2</w:t>
      </w:r>
      <w:r w:rsidRPr="002226D3">
        <w:t>.2.: yes</w:t>
      </w:r>
      <w:r w:rsidR="00244529" w:rsidRPr="002226D3">
        <w:t xml:space="preserve"> </w:t>
      </w:r>
      <w:r w:rsidRPr="002226D3">
        <w:t>/</w:t>
      </w:r>
      <w:r w:rsidR="00244529" w:rsidRPr="002226D3">
        <w:t xml:space="preserve"> </w:t>
      </w:r>
      <w:r w:rsidRPr="002226D3">
        <w:t>not applicable</w:t>
      </w:r>
      <w:r w:rsidRPr="002226D3">
        <w:rPr>
          <w:vertAlign w:val="superscript"/>
        </w:rPr>
        <w:t>1</w:t>
      </w:r>
      <w:r w:rsidRPr="002226D3">
        <w:t>"</w:t>
      </w:r>
    </w:p>
    <w:p w:rsidR="00064114" w:rsidRPr="002226D3" w:rsidRDefault="00064114" w:rsidP="00064114">
      <w:pPr>
        <w:rPr>
          <w:b/>
          <w:lang w:val="en-GB"/>
        </w:rPr>
      </w:pPr>
    </w:p>
    <w:p w:rsidR="00064114" w:rsidRPr="002226D3" w:rsidRDefault="00064114" w:rsidP="00064114">
      <w:pPr>
        <w:rPr>
          <w:b/>
        </w:rPr>
      </w:pPr>
    </w:p>
    <w:p w:rsidR="00064114" w:rsidRPr="002226D3" w:rsidRDefault="00064114" w:rsidP="00064114">
      <w:pPr>
        <w:rPr>
          <w:b/>
        </w:rPr>
      </w:pPr>
      <w:r w:rsidRPr="002226D3">
        <w:rPr>
          <w:b/>
        </w:rPr>
        <w:t>II.</w:t>
      </w:r>
      <w:r w:rsidRPr="002226D3">
        <w:rPr>
          <w:b/>
        </w:rPr>
        <w:tab/>
        <w:t>Justification</w:t>
      </w:r>
    </w:p>
    <w:p w:rsidR="00064114" w:rsidRPr="002226D3" w:rsidRDefault="00064114" w:rsidP="00064114">
      <w:pPr>
        <w:rPr>
          <w:b/>
        </w:rPr>
      </w:pPr>
    </w:p>
    <w:p w:rsidR="00064114" w:rsidRPr="002226D3" w:rsidRDefault="00BF78B2" w:rsidP="00D3044D">
      <w:r w:rsidRPr="002226D3">
        <w:t>Paragraph 6.6.2</w:t>
      </w:r>
      <w:r w:rsidR="00244529" w:rsidRPr="002226D3">
        <w:t xml:space="preserve">. </w:t>
      </w:r>
      <w:r w:rsidRPr="002226D3">
        <w:t xml:space="preserve">does not exist in the Regulation No. 118. </w:t>
      </w:r>
      <w:r w:rsidR="00244529" w:rsidRPr="002226D3">
        <w:t>P</w:t>
      </w:r>
      <w:r w:rsidR="00D3044D" w:rsidRPr="002226D3">
        <w:t>aragraph 4.5.3.2</w:t>
      </w:r>
      <w:r w:rsidR="00244529" w:rsidRPr="002226D3">
        <w:t>.</w:t>
      </w:r>
      <w:r w:rsidR="00303CB9" w:rsidRPr="002226D3">
        <w:t xml:space="preserve"> and Annex 5 read</w:t>
      </w:r>
      <w:r w:rsidR="00244529" w:rsidRPr="002226D3">
        <w:t xml:space="preserve"> that</w:t>
      </w:r>
      <w:r w:rsidR="00D3044D" w:rsidRPr="002226D3">
        <w:t xml:space="preserve"> the symbol "V" indicates that the material fulfils the requirements in paragraph 6.2.2.</w:t>
      </w:r>
      <w:r w:rsidR="00980FF3" w:rsidRPr="002226D3">
        <w:t xml:space="preserve"> </w:t>
      </w:r>
      <w:r w:rsidR="00F37A7E" w:rsidRPr="002226D3">
        <w:t>This</w:t>
      </w:r>
      <w:r w:rsidR="00980FF3" w:rsidRPr="002226D3">
        <w:t xml:space="preserve"> means in practice that the</w:t>
      </w:r>
      <w:r w:rsidR="00D3044D" w:rsidRPr="002226D3">
        <w:t xml:space="preserve"> </w:t>
      </w:r>
      <w:r w:rsidR="00980FF3" w:rsidRPr="002226D3">
        <w:t xml:space="preserve">melting behaviour </w:t>
      </w:r>
      <w:r w:rsidR="00303CB9" w:rsidRPr="002226D3">
        <w:t>of material</w:t>
      </w:r>
      <w:r w:rsidR="00980FF3" w:rsidRPr="002226D3">
        <w:t xml:space="preserve"> is tested. </w:t>
      </w:r>
      <w:r w:rsidR="00D3044D" w:rsidRPr="002226D3">
        <w:t>Therefore</w:t>
      </w:r>
      <w:r w:rsidR="00303CB9" w:rsidRPr="002226D3">
        <w:t>, th</w:t>
      </w:r>
      <w:r w:rsidR="002226D3">
        <w:t>e</w:t>
      </w:r>
      <w:r w:rsidR="009A43D7" w:rsidRPr="002226D3">
        <w:t xml:space="preserve"> </w:t>
      </w:r>
      <w:r w:rsidR="00D3044D" w:rsidRPr="002226D3">
        <w:t>refer</w:t>
      </w:r>
      <w:r w:rsidR="00244529" w:rsidRPr="002226D3">
        <w:t>e</w:t>
      </w:r>
      <w:r w:rsidR="00D3044D" w:rsidRPr="002226D3">
        <w:t xml:space="preserve">nce </w:t>
      </w:r>
      <w:r w:rsidR="00244529" w:rsidRPr="002226D3">
        <w:t xml:space="preserve">in </w:t>
      </w:r>
      <w:r w:rsidR="002226D3">
        <w:t>A</w:t>
      </w:r>
      <w:r w:rsidR="00244529" w:rsidRPr="002226D3">
        <w:t xml:space="preserve">ppendix </w:t>
      </w:r>
      <w:r w:rsidR="002226D3">
        <w:t xml:space="preserve">1 of Annex 4 </w:t>
      </w:r>
      <w:r w:rsidR="00244529" w:rsidRPr="002226D3">
        <w:t xml:space="preserve">to </w:t>
      </w:r>
      <w:r w:rsidR="002226D3">
        <w:t xml:space="preserve">the </w:t>
      </w:r>
      <w:r w:rsidR="00303CB9" w:rsidRPr="002226D3">
        <w:t xml:space="preserve">component type approval </w:t>
      </w:r>
      <w:r w:rsidR="00244529" w:rsidRPr="002226D3">
        <w:t>communication form must mean paragraph 6.2.2</w:t>
      </w:r>
      <w:r w:rsidR="00D3044D" w:rsidRPr="002226D3">
        <w:t>.</w:t>
      </w:r>
    </w:p>
    <w:p w:rsidR="00717770" w:rsidRPr="002226D3" w:rsidRDefault="00717770" w:rsidP="00DF63D1">
      <w:pPr>
        <w:tabs>
          <w:tab w:val="num" w:pos="567"/>
          <w:tab w:val="left" w:pos="1134"/>
        </w:tabs>
        <w:ind w:right="43"/>
        <w:jc w:val="both"/>
      </w:pPr>
    </w:p>
    <w:p w:rsidR="009A3E21" w:rsidRDefault="009A3E21" w:rsidP="009A3E21">
      <w:pPr>
        <w:tabs>
          <w:tab w:val="num" w:pos="720"/>
        </w:tabs>
        <w:jc w:val="center"/>
      </w:pPr>
      <w:bookmarkStart w:id="0" w:name="_GoBack"/>
      <w:bookmarkEnd w:id="0"/>
      <w:r>
        <w:t>_____________________</w:t>
      </w:r>
    </w:p>
    <w:sectPr w:rsidR="009A3E21" w:rsidSect="00DF63D1">
      <w:footerReference w:type="default" r:id="rId9"/>
      <w:headerReference w:type="first" r:id="rId10"/>
      <w:footerReference w:type="first" r:id="rId11"/>
      <w:pgSz w:w="12240" w:h="15840"/>
      <w:pgMar w:top="1347" w:right="1892" w:bottom="1440" w:left="180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1B" w:rsidRDefault="00AA591B">
      <w:r>
        <w:separator/>
      </w:r>
    </w:p>
  </w:endnote>
  <w:endnote w:type="continuationSeparator" w:id="0">
    <w:p w:rsidR="00AA591B" w:rsidRDefault="00AA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21" w:rsidRDefault="009A3E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114">
      <w:rPr>
        <w:noProof/>
      </w:rPr>
      <w:t>3</w:t>
    </w:r>
    <w:r>
      <w:rPr>
        <w:noProof/>
      </w:rPr>
      <w:fldChar w:fldCharType="end"/>
    </w:r>
  </w:p>
  <w:p w:rsidR="002F6D64" w:rsidRDefault="002F6D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21" w:rsidRDefault="009A3E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6D3">
      <w:rPr>
        <w:noProof/>
      </w:rPr>
      <w:t>1</w:t>
    </w:r>
    <w:r>
      <w:rPr>
        <w:noProof/>
      </w:rPr>
      <w:fldChar w:fldCharType="end"/>
    </w:r>
  </w:p>
  <w:p w:rsidR="002F6D64" w:rsidRDefault="002F6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1B" w:rsidRDefault="00AA591B">
      <w:r>
        <w:separator/>
      </w:r>
    </w:p>
  </w:footnote>
  <w:footnote w:type="continuationSeparator" w:id="0">
    <w:p w:rsidR="00AA591B" w:rsidRDefault="00AA5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ook w:val="0000" w:firstRow="0" w:lastRow="0" w:firstColumn="0" w:lastColumn="0" w:noHBand="0" w:noVBand="0"/>
    </w:tblPr>
    <w:tblGrid>
      <w:gridCol w:w="4395"/>
      <w:gridCol w:w="5103"/>
    </w:tblGrid>
    <w:tr w:rsidR="00B11753" w:rsidRPr="002226D3" w:rsidTr="00EB3776">
      <w:tc>
        <w:tcPr>
          <w:tcW w:w="4395" w:type="dxa"/>
          <w:vAlign w:val="center"/>
        </w:tcPr>
        <w:p w:rsidR="00B11753" w:rsidRPr="002226D3" w:rsidRDefault="00B11753" w:rsidP="00064114">
          <w:pPr>
            <w:tabs>
              <w:tab w:val="center" w:pos="4677"/>
              <w:tab w:val="right" w:pos="9355"/>
            </w:tabs>
            <w:ind w:hanging="108"/>
            <w:rPr>
              <w:sz w:val="20"/>
              <w:szCs w:val="20"/>
              <w:lang w:eastAsia="ar-SA"/>
            </w:rPr>
          </w:pPr>
          <w:r w:rsidRPr="002226D3">
            <w:rPr>
              <w:sz w:val="20"/>
              <w:szCs w:val="20"/>
              <w:lang w:eastAsia="ar-SA"/>
            </w:rPr>
            <w:t xml:space="preserve">Submitted by the </w:t>
          </w:r>
          <w:r w:rsidR="00EB3776" w:rsidRPr="002226D3">
            <w:rPr>
              <w:sz w:val="20"/>
              <w:szCs w:val="20"/>
              <w:lang w:eastAsia="ar-SA"/>
            </w:rPr>
            <w:t xml:space="preserve">expert from </w:t>
          </w:r>
          <w:r w:rsidR="00064114" w:rsidRPr="002226D3">
            <w:rPr>
              <w:sz w:val="20"/>
              <w:szCs w:val="20"/>
              <w:lang w:eastAsia="ar-SA"/>
            </w:rPr>
            <w:t>Finland</w:t>
          </w:r>
        </w:p>
      </w:tc>
      <w:tc>
        <w:tcPr>
          <w:tcW w:w="5103" w:type="dxa"/>
        </w:tcPr>
        <w:p w:rsidR="002F6D64" w:rsidRPr="002226D3" w:rsidRDefault="002F6D64" w:rsidP="00EB3776">
          <w:pPr>
            <w:ind w:left="175"/>
            <w:rPr>
              <w:b/>
              <w:sz w:val="20"/>
              <w:szCs w:val="20"/>
              <w:lang w:val="en-TT" w:eastAsia="ar-SA"/>
            </w:rPr>
          </w:pPr>
          <w:r w:rsidRPr="002226D3">
            <w:rPr>
              <w:b/>
              <w:sz w:val="20"/>
              <w:szCs w:val="20"/>
              <w:lang w:val="en-TT" w:eastAsia="ar-SA"/>
            </w:rPr>
            <w:t xml:space="preserve">Informal document </w:t>
          </w:r>
          <w:r w:rsidR="002E47F3" w:rsidRPr="002226D3">
            <w:rPr>
              <w:b/>
              <w:sz w:val="20"/>
              <w:szCs w:val="20"/>
              <w:lang w:val="en-TT" w:eastAsia="ar-SA"/>
            </w:rPr>
            <w:t>GRSG-10</w:t>
          </w:r>
          <w:r w:rsidR="00EB3776" w:rsidRPr="002226D3">
            <w:rPr>
              <w:b/>
              <w:sz w:val="20"/>
              <w:szCs w:val="20"/>
              <w:lang w:val="en-TT" w:eastAsia="ar-SA"/>
            </w:rPr>
            <w:t>9</w:t>
          </w:r>
          <w:r w:rsidR="002E47F3" w:rsidRPr="002226D3">
            <w:rPr>
              <w:b/>
              <w:sz w:val="20"/>
              <w:szCs w:val="20"/>
              <w:lang w:val="en-TT" w:eastAsia="ar-SA"/>
            </w:rPr>
            <w:t>-</w:t>
          </w:r>
          <w:r w:rsidR="002226D3" w:rsidRPr="002226D3">
            <w:rPr>
              <w:b/>
              <w:sz w:val="20"/>
              <w:szCs w:val="20"/>
              <w:lang w:val="en-TT" w:eastAsia="ar-SA"/>
            </w:rPr>
            <w:t>06</w:t>
          </w:r>
        </w:p>
        <w:p w:rsidR="00B11753" w:rsidRPr="002226D3" w:rsidRDefault="002E47F3" w:rsidP="00EB3776">
          <w:pPr>
            <w:ind w:left="175"/>
            <w:rPr>
              <w:sz w:val="20"/>
              <w:szCs w:val="20"/>
              <w:lang w:val="en-TT" w:eastAsia="ar-SA"/>
            </w:rPr>
          </w:pPr>
          <w:r w:rsidRPr="002226D3">
            <w:rPr>
              <w:sz w:val="20"/>
              <w:szCs w:val="20"/>
              <w:lang w:val="en-TT" w:eastAsia="ar-SA"/>
            </w:rPr>
            <w:t>(10</w:t>
          </w:r>
          <w:r w:rsidR="00EB3776" w:rsidRPr="002226D3">
            <w:rPr>
              <w:sz w:val="20"/>
              <w:szCs w:val="20"/>
              <w:lang w:val="en-TT" w:eastAsia="ar-SA"/>
            </w:rPr>
            <w:t>9</w:t>
          </w:r>
          <w:r w:rsidR="00B11753" w:rsidRPr="002226D3">
            <w:rPr>
              <w:sz w:val="20"/>
              <w:szCs w:val="20"/>
              <w:lang w:val="en-TT" w:eastAsia="ar-SA"/>
            </w:rPr>
            <w:t xml:space="preserve">th GRSG, </w:t>
          </w:r>
          <w:r w:rsidR="00EB3776" w:rsidRPr="002226D3">
            <w:rPr>
              <w:sz w:val="20"/>
              <w:szCs w:val="20"/>
              <w:lang w:val="en-TT" w:eastAsia="ar-SA"/>
            </w:rPr>
            <w:t>29 September –</w:t>
          </w:r>
          <w:r w:rsidRPr="002226D3">
            <w:rPr>
              <w:sz w:val="20"/>
              <w:szCs w:val="20"/>
              <w:lang w:val="en-TT" w:eastAsia="ar-SA"/>
            </w:rPr>
            <w:t xml:space="preserve"> </w:t>
          </w:r>
          <w:r w:rsidR="00EB3776" w:rsidRPr="002226D3">
            <w:rPr>
              <w:sz w:val="20"/>
              <w:szCs w:val="20"/>
              <w:lang w:val="en-TT" w:eastAsia="ar-SA"/>
            </w:rPr>
            <w:t>2 October</w:t>
          </w:r>
          <w:r w:rsidRPr="002226D3">
            <w:rPr>
              <w:sz w:val="20"/>
              <w:szCs w:val="20"/>
              <w:lang w:val="en-TT" w:eastAsia="ar-SA"/>
            </w:rPr>
            <w:t xml:space="preserve"> 2015</w:t>
          </w:r>
          <w:r w:rsidR="003B66F1" w:rsidRPr="002226D3">
            <w:rPr>
              <w:sz w:val="20"/>
              <w:szCs w:val="20"/>
              <w:lang w:val="en-TT" w:eastAsia="ar-SA"/>
            </w:rPr>
            <w:t>,</w:t>
          </w:r>
          <w:r w:rsidR="003B66F1" w:rsidRPr="002226D3">
            <w:rPr>
              <w:sz w:val="20"/>
              <w:szCs w:val="20"/>
              <w:lang w:val="en-TT" w:eastAsia="ar-SA"/>
            </w:rPr>
            <w:br/>
            <w:t xml:space="preserve">agenda item </w:t>
          </w:r>
          <w:r w:rsidR="00064114" w:rsidRPr="002226D3">
            <w:rPr>
              <w:sz w:val="20"/>
              <w:szCs w:val="20"/>
              <w:lang w:val="en-TT" w:eastAsia="ar-SA"/>
            </w:rPr>
            <w:t>13</w:t>
          </w:r>
          <w:r w:rsidR="002226D3" w:rsidRPr="002226D3">
            <w:rPr>
              <w:sz w:val="20"/>
              <w:szCs w:val="20"/>
              <w:lang w:val="en-TT" w:eastAsia="ar-SA"/>
            </w:rPr>
            <w:t>.</w:t>
          </w:r>
          <w:r w:rsidR="00B11753" w:rsidRPr="002226D3">
            <w:rPr>
              <w:sz w:val="20"/>
              <w:szCs w:val="20"/>
              <w:lang w:val="en-TT" w:eastAsia="ar-SA"/>
            </w:rPr>
            <w:t>)</w:t>
          </w:r>
        </w:p>
      </w:tc>
    </w:tr>
  </w:tbl>
  <w:p w:rsidR="00B11753" w:rsidRDefault="00B117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ED9"/>
    <w:multiLevelType w:val="hybridMultilevel"/>
    <w:tmpl w:val="0E005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2878"/>
    <w:multiLevelType w:val="hybridMultilevel"/>
    <w:tmpl w:val="4FBE8BA6"/>
    <w:lvl w:ilvl="0" w:tplc="C7A6D9A6">
      <w:start w:val="1"/>
      <w:numFmt w:val="lowerRoman"/>
      <w:lvlText w:val="(%1)"/>
      <w:lvlJc w:val="left"/>
      <w:pPr>
        <w:ind w:left="1080" w:hanging="72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5D45"/>
    <w:multiLevelType w:val="hybridMultilevel"/>
    <w:tmpl w:val="FB907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71BE"/>
    <w:multiLevelType w:val="hybridMultilevel"/>
    <w:tmpl w:val="C6CE810A"/>
    <w:lvl w:ilvl="0" w:tplc="73D4119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00EDE"/>
    <w:multiLevelType w:val="hybridMultilevel"/>
    <w:tmpl w:val="7EF8636A"/>
    <w:lvl w:ilvl="0" w:tplc="E4E85C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B32CD"/>
    <w:multiLevelType w:val="hybridMultilevel"/>
    <w:tmpl w:val="4C2A5592"/>
    <w:lvl w:ilvl="0" w:tplc="69A2F1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844EF2"/>
    <w:multiLevelType w:val="hybridMultilevel"/>
    <w:tmpl w:val="95986572"/>
    <w:lvl w:ilvl="0" w:tplc="22AEF52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00022"/>
    <w:multiLevelType w:val="hybridMultilevel"/>
    <w:tmpl w:val="5BA0A630"/>
    <w:lvl w:ilvl="0" w:tplc="0FDA6C6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21513"/>
    <w:multiLevelType w:val="hybridMultilevel"/>
    <w:tmpl w:val="4FEE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21914"/>
    <w:multiLevelType w:val="hybridMultilevel"/>
    <w:tmpl w:val="9D04505A"/>
    <w:lvl w:ilvl="0" w:tplc="79D44BE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C5470D"/>
    <w:multiLevelType w:val="hybridMultilevel"/>
    <w:tmpl w:val="2666791A"/>
    <w:lvl w:ilvl="0" w:tplc="783E5A6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F58C0"/>
    <w:multiLevelType w:val="hybridMultilevel"/>
    <w:tmpl w:val="0442A7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AD35D3"/>
    <w:multiLevelType w:val="hybridMultilevel"/>
    <w:tmpl w:val="60B2F8CC"/>
    <w:lvl w:ilvl="0" w:tplc="8CA2A9B4">
      <w:start w:val="2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5ED105E"/>
    <w:multiLevelType w:val="hybridMultilevel"/>
    <w:tmpl w:val="39A8655E"/>
    <w:lvl w:ilvl="0" w:tplc="FFE0DB12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EB128F"/>
    <w:multiLevelType w:val="hybridMultilevel"/>
    <w:tmpl w:val="5982474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0554F36"/>
    <w:multiLevelType w:val="hybridMultilevel"/>
    <w:tmpl w:val="01CE7F62"/>
    <w:lvl w:ilvl="0" w:tplc="C7A6D9A6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34162AB"/>
    <w:multiLevelType w:val="hybridMultilevel"/>
    <w:tmpl w:val="1AD8502C"/>
    <w:lvl w:ilvl="0" w:tplc="4D0881A4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64D2B"/>
    <w:multiLevelType w:val="hybridMultilevel"/>
    <w:tmpl w:val="69D809A0"/>
    <w:lvl w:ilvl="0" w:tplc="D64E10DA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5"/>
  </w:num>
  <w:num w:numId="12">
    <w:abstractNumId w:val="10"/>
  </w:num>
  <w:num w:numId="13">
    <w:abstractNumId w:val="3"/>
  </w:num>
  <w:num w:numId="14">
    <w:abstractNumId w:val="16"/>
  </w:num>
  <w:num w:numId="15">
    <w:abstractNumId w:val="13"/>
  </w:num>
  <w:num w:numId="16">
    <w:abstractNumId w:val="1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E4A"/>
    <w:rsid w:val="00021554"/>
    <w:rsid w:val="0003235B"/>
    <w:rsid w:val="0005054C"/>
    <w:rsid w:val="00056A18"/>
    <w:rsid w:val="00064114"/>
    <w:rsid w:val="000A3E18"/>
    <w:rsid w:val="000B631D"/>
    <w:rsid w:val="000E1E57"/>
    <w:rsid w:val="000E271A"/>
    <w:rsid w:val="000E727E"/>
    <w:rsid w:val="0010267B"/>
    <w:rsid w:val="001053C0"/>
    <w:rsid w:val="0012442B"/>
    <w:rsid w:val="00147D8A"/>
    <w:rsid w:val="0015784F"/>
    <w:rsid w:val="00165491"/>
    <w:rsid w:val="001A0E48"/>
    <w:rsid w:val="001A48AF"/>
    <w:rsid w:val="001A6093"/>
    <w:rsid w:val="001E51D8"/>
    <w:rsid w:val="002226D3"/>
    <w:rsid w:val="002334F2"/>
    <w:rsid w:val="00244529"/>
    <w:rsid w:val="0025188B"/>
    <w:rsid w:val="00270DB3"/>
    <w:rsid w:val="002739C0"/>
    <w:rsid w:val="002E47F3"/>
    <w:rsid w:val="002F6D64"/>
    <w:rsid w:val="00303CB9"/>
    <w:rsid w:val="003317C3"/>
    <w:rsid w:val="00350E4A"/>
    <w:rsid w:val="00390AC0"/>
    <w:rsid w:val="003A594A"/>
    <w:rsid w:val="003B66F1"/>
    <w:rsid w:val="003D7259"/>
    <w:rsid w:val="003E211E"/>
    <w:rsid w:val="003E5E06"/>
    <w:rsid w:val="004066F9"/>
    <w:rsid w:val="004145B2"/>
    <w:rsid w:val="004461F8"/>
    <w:rsid w:val="0044689F"/>
    <w:rsid w:val="0046001E"/>
    <w:rsid w:val="00486F9E"/>
    <w:rsid w:val="004905F7"/>
    <w:rsid w:val="00496FB3"/>
    <w:rsid w:val="004C2EDC"/>
    <w:rsid w:val="00551965"/>
    <w:rsid w:val="005C2A6A"/>
    <w:rsid w:val="005C4622"/>
    <w:rsid w:val="005D6790"/>
    <w:rsid w:val="00601B6D"/>
    <w:rsid w:val="00603473"/>
    <w:rsid w:val="00616C3B"/>
    <w:rsid w:val="0064770D"/>
    <w:rsid w:val="006908E8"/>
    <w:rsid w:val="00695C93"/>
    <w:rsid w:val="006C31BC"/>
    <w:rsid w:val="00707C89"/>
    <w:rsid w:val="00713758"/>
    <w:rsid w:val="00717770"/>
    <w:rsid w:val="007755AE"/>
    <w:rsid w:val="0077562E"/>
    <w:rsid w:val="007860BF"/>
    <w:rsid w:val="007B3A62"/>
    <w:rsid w:val="007B6313"/>
    <w:rsid w:val="007D62C8"/>
    <w:rsid w:val="007F668F"/>
    <w:rsid w:val="00800542"/>
    <w:rsid w:val="0080171E"/>
    <w:rsid w:val="008109E0"/>
    <w:rsid w:val="00810D93"/>
    <w:rsid w:val="00846FBB"/>
    <w:rsid w:val="008560BB"/>
    <w:rsid w:val="00866D01"/>
    <w:rsid w:val="008B0301"/>
    <w:rsid w:val="009164B9"/>
    <w:rsid w:val="009734BE"/>
    <w:rsid w:val="00980FF3"/>
    <w:rsid w:val="009A2170"/>
    <w:rsid w:val="009A3E21"/>
    <w:rsid w:val="009A43D7"/>
    <w:rsid w:val="009E5D62"/>
    <w:rsid w:val="00A16B6F"/>
    <w:rsid w:val="00A27151"/>
    <w:rsid w:val="00A3635F"/>
    <w:rsid w:val="00A46620"/>
    <w:rsid w:val="00A5441F"/>
    <w:rsid w:val="00AA3C92"/>
    <w:rsid w:val="00AA591B"/>
    <w:rsid w:val="00AD30E9"/>
    <w:rsid w:val="00B11753"/>
    <w:rsid w:val="00B452C1"/>
    <w:rsid w:val="00B95719"/>
    <w:rsid w:val="00BC0209"/>
    <w:rsid w:val="00BD4738"/>
    <w:rsid w:val="00BD537B"/>
    <w:rsid w:val="00BF78B2"/>
    <w:rsid w:val="00C16F0C"/>
    <w:rsid w:val="00C26D6E"/>
    <w:rsid w:val="00C54187"/>
    <w:rsid w:val="00C71C95"/>
    <w:rsid w:val="00CA663C"/>
    <w:rsid w:val="00CB79ED"/>
    <w:rsid w:val="00CD4CBE"/>
    <w:rsid w:val="00CE228F"/>
    <w:rsid w:val="00D00538"/>
    <w:rsid w:val="00D2380D"/>
    <w:rsid w:val="00D3044D"/>
    <w:rsid w:val="00D366FC"/>
    <w:rsid w:val="00D75A85"/>
    <w:rsid w:val="00D77FCE"/>
    <w:rsid w:val="00DC3642"/>
    <w:rsid w:val="00DD58A5"/>
    <w:rsid w:val="00DF63D1"/>
    <w:rsid w:val="00E4665F"/>
    <w:rsid w:val="00E55518"/>
    <w:rsid w:val="00EA24BF"/>
    <w:rsid w:val="00EB3776"/>
    <w:rsid w:val="00ED6FF0"/>
    <w:rsid w:val="00F07BD5"/>
    <w:rsid w:val="00F37A7E"/>
    <w:rsid w:val="00F40F0E"/>
    <w:rsid w:val="00F52D4A"/>
    <w:rsid w:val="00F64600"/>
    <w:rsid w:val="00F86E67"/>
    <w:rsid w:val="00F93301"/>
    <w:rsid w:val="00F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70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05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5054C"/>
    <w:rPr>
      <w:lang w:eastAsia="ja-JP"/>
    </w:rPr>
  </w:style>
  <w:style w:type="character" w:styleId="FootnoteReference">
    <w:name w:val="footnote reference"/>
    <w:uiPriority w:val="99"/>
    <w:semiHidden/>
    <w:unhideWhenUsed/>
    <w:rsid w:val="000505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0B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EA24B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334F2"/>
    <w:rPr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sid w:val="009A3E21"/>
    <w:rPr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DF63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63D1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6D01"/>
    <w:rPr>
      <w:lang w:val="en-US" w:eastAsia="ja-JP"/>
    </w:rPr>
  </w:style>
  <w:style w:type="character" w:styleId="CommentReference">
    <w:name w:val="annotation reference"/>
    <w:uiPriority w:val="99"/>
    <w:rsid w:val="00866D01"/>
    <w:rPr>
      <w:sz w:val="16"/>
      <w:szCs w:val="16"/>
    </w:rPr>
  </w:style>
  <w:style w:type="character" w:customStyle="1" w:styleId="HChGChar">
    <w:name w:val="_ H _Ch_G Char"/>
    <w:link w:val="HChG"/>
    <w:locked/>
    <w:rsid w:val="00064114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06411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6D2D-FFF1-4785-842D-218AEB0A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GRSG-107-02</vt:lpstr>
      <vt:lpstr>GRSG-107-02</vt:lpstr>
    </vt:vector>
  </TitlesOfParts>
  <Company>Clepa</Company>
  <LinksUpToDate>false</LinksUpToDate>
  <CharactersWithSpaces>679</CharactersWithSpaces>
  <SharedDoc>false</SharedDoc>
  <HLinks>
    <vt:vector size="6" baseType="variant"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http://www.unece.org/trans/main/wp29/wp29wgs/wp29gen/acronyms_definitions.html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GRSG-107-02</dc:title>
  <dc:creator>GRSG</dc:creator>
  <cp:lastModifiedBy>Hubert Romain</cp:lastModifiedBy>
  <cp:revision>2</cp:revision>
  <cp:lastPrinted>2014-09-01T14:58:00Z</cp:lastPrinted>
  <dcterms:created xsi:type="dcterms:W3CDTF">2015-09-11T09:59:00Z</dcterms:created>
  <dcterms:modified xsi:type="dcterms:W3CDTF">2015-09-11T09:59:00Z</dcterms:modified>
</cp:coreProperties>
</file>