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10" w:rsidRDefault="00C01810" w:rsidP="00C01810">
      <w:pPr>
        <w:spacing w:line="60" w:lineRule="exact"/>
        <w:rPr>
          <w:color w:val="010000"/>
          <w:sz w:val="6"/>
        </w:rPr>
        <w:sectPr w:rsidR="00C01810" w:rsidSect="00C018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761AE3" w:rsidRPr="00761AE3" w:rsidRDefault="00761AE3" w:rsidP="00761AE3">
      <w:pPr>
        <w:pStyle w:val="SingleTxt"/>
        <w:ind w:left="0"/>
        <w:jc w:val="left"/>
        <w:rPr>
          <w:b/>
          <w:sz w:val="28"/>
          <w:szCs w:val="28"/>
        </w:rPr>
      </w:pPr>
      <w:r w:rsidRPr="00761AE3">
        <w:rPr>
          <w:b/>
          <w:sz w:val="28"/>
          <w:szCs w:val="28"/>
        </w:rPr>
        <w:lastRenderedPageBreak/>
        <w:t>Европейская экономическая комиссия</w:t>
      </w:r>
    </w:p>
    <w:p w:rsidR="00761AE3" w:rsidRPr="00761AE3" w:rsidRDefault="00761AE3" w:rsidP="00761AE3">
      <w:pPr>
        <w:pStyle w:val="SingleTxt"/>
        <w:ind w:left="0"/>
        <w:jc w:val="left"/>
        <w:rPr>
          <w:sz w:val="28"/>
          <w:szCs w:val="28"/>
        </w:rPr>
      </w:pPr>
      <w:r w:rsidRPr="00761AE3">
        <w:rPr>
          <w:sz w:val="28"/>
          <w:szCs w:val="28"/>
        </w:rPr>
        <w:t>Комитет по внутреннему транспорту</w:t>
      </w:r>
    </w:p>
    <w:p w:rsidR="00761AE3" w:rsidRPr="00761AE3" w:rsidRDefault="00761AE3" w:rsidP="00761AE3">
      <w:pPr>
        <w:pStyle w:val="SingleTxt"/>
        <w:ind w:left="0"/>
        <w:jc w:val="left"/>
        <w:rPr>
          <w:b/>
          <w:sz w:val="24"/>
          <w:szCs w:val="24"/>
        </w:rPr>
      </w:pPr>
      <w:r w:rsidRPr="00761AE3">
        <w:rPr>
          <w:b/>
          <w:sz w:val="24"/>
          <w:szCs w:val="24"/>
        </w:rPr>
        <w:t xml:space="preserve">Всемирный форум для согласования правил </w:t>
      </w:r>
      <w:r w:rsidRPr="00761AE3">
        <w:rPr>
          <w:b/>
          <w:sz w:val="24"/>
          <w:szCs w:val="24"/>
        </w:rPr>
        <w:br/>
        <w:t xml:space="preserve">в области транспортных средств </w:t>
      </w:r>
    </w:p>
    <w:p w:rsidR="00761AE3" w:rsidRPr="00761AE3" w:rsidRDefault="00761AE3" w:rsidP="00761AE3">
      <w:pPr>
        <w:pStyle w:val="SingleTxt"/>
        <w:ind w:left="0"/>
        <w:jc w:val="left"/>
        <w:rPr>
          <w:b/>
        </w:rPr>
      </w:pPr>
      <w:r w:rsidRPr="00761AE3">
        <w:rPr>
          <w:b/>
        </w:rPr>
        <w:t>Рабочая группа по вопросам торможения и ходовой части</w:t>
      </w:r>
    </w:p>
    <w:p w:rsidR="00761AE3" w:rsidRPr="00761AE3" w:rsidRDefault="00761AE3" w:rsidP="00761AE3">
      <w:pPr>
        <w:pStyle w:val="SingleTxt"/>
        <w:spacing w:after="0"/>
        <w:ind w:left="0"/>
        <w:jc w:val="left"/>
        <w:rPr>
          <w:b/>
        </w:rPr>
      </w:pPr>
      <w:r w:rsidRPr="00761AE3">
        <w:rPr>
          <w:b/>
        </w:rPr>
        <w:t>Восьмидесятая сессия</w:t>
      </w:r>
    </w:p>
    <w:p w:rsidR="00761AE3" w:rsidRDefault="00761AE3" w:rsidP="00761AE3">
      <w:pPr>
        <w:pStyle w:val="SingleTxt"/>
        <w:spacing w:after="0"/>
        <w:ind w:left="0"/>
        <w:jc w:val="left"/>
      </w:pPr>
      <w:r>
        <w:t xml:space="preserve">Женева, 15–18 сентября 2015 года </w:t>
      </w:r>
    </w:p>
    <w:p w:rsidR="00761AE3" w:rsidRDefault="00761AE3" w:rsidP="00761AE3">
      <w:pPr>
        <w:pStyle w:val="SingleTxt"/>
        <w:spacing w:after="0"/>
        <w:ind w:left="0"/>
        <w:jc w:val="left"/>
      </w:pPr>
      <w:r>
        <w:t>Пункт 10 c) предварительной повестки дня</w:t>
      </w:r>
    </w:p>
    <w:p w:rsidR="00761AE3" w:rsidRPr="00761AE3" w:rsidRDefault="00761AE3" w:rsidP="00761AE3">
      <w:pPr>
        <w:pStyle w:val="SingleTxt"/>
        <w:spacing w:after="0"/>
        <w:ind w:left="0"/>
        <w:jc w:val="left"/>
        <w:rPr>
          <w:b/>
        </w:rPr>
      </w:pPr>
      <w:r w:rsidRPr="00761AE3">
        <w:rPr>
          <w:b/>
        </w:rPr>
        <w:t xml:space="preserve">Международная система официального утверждения </w:t>
      </w:r>
      <w:r w:rsidR="00A37593">
        <w:rPr>
          <w:b/>
        </w:rPr>
        <w:br/>
      </w:r>
      <w:r w:rsidRPr="00761AE3">
        <w:rPr>
          <w:b/>
        </w:rPr>
        <w:t>типа комплектного</w:t>
      </w:r>
      <w:r w:rsidR="00A37593">
        <w:rPr>
          <w:b/>
        </w:rPr>
        <w:t xml:space="preserve"> </w:t>
      </w:r>
      <w:r w:rsidRPr="00761AE3">
        <w:rPr>
          <w:b/>
        </w:rPr>
        <w:t xml:space="preserve">транспортного средства – </w:t>
      </w:r>
      <w:r w:rsidR="00A37593">
        <w:rPr>
          <w:b/>
        </w:rPr>
        <w:br/>
      </w:r>
      <w:r w:rsidRPr="00761AE3">
        <w:rPr>
          <w:b/>
        </w:rPr>
        <w:t>Правила № 13-H</w:t>
      </w: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Default="00761AE3" w:rsidP="00761A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7593">
        <w:tab/>
      </w:r>
      <w:r w:rsidRPr="00A37593">
        <w:tab/>
      </w:r>
      <w:r>
        <w:t xml:space="preserve">Предложение по поправкам к Правилам № 13-H (тормозные системы транспортных средств </w:t>
      </w:r>
      <w:r w:rsidRPr="00761AE3">
        <w:br/>
      </w:r>
      <w:r>
        <w:t>категорий М</w:t>
      </w:r>
      <w:proofErr w:type="gramStart"/>
      <w:r w:rsidRPr="00A37593">
        <w:rPr>
          <w:vertAlign w:val="subscript"/>
        </w:rPr>
        <w:t>1</w:t>
      </w:r>
      <w:proofErr w:type="gramEnd"/>
      <w:r>
        <w:t xml:space="preserve"> и N</w:t>
      </w:r>
      <w:r w:rsidRPr="00A37593">
        <w:rPr>
          <w:vertAlign w:val="subscript"/>
        </w:rPr>
        <w:t>1</w:t>
      </w:r>
      <w:r>
        <w:t>)</w:t>
      </w: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Default="00761AE3" w:rsidP="00761AE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50C4">
        <w:tab/>
      </w:r>
      <w:r w:rsidRPr="006050C4">
        <w:tab/>
      </w:r>
      <w:r>
        <w:t>Представлено экспертами от Соединенного Королевства</w:t>
      </w:r>
      <w:r w:rsidRPr="00761AE3">
        <w:rPr>
          <w:b w:val="0"/>
          <w:sz w:val="20"/>
          <w:szCs w:val="20"/>
        </w:rPr>
        <w:footnoteReference w:customMarkFollows="1" w:id="1"/>
        <w:t>*</w:t>
      </w: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Pr="00761AE3" w:rsidRDefault="00761AE3" w:rsidP="00761AE3">
      <w:pPr>
        <w:pStyle w:val="SingleTxt"/>
        <w:spacing w:after="0" w:line="120" w:lineRule="exact"/>
        <w:rPr>
          <w:sz w:val="10"/>
        </w:rPr>
      </w:pPr>
    </w:p>
    <w:p w:rsidR="00761AE3" w:rsidRDefault="00761AE3" w:rsidP="00761AE3">
      <w:pPr>
        <w:pStyle w:val="SingleTxt"/>
      </w:pPr>
      <w:r>
        <w:tab/>
        <w:t>Воспроизведенный ниже текст, содержащий предложение по переходным положениям, был подготовлен экспертами от Соединенного Королевства.</w:t>
      </w:r>
    </w:p>
    <w:p w:rsidR="00761AE3" w:rsidRDefault="00761AE3" w:rsidP="00A37593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40"/>
        <w:ind w:left="1267" w:right="1267" w:hanging="1267"/>
      </w:pPr>
      <w:r>
        <w:lastRenderedPageBreak/>
        <w:tab/>
        <w:t>I.</w:t>
      </w:r>
      <w:r>
        <w:tab/>
        <w:t>Предложение</w:t>
      </w:r>
    </w:p>
    <w:p w:rsidR="00A37593" w:rsidRPr="00A37593" w:rsidRDefault="00A37593" w:rsidP="00A37593">
      <w:pPr>
        <w:pStyle w:val="SingleTxt"/>
        <w:spacing w:after="0" w:line="120" w:lineRule="exact"/>
        <w:rPr>
          <w:sz w:val="10"/>
        </w:rPr>
      </w:pPr>
    </w:p>
    <w:p w:rsidR="00A37593" w:rsidRPr="00A37593" w:rsidRDefault="00A37593" w:rsidP="00A37593">
      <w:pPr>
        <w:pStyle w:val="SingleTxt"/>
        <w:spacing w:after="0" w:line="120" w:lineRule="exact"/>
        <w:rPr>
          <w:sz w:val="10"/>
        </w:rPr>
      </w:pPr>
    </w:p>
    <w:p w:rsidR="00761AE3" w:rsidRDefault="00A37593" w:rsidP="00A37593">
      <w:pPr>
        <w:pStyle w:val="SingleTxt"/>
        <w:ind w:left="2218" w:hanging="951"/>
      </w:pPr>
      <w:r>
        <w:t>«</w:t>
      </w:r>
      <w:r w:rsidR="00761AE3">
        <w:t>12.1.</w:t>
      </w:r>
      <w:r w:rsidR="00761AE3">
        <w:tab/>
        <w:t>Начиная с [даты вступления в силу поправок серии 01 к настоящим Правилам/1 сентября 2017 года] Договаривающиеся стороны, прим</w:t>
      </w:r>
      <w:r w:rsidR="00761AE3">
        <w:t>е</w:t>
      </w:r>
      <w:r w:rsidR="00761AE3">
        <w:t>няющие настоящие Правила, не отказывают в предоставлении офиц</w:t>
      </w:r>
      <w:r w:rsidR="00761AE3">
        <w:t>и</w:t>
      </w:r>
      <w:r w:rsidR="00761AE3">
        <w:t>ального утверждения типа на основании настоящих Правил с попра</w:t>
      </w:r>
      <w:r w:rsidR="00761AE3">
        <w:t>в</w:t>
      </w:r>
      <w:r w:rsidR="00761AE3">
        <w:t>ками серии 01.</w:t>
      </w:r>
    </w:p>
    <w:p w:rsidR="00761AE3" w:rsidRDefault="00761AE3" w:rsidP="00A37593">
      <w:pPr>
        <w:pStyle w:val="SingleTxt"/>
        <w:ind w:left="2218" w:hanging="951"/>
      </w:pPr>
      <w:r>
        <w:t>12.2.</w:t>
      </w:r>
      <w:r>
        <w:tab/>
      </w:r>
      <w:r w:rsidR="00A37593">
        <w:tab/>
      </w:r>
      <w:r>
        <w:t>Даже после [вступления в силу поправок серии 01 к настоящим Пр</w:t>
      </w:r>
      <w:r>
        <w:t>а</w:t>
      </w:r>
      <w:r>
        <w:t>вилам/1 сентября 2017 года] Договаривающиеся стороны, применя</w:t>
      </w:r>
      <w:r>
        <w:t>ю</w:t>
      </w:r>
      <w:r>
        <w:t>щие настоящие Правила, продолжают признавать официальные утве</w:t>
      </w:r>
      <w:r>
        <w:t>р</w:t>
      </w:r>
      <w:r>
        <w:t>ждения типа, предоставленные на основании первоначального вариа</w:t>
      </w:r>
      <w:r>
        <w:t>н</w:t>
      </w:r>
      <w:r>
        <w:t xml:space="preserve">та настоящих Правил, при </w:t>
      </w:r>
      <w:proofErr w:type="gramStart"/>
      <w:r>
        <w:t>условии</w:t>
      </w:r>
      <w:proofErr w:type="gramEnd"/>
      <w:r>
        <w:t xml:space="preserve"> что эти транспортные средства оснащены функцией обеспечения устойчивости транспортного сре</w:t>
      </w:r>
      <w:r>
        <w:t>д</w:t>
      </w:r>
      <w:r>
        <w:t xml:space="preserve">ства или ЭКУ и СВТ. </w:t>
      </w:r>
    </w:p>
    <w:p w:rsidR="00761AE3" w:rsidRDefault="00A37593" w:rsidP="00A37593">
      <w:pPr>
        <w:pStyle w:val="SingleTxt"/>
        <w:ind w:left="2218" w:hanging="951"/>
      </w:pPr>
      <w:r>
        <w:tab/>
      </w:r>
      <w:r>
        <w:tab/>
      </w:r>
      <w:r w:rsidR="00761AE3">
        <w:t>Однако Договаривающиеся стороны, применяющие настоящие Прав</w:t>
      </w:r>
      <w:r w:rsidR="00761AE3">
        <w:t>и</w:t>
      </w:r>
      <w:r w:rsidR="00761AE3">
        <w:t>ла, могут признавать, для целей национального или регионального официального утверждения типа, официальные утверждения типа, предоставленные на основании первоначального варианта настоящих Правил, тем типам транспортных средств, которые оснащены функц</w:t>
      </w:r>
      <w:r w:rsidR="00761AE3">
        <w:t>и</w:t>
      </w:r>
      <w:r w:rsidR="00761AE3">
        <w:t xml:space="preserve">ей обеспечения устойчивости транспортного средства или ЭКУ и СВТ. </w:t>
      </w:r>
    </w:p>
    <w:p w:rsidR="00761AE3" w:rsidRDefault="00761AE3" w:rsidP="00A37593">
      <w:pPr>
        <w:pStyle w:val="SingleTxt"/>
        <w:ind w:left="2218" w:hanging="951"/>
      </w:pPr>
      <w:r>
        <w:t>12.3.</w:t>
      </w:r>
      <w:r>
        <w:tab/>
      </w:r>
      <w:r w:rsidR="00A37593">
        <w:tab/>
      </w:r>
      <w:proofErr w:type="gramStart"/>
      <w:r>
        <w:t>Начиная с [даты вступления в силу поправок серии 01 к настоящим Правилам/1 сентября 2017 года] ни одна из Договаривающихся сторон, применяющих настоящие Правила, не обязана признавать официал</w:t>
      </w:r>
      <w:r>
        <w:t>ь</w:t>
      </w:r>
      <w:r>
        <w:t>ные утверждения типа на основании настоящих Правил с поправками серии 01 [за исключением случаев, когда данное транспортное сре</w:t>
      </w:r>
      <w:r>
        <w:t>д</w:t>
      </w:r>
      <w:r>
        <w:t xml:space="preserve">ство также официально утверждено на основании Правил по [ЭКУ] и/или [СВТ]]. </w:t>
      </w:r>
      <w:proofErr w:type="gramEnd"/>
    </w:p>
    <w:p w:rsidR="00761AE3" w:rsidRDefault="00761AE3" w:rsidP="00A37593">
      <w:pPr>
        <w:pStyle w:val="SingleTxt"/>
        <w:ind w:left="2218" w:hanging="951"/>
      </w:pPr>
      <w:r>
        <w:t>12.4.</w:t>
      </w:r>
      <w:r>
        <w:tab/>
      </w:r>
      <w:r w:rsidR="00A37593">
        <w:tab/>
      </w:r>
      <w:proofErr w:type="gramStart"/>
      <w:r>
        <w:t>Начиная с 15 июня 2015 года Договаривающиеся стороны продолжают предоставлять официальные утверждения на основании первоначал</w:t>
      </w:r>
      <w:r>
        <w:t>ь</w:t>
      </w:r>
      <w:r>
        <w:t>ного варианта настоящих Правил, однако с 15 июня 2017 года Догов</w:t>
      </w:r>
      <w:r>
        <w:t>а</w:t>
      </w:r>
      <w:r>
        <w:t>ривающиеся стороны, применяющие настоящие Правила, предоста</w:t>
      </w:r>
      <w:r>
        <w:t>в</w:t>
      </w:r>
      <w:r>
        <w:t>ляют официальные утверждения типа только в том случае, если да</w:t>
      </w:r>
      <w:r>
        <w:t>н</w:t>
      </w:r>
      <w:r>
        <w:t>ный тип транспортного средства, подлежащий официальному утве</w:t>
      </w:r>
      <w:r>
        <w:t>р</w:t>
      </w:r>
      <w:r>
        <w:t>ждению, удовлетворяет требованиям дополнения 16 к первоначальн</w:t>
      </w:r>
      <w:r>
        <w:t>о</w:t>
      </w:r>
      <w:r>
        <w:t>му варианту настоящих Правил.</w:t>
      </w:r>
      <w:proofErr w:type="gramEnd"/>
    </w:p>
    <w:p w:rsidR="00761AE3" w:rsidRDefault="00761AE3" w:rsidP="00A37593">
      <w:pPr>
        <w:pStyle w:val="SingleTxt"/>
        <w:ind w:left="2218" w:hanging="951"/>
      </w:pPr>
      <w:r>
        <w:t>12.5.</w:t>
      </w:r>
      <w:r>
        <w:tab/>
      </w:r>
      <w:r w:rsidR="00A37593">
        <w:tab/>
      </w:r>
      <w:r>
        <w:t>Начиная с [даты вступления в силу поправок серии 01 к настоящим Правилам/1 сентября 2017 года] Договаривающиеся стороны, прим</w:t>
      </w:r>
      <w:r>
        <w:t>е</w:t>
      </w:r>
      <w:r>
        <w:t>няющие настоящие Правила, предоставляют официальные утвержд</w:t>
      </w:r>
      <w:r>
        <w:t>е</w:t>
      </w:r>
      <w:r>
        <w:t>ния типа только в том случае, если данный тип транспортного сре</w:t>
      </w:r>
      <w:r>
        <w:t>д</w:t>
      </w:r>
      <w:r>
        <w:t>ства, подлежащий официальному утверждению, удовлетворяет треб</w:t>
      </w:r>
      <w:r>
        <w:t>о</w:t>
      </w:r>
      <w:r>
        <w:t xml:space="preserve">ваниям настоящих Правил ООН с поправками серии 01. </w:t>
      </w:r>
    </w:p>
    <w:p w:rsidR="00761AE3" w:rsidRDefault="00761AE3" w:rsidP="00A37593">
      <w:pPr>
        <w:pStyle w:val="SingleTxt"/>
        <w:ind w:left="2218" w:hanging="951"/>
      </w:pPr>
      <w:r>
        <w:t>12.6.</w:t>
      </w:r>
      <w:r>
        <w:tab/>
      </w:r>
      <w:r>
        <w:tab/>
        <w:t>Договаривающиеся стороны, применяющие настоящие Правила, не о</w:t>
      </w:r>
      <w:r>
        <w:t>т</w:t>
      </w:r>
      <w:r>
        <w:t>казывают в распространении официального утверждения существу</w:t>
      </w:r>
      <w:r>
        <w:t>ю</w:t>
      </w:r>
      <w:r>
        <w:t>щим типам независимо от того, оснащены они функцией обеспечения устойчивости транспортного средства или ЭКУ и СВТ или нет, на о</w:t>
      </w:r>
      <w:r>
        <w:t>с</w:t>
      </w:r>
      <w:r>
        <w:t>новании положений, действовавших в момент предоставления перв</w:t>
      </w:r>
      <w:r>
        <w:t>о</w:t>
      </w:r>
      <w:r>
        <w:t xml:space="preserve">начального официального утверждения". </w:t>
      </w:r>
    </w:p>
    <w:p w:rsidR="00A37593" w:rsidRPr="00A37593" w:rsidRDefault="00A37593" w:rsidP="00A37593">
      <w:pPr>
        <w:pStyle w:val="SingleTxt"/>
        <w:pageBreakBefore/>
        <w:spacing w:after="0" w:line="120" w:lineRule="exact"/>
        <w:rPr>
          <w:sz w:val="10"/>
        </w:rPr>
      </w:pPr>
    </w:p>
    <w:p w:rsidR="00A37593" w:rsidRPr="00A37593" w:rsidRDefault="00A37593" w:rsidP="00A37593">
      <w:pPr>
        <w:pStyle w:val="SingleTxt"/>
        <w:spacing w:after="0" w:line="120" w:lineRule="exact"/>
        <w:rPr>
          <w:sz w:val="10"/>
        </w:rPr>
      </w:pPr>
    </w:p>
    <w:p w:rsidR="00761AE3" w:rsidRDefault="00761AE3" w:rsidP="00A3759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A37593" w:rsidRPr="00A37593" w:rsidRDefault="00A37593" w:rsidP="00A37593">
      <w:pPr>
        <w:pStyle w:val="SingleTxt"/>
        <w:spacing w:after="0" w:line="120" w:lineRule="exact"/>
        <w:rPr>
          <w:sz w:val="10"/>
        </w:rPr>
      </w:pPr>
    </w:p>
    <w:p w:rsidR="00A37593" w:rsidRPr="00A37593" w:rsidRDefault="00A37593" w:rsidP="00A37593">
      <w:pPr>
        <w:pStyle w:val="SingleTxt"/>
        <w:spacing w:after="0" w:line="120" w:lineRule="exact"/>
        <w:rPr>
          <w:sz w:val="10"/>
        </w:rPr>
      </w:pPr>
    </w:p>
    <w:p w:rsidR="00761AE3" w:rsidRDefault="00761AE3" w:rsidP="00761AE3">
      <w:pPr>
        <w:pStyle w:val="SingleTxt"/>
      </w:pPr>
      <w:r>
        <w:t>1.</w:t>
      </w:r>
      <w:r>
        <w:tab/>
        <w:t>В рамках обсуждений международной системы официального утверждения типа комплектного транспортного средства (МОУТКТС) было принято решение приступить к разделению Правил № 13-Н на три отдельных свода правил, кас</w:t>
      </w:r>
      <w:r>
        <w:t>а</w:t>
      </w:r>
      <w:r>
        <w:t xml:space="preserve">ющихся: вопросов торможения, систем вспомогательного торможения (СВТ) и электронного контроля устойчивости (ЭКУ). </w:t>
      </w:r>
    </w:p>
    <w:p w:rsidR="00C01810" w:rsidRDefault="00761AE3" w:rsidP="00761AE3">
      <w:pPr>
        <w:pStyle w:val="SingleTxt"/>
      </w:pPr>
      <w:r>
        <w:t>2.</w:t>
      </w:r>
      <w:r>
        <w:tab/>
        <w:t>Данные новые переходные положения предлагаются для решения этой зад</w:t>
      </w:r>
      <w:r>
        <w:t>а</w:t>
      </w:r>
      <w:r>
        <w:t>чи и упрощения работы Договаривающихся сторон, пользующихся существу</w:t>
      </w:r>
      <w:r>
        <w:t>ю</w:t>
      </w:r>
      <w:r>
        <w:t>щим текстом данных Правил в целях обязательного введения в действие СВТ и ЭКУ.</w:t>
      </w:r>
    </w:p>
    <w:p w:rsidR="00A37593" w:rsidRPr="00A37593" w:rsidRDefault="00A37593" w:rsidP="00A3759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37593" w:rsidRPr="00A37593" w:rsidSect="00C0181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1T08:33:00Z" w:initials="Start">
    <w:p w:rsidR="00C01810" w:rsidRPr="00761AE3" w:rsidRDefault="00C01810">
      <w:pPr>
        <w:pStyle w:val="CommentText"/>
        <w:rPr>
          <w:lang w:val="en-US"/>
        </w:rPr>
      </w:pPr>
      <w:r>
        <w:fldChar w:fldCharType="begin"/>
      </w:r>
      <w:r w:rsidRPr="00761AE3">
        <w:rPr>
          <w:rStyle w:val="CommentReference"/>
          <w:lang w:val="en-US"/>
        </w:rPr>
        <w:instrText xml:space="preserve"> </w:instrText>
      </w:r>
      <w:r w:rsidRPr="00761AE3">
        <w:rPr>
          <w:lang w:val="en-US"/>
        </w:rPr>
        <w:instrText>PAGE \# "'Page: '#'</w:instrText>
      </w:r>
      <w:r w:rsidRPr="00761AE3">
        <w:rPr>
          <w:lang w:val="en-US"/>
        </w:rPr>
        <w:br/>
        <w:instrText>'"</w:instrText>
      </w:r>
      <w:r w:rsidRPr="00761AE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61AE3">
        <w:rPr>
          <w:lang w:val="en-US"/>
        </w:rPr>
        <w:t>&lt;&lt;ODS JOB NO&gt;&gt;N1514648R&lt;&lt;ODS JOB NO&gt;&gt;</w:t>
      </w:r>
    </w:p>
    <w:p w:rsidR="00C01810" w:rsidRDefault="00C01810">
      <w:pPr>
        <w:pStyle w:val="CommentText"/>
      </w:pPr>
      <w:r>
        <w:t>&lt;&lt;ODS DOC SYMBOL1&gt;&gt;ECE/TRANS/WP.29/GRRF/2015/33&lt;&lt;ODS DOC SYMBOL1&gt;&gt;</w:t>
      </w:r>
    </w:p>
    <w:p w:rsidR="00C01810" w:rsidRDefault="00C0181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B" w:rsidRDefault="009F08DB" w:rsidP="008A1A7A">
      <w:pPr>
        <w:spacing w:line="240" w:lineRule="auto"/>
      </w:pPr>
      <w:r>
        <w:separator/>
      </w:r>
    </w:p>
  </w:endnote>
  <w:endnote w:type="continuationSeparator" w:id="0">
    <w:p w:rsidR="009F08DB" w:rsidRDefault="009F08D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1810" w:rsidTr="00C018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050C4">
            <w:rPr>
              <w:noProof/>
            </w:rPr>
            <w:t>2</w:t>
          </w:r>
          <w:r>
            <w:fldChar w:fldCharType="end"/>
          </w:r>
          <w:r>
            <w:t>/</w:t>
          </w:r>
          <w:r w:rsidR="006050C4">
            <w:fldChar w:fldCharType="begin"/>
          </w:r>
          <w:r w:rsidR="006050C4">
            <w:instrText xml:space="preserve"> NUMPAGES  \* Arabic  \* MERGEFORMAT </w:instrText>
          </w:r>
          <w:r w:rsidR="006050C4">
            <w:fldChar w:fldCharType="separate"/>
          </w:r>
          <w:r w:rsidR="006050C4">
            <w:rPr>
              <w:noProof/>
            </w:rPr>
            <w:t>2</w:t>
          </w:r>
          <w:r w:rsidR="006050C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D775B">
            <w:rPr>
              <w:b w:val="0"/>
              <w:color w:val="000000"/>
              <w:sz w:val="14"/>
            </w:rPr>
            <w:t>GE. 15-11267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01810" w:rsidRPr="00C01810" w:rsidRDefault="00C01810" w:rsidP="00C01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1810" w:rsidTr="00C018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D775B">
            <w:rPr>
              <w:b w:val="0"/>
              <w:color w:val="000000"/>
              <w:sz w:val="14"/>
            </w:rPr>
            <w:t>GE. 15-11267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050C4">
            <w:rPr>
              <w:noProof/>
            </w:rPr>
            <w:t>3</w:t>
          </w:r>
          <w:r>
            <w:fldChar w:fldCharType="end"/>
          </w:r>
          <w:r>
            <w:t>/</w:t>
          </w:r>
          <w:r w:rsidR="006050C4">
            <w:fldChar w:fldCharType="begin"/>
          </w:r>
          <w:r w:rsidR="006050C4">
            <w:instrText xml:space="preserve"> NUMPAGES  \* Arabic  \* MERGEFORMAT </w:instrText>
          </w:r>
          <w:r w:rsidR="006050C4">
            <w:fldChar w:fldCharType="separate"/>
          </w:r>
          <w:r w:rsidR="006050C4">
            <w:rPr>
              <w:noProof/>
            </w:rPr>
            <w:t>3</w:t>
          </w:r>
          <w:r w:rsidR="006050C4">
            <w:rPr>
              <w:noProof/>
            </w:rPr>
            <w:fldChar w:fldCharType="end"/>
          </w:r>
        </w:p>
      </w:tc>
    </w:tr>
  </w:tbl>
  <w:p w:rsidR="00C01810" w:rsidRPr="00C01810" w:rsidRDefault="00C01810" w:rsidP="00C01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01810" w:rsidTr="00C01810">
      <w:tc>
        <w:tcPr>
          <w:tcW w:w="3873" w:type="dxa"/>
        </w:tcPr>
        <w:p w:rsidR="00C01810" w:rsidRDefault="00C01810" w:rsidP="00C0181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6152664" wp14:editId="346E973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GE.15-11267 (R)</w:t>
          </w:r>
          <w:r>
            <w:rPr>
              <w:color w:val="010000"/>
            </w:rPr>
            <w:t xml:space="preserve">    2</w:t>
          </w:r>
          <w:r w:rsidR="00761AE3">
            <w:rPr>
              <w:color w:val="010000"/>
            </w:rPr>
            <w:t>0</w:t>
          </w:r>
          <w:r>
            <w:rPr>
              <w:color w:val="010000"/>
            </w:rPr>
            <w:t>0715    210715</w:t>
          </w:r>
        </w:p>
        <w:p w:rsidR="00C01810" w:rsidRPr="00C01810" w:rsidRDefault="00C01810" w:rsidP="00C018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*1511267*</w:t>
          </w:r>
        </w:p>
      </w:tc>
      <w:tc>
        <w:tcPr>
          <w:tcW w:w="5127" w:type="dxa"/>
        </w:tcPr>
        <w:p w:rsidR="00C01810" w:rsidRDefault="00C01810" w:rsidP="00C018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1AB8DAB" wp14:editId="7D66A28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1810" w:rsidRPr="00C01810" w:rsidRDefault="00C01810" w:rsidP="00C018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B" w:rsidRPr="00761AE3" w:rsidRDefault="00761AE3" w:rsidP="00761AE3">
      <w:pPr>
        <w:pStyle w:val="Footer"/>
        <w:spacing w:after="80"/>
        <w:ind w:left="792"/>
        <w:rPr>
          <w:sz w:val="16"/>
        </w:rPr>
      </w:pPr>
      <w:r w:rsidRPr="00761AE3">
        <w:rPr>
          <w:sz w:val="16"/>
        </w:rPr>
        <w:t>__________________</w:t>
      </w:r>
    </w:p>
  </w:footnote>
  <w:footnote w:type="continuationSeparator" w:id="0">
    <w:p w:rsidR="009F08DB" w:rsidRPr="00761AE3" w:rsidRDefault="00761AE3" w:rsidP="00761AE3">
      <w:pPr>
        <w:pStyle w:val="Footer"/>
        <w:spacing w:after="80"/>
        <w:ind w:left="792"/>
        <w:rPr>
          <w:sz w:val="16"/>
        </w:rPr>
      </w:pPr>
      <w:r w:rsidRPr="00761AE3">
        <w:rPr>
          <w:sz w:val="16"/>
        </w:rPr>
        <w:t>__________________</w:t>
      </w:r>
    </w:p>
  </w:footnote>
  <w:footnote w:id="1">
    <w:p w:rsidR="00761AE3" w:rsidRPr="00761AE3" w:rsidRDefault="00761AE3" w:rsidP="00761AE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61AE3">
        <w:t xml:space="preserve">* </w:t>
      </w:r>
      <w:r w:rsidRPr="00761AE3">
        <w:tab/>
        <w:t xml:space="preserve">В соответствии с программой работы Комитета по внутреннему транспорту </w:t>
      </w:r>
      <w:r>
        <w:br/>
      </w:r>
      <w:r w:rsidRPr="00761AE3">
        <w:t>на 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1810" w:rsidTr="00C018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D775B">
            <w:rPr>
              <w:b/>
            </w:rPr>
            <w:t>ECE/TRANS/WP.29/GRRF/2015/33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1810" w:rsidRDefault="00C01810" w:rsidP="00C01810">
          <w:pPr>
            <w:pStyle w:val="Header"/>
          </w:pPr>
        </w:p>
      </w:tc>
    </w:tr>
  </w:tbl>
  <w:p w:rsidR="00C01810" w:rsidRPr="00C01810" w:rsidRDefault="00C01810" w:rsidP="00C0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1810" w:rsidTr="00C018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1810" w:rsidRDefault="00C01810" w:rsidP="00C018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01810" w:rsidRPr="00C01810" w:rsidRDefault="00C01810" w:rsidP="00C018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D775B">
            <w:rPr>
              <w:b/>
            </w:rPr>
            <w:t>ECE/TRANS/WP.29/GRRF/2015/33</w:t>
          </w:r>
          <w:r>
            <w:rPr>
              <w:b/>
            </w:rPr>
            <w:fldChar w:fldCharType="end"/>
          </w:r>
        </w:p>
      </w:tc>
    </w:tr>
  </w:tbl>
  <w:p w:rsidR="00C01810" w:rsidRPr="00C01810" w:rsidRDefault="00C01810" w:rsidP="00C01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01810" w:rsidTr="00C018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01810" w:rsidRPr="00C01810" w:rsidRDefault="00C01810" w:rsidP="00C018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01810" w:rsidRDefault="00C01810" w:rsidP="00C0181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01810" w:rsidRPr="00C01810" w:rsidRDefault="00C01810" w:rsidP="00C018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/TRANS/WP.29/GRRF/2015/33</w:t>
          </w:r>
        </w:p>
      </w:tc>
    </w:tr>
    <w:tr w:rsidR="00C01810" w:rsidRPr="006050C4" w:rsidTr="00C0181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810" w:rsidRPr="00C01810" w:rsidRDefault="00C01810" w:rsidP="00C018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2A5E7D" wp14:editId="0D77C03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810" w:rsidRPr="00C01810" w:rsidRDefault="00C01810" w:rsidP="00C0181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810" w:rsidRPr="00C01810" w:rsidRDefault="00C01810" w:rsidP="00C018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1810" w:rsidRPr="00761AE3" w:rsidRDefault="00C01810" w:rsidP="00C01810">
          <w:pPr>
            <w:pStyle w:val="Distribution"/>
            <w:rPr>
              <w:color w:val="000000"/>
              <w:lang w:val="en-US"/>
            </w:rPr>
          </w:pPr>
          <w:r w:rsidRPr="00761AE3">
            <w:rPr>
              <w:color w:val="000000"/>
              <w:lang w:val="en-US"/>
            </w:rPr>
            <w:t>Distr.: General</w:t>
          </w:r>
        </w:p>
        <w:p w:rsidR="00C01810" w:rsidRPr="00761AE3" w:rsidRDefault="00C01810" w:rsidP="00C01810">
          <w:pPr>
            <w:pStyle w:val="Publication"/>
            <w:rPr>
              <w:color w:val="000000"/>
              <w:lang w:val="en-US"/>
            </w:rPr>
          </w:pPr>
          <w:r w:rsidRPr="00761AE3">
            <w:rPr>
              <w:color w:val="000000"/>
              <w:lang w:val="en-US"/>
            </w:rPr>
            <w:t>3 July 2015</w:t>
          </w:r>
        </w:p>
        <w:p w:rsidR="00C01810" w:rsidRPr="00761AE3" w:rsidRDefault="00C01810" w:rsidP="00C01810">
          <w:pPr>
            <w:rPr>
              <w:color w:val="000000"/>
              <w:lang w:val="en-US"/>
            </w:rPr>
          </w:pPr>
          <w:r w:rsidRPr="00761AE3">
            <w:rPr>
              <w:color w:val="000000"/>
              <w:lang w:val="en-US"/>
            </w:rPr>
            <w:t>Russian</w:t>
          </w:r>
        </w:p>
        <w:p w:rsidR="00C01810" w:rsidRPr="00761AE3" w:rsidRDefault="00C01810" w:rsidP="00C01810">
          <w:pPr>
            <w:pStyle w:val="Original"/>
            <w:rPr>
              <w:color w:val="000000"/>
              <w:lang w:val="en-US"/>
            </w:rPr>
          </w:pPr>
          <w:r w:rsidRPr="00761AE3">
            <w:rPr>
              <w:color w:val="000000"/>
              <w:lang w:val="en-US"/>
            </w:rPr>
            <w:t>Original: English</w:t>
          </w:r>
        </w:p>
        <w:p w:rsidR="00C01810" w:rsidRPr="00761AE3" w:rsidRDefault="00C01810" w:rsidP="00C01810">
          <w:pPr>
            <w:rPr>
              <w:lang w:val="en-US"/>
            </w:rPr>
          </w:pPr>
        </w:p>
      </w:tc>
    </w:tr>
  </w:tbl>
  <w:p w:rsidR="00C01810" w:rsidRPr="00761AE3" w:rsidRDefault="00C01810" w:rsidP="00C018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67*"/>
    <w:docVar w:name="CreationDt" w:val="7/21/2015 8:33: AM"/>
    <w:docVar w:name="DocCategory" w:val="Doc"/>
    <w:docVar w:name="DocType" w:val="Final"/>
    <w:docVar w:name="DutyStation" w:val="Geneva"/>
    <w:docVar w:name="FooterJN" w:val="GE. 15-11267"/>
    <w:docVar w:name="jobn" w:val="GE. 15-11267 (R)"/>
    <w:docVar w:name="jobnDT" w:val="GE. 15-11267 (R)   210715"/>
    <w:docVar w:name="jobnDTDT" w:val="GE. 15-11267 (R)   210715   210715"/>
    <w:docVar w:name="JobNo" w:val="GE. 1511267R"/>
    <w:docVar w:name="JobNo2" w:val="1514648R"/>
    <w:docVar w:name="LocalDrive" w:val="0"/>
    <w:docVar w:name="OandT" w:val=" "/>
    <w:docVar w:name="PaperSize" w:val="A4"/>
    <w:docVar w:name="sss1" w:val="ECE/TRANS/WP.29/GRRF/2015/33"/>
    <w:docVar w:name="sss2" w:val="-"/>
    <w:docVar w:name="Symbol1" w:val="ECE/TRANS/WP.29/GRRF/2015/33"/>
    <w:docVar w:name="Symbol2" w:val="-"/>
  </w:docVars>
  <w:rsids>
    <w:rsidRoot w:val="009F08DB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1BB4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29B2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2AC9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D775B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0C4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61AE3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9F08DB"/>
    <w:rsid w:val="00A1426A"/>
    <w:rsid w:val="00A14F1D"/>
    <w:rsid w:val="00A1703F"/>
    <w:rsid w:val="00A2180A"/>
    <w:rsid w:val="00A22293"/>
    <w:rsid w:val="00A344D5"/>
    <w:rsid w:val="00A37593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1810"/>
    <w:rsid w:val="00C05FFF"/>
    <w:rsid w:val="00C16B93"/>
    <w:rsid w:val="00C2210E"/>
    <w:rsid w:val="00C2524E"/>
    <w:rsid w:val="00C316D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170B3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32F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01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01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F41A-7DBB-4E9D-A625-0089895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2015-07-21T06:49:00Z</cp:lastPrinted>
  <dcterms:created xsi:type="dcterms:W3CDTF">2015-08-10T11:55:00Z</dcterms:created>
  <dcterms:modified xsi:type="dcterms:W3CDTF">2015-08-10T11:55:00Z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1511267R</vt:lpwstr>
  </property>
  <property fmtid="{D5CDD505-2E9C-101B-9397-08002B2CF9AE}" pid="3" name="ODSRefJobNo">
    <vt:lpwstr>1514648R</vt:lpwstr>
  </property>
  <property fmtid="{D5CDD505-2E9C-101B-9397-08002B2CF9AE}" pid="4" name="Symbol1">
    <vt:lpwstr>ECE/TRANS/WP.29/GRRF/2015/33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