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E1" w:rsidRPr="00F11CB6" w:rsidRDefault="002D11E1" w:rsidP="002D11E1">
      <w:pPr>
        <w:spacing w:line="60" w:lineRule="exact"/>
        <w:rPr>
          <w:color w:val="010000"/>
          <w:sz w:val="6"/>
        </w:rPr>
        <w:sectPr w:rsidR="002D11E1" w:rsidRPr="00F11CB6" w:rsidSect="002D11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F11CB6">
        <w:rPr>
          <w:rStyle w:val="CommentReference"/>
        </w:rPr>
        <w:commentReference w:id="0"/>
      </w:r>
      <w:bookmarkStart w:id="1" w:name="_GoBack"/>
      <w:bookmarkEnd w:id="1"/>
    </w:p>
    <w:p w:rsidR="00F11CB6" w:rsidRPr="00F11CB6" w:rsidRDefault="00F11CB6" w:rsidP="00F11C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1CB6">
        <w:lastRenderedPageBreak/>
        <w:t>Европейская экономическая комиссия</w:t>
      </w:r>
    </w:p>
    <w:p w:rsidR="00F11CB6" w:rsidRPr="00F11CB6" w:rsidRDefault="00F11CB6" w:rsidP="00F11CB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F11CB6" w:rsidRPr="00F11CB6" w:rsidRDefault="00F11CB6" w:rsidP="00F11CB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F11CB6">
        <w:rPr>
          <w:sz w:val="28"/>
          <w:szCs w:val="28"/>
        </w:rPr>
        <w:t>Комитет по внутреннему транспорту</w:t>
      </w:r>
    </w:p>
    <w:p w:rsidR="00F11CB6" w:rsidRPr="00F11CB6" w:rsidRDefault="00F11CB6" w:rsidP="00F11CB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F11CB6" w:rsidRPr="00F11CB6" w:rsidRDefault="00F11CB6" w:rsidP="00F11CB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4"/>
          <w:szCs w:val="24"/>
        </w:rPr>
      </w:pPr>
      <w:r w:rsidRPr="00F11CB6">
        <w:rPr>
          <w:b/>
          <w:sz w:val="24"/>
          <w:szCs w:val="24"/>
        </w:rPr>
        <w:t xml:space="preserve">Всемирный форум для согласования правил </w:t>
      </w:r>
      <w:r w:rsidRPr="00F11CB6">
        <w:rPr>
          <w:b/>
          <w:sz w:val="24"/>
          <w:szCs w:val="24"/>
        </w:rPr>
        <w:br/>
        <w:t>в области транспортных средств</w:t>
      </w:r>
    </w:p>
    <w:p w:rsidR="00F11CB6" w:rsidRPr="00F11CB6" w:rsidRDefault="00F11CB6" w:rsidP="00F11CB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Cs/>
          <w:sz w:val="10"/>
        </w:rPr>
      </w:pPr>
    </w:p>
    <w:p w:rsidR="00F11CB6" w:rsidRPr="00F11CB6" w:rsidRDefault="00F11CB6" w:rsidP="00F11CB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F11CB6">
        <w:rPr>
          <w:b/>
          <w:bCs/>
        </w:rPr>
        <w:t xml:space="preserve">Рабочая группа по вопросам освещения </w:t>
      </w:r>
      <w:r w:rsidRPr="00F11CB6">
        <w:rPr>
          <w:b/>
          <w:bCs/>
        </w:rPr>
        <w:br/>
        <w:t>и световой сигнализации</w:t>
      </w:r>
    </w:p>
    <w:p w:rsidR="00F11CB6" w:rsidRPr="00F11CB6" w:rsidRDefault="00F11CB6" w:rsidP="00F11CB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F11CB6" w:rsidRPr="00F11CB6" w:rsidRDefault="00F11CB6" w:rsidP="00F11CB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F11CB6">
        <w:rPr>
          <w:b/>
        </w:rPr>
        <w:t>Семьдесят четвертая сессия</w:t>
      </w:r>
    </w:p>
    <w:p w:rsidR="00F11CB6" w:rsidRPr="00F11CB6" w:rsidRDefault="00F11CB6" w:rsidP="00F11CB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</w:rPr>
      </w:pPr>
      <w:r w:rsidRPr="00F11CB6">
        <w:t>Женева, 20–23 октября 2015 года</w:t>
      </w:r>
    </w:p>
    <w:p w:rsidR="00F11CB6" w:rsidRPr="00F11CB6" w:rsidRDefault="00F11CB6" w:rsidP="00F11CB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F11CB6">
        <w:rPr>
          <w:bCs/>
        </w:rPr>
        <w:t xml:space="preserve">Пункт 7 </w:t>
      </w:r>
      <w:r w:rsidRPr="00F11CB6">
        <w:rPr>
          <w:bCs/>
          <w:lang w:val="en-US"/>
        </w:rPr>
        <w:t>d</w:t>
      </w:r>
      <w:r w:rsidRPr="00F11CB6">
        <w:rPr>
          <w:bCs/>
        </w:rPr>
        <w:t>) предварительной повестки дня</w:t>
      </w:r>
      <w:r w:rsidRPr="00F11CB6">
        <w:rPr>
          <w:bCs/>
        </w:rPr>
        <w:br/>
      </w:r>
      <w:r w:rsidRPr="00F11CB6">
        <w:rPr>
          <w:b/>
          <w:bCs/>
        </w:rPr>
        <w:t xml:space="preserve">Другие правила − Правила № 53 </w:t>
      </w:r>
      <w:r w:rsidRPr="00F11CB6">
        <w:rPr>
          <w:b/>
          <w:bCs/>
        </w:rPr>
        <w:br/>
        <w:t xml:space="preserve">(установка устройств освещения </w:t>
      </w:r>
      <w:r w:rsidRPr="00F11CB6">
        <w:rPr>
          <w:b/>
          <w:bCs/>
        </w:rPr>
        <w:br/>
        <w:t xml:space="preserve">и световой сигнализации для </w:t>
      </w:r>
      <w:r w:rsidRPr="00F11CB6">
        <w:rPr>
          <w:b/>
          <w:bCs/>
        </w:rPr>
        <w:br/>
        <w:t>транспортных средств категории L</w:t>
      </w:r>
      <w:r w:rsidRPr="00F11CB6">
        <w:rPr>
          <w:b/>
          <w:bCs/>
          <w:vertAlign w:val="subscript"/>
        </w:rPr>
        <w:t>3</w:t>
      </w:r>
      <w:r w:rsidRPr="00F11CB6">
        <w:rPr>
          <w:b/>
          <w:bCs/>
        </w:rPr>
        <w:t>)</w:t>
      </w:r>
    </w:p>
    <w:p w:rsidR="00F11CB6" w:rsidRPr="00F11CB6" w:rsidRDefault="00F11CB6" w:rsidP="00F11CB6">
      <w:pPr>
        <w:pStyle w:val="SingleTxt"/>
        <w:spacing w:after="0" w:line="120" w:lineRule="exact"/>
        <w:rPr>
          <w:b/>
          <w:sz w:val="10"/>
        </w:rPr>
      </w:pPr>
    </w:p>
    <w:p w:rsidR="00F11CB6" w:rsidRPr="00F11CB6" w:rsidRDefault="00F11CB6" w:rsidP="00F11CB6">
      <w:pPr>
        <w:pStyle w:val="SingleTxt"/>
        <w:spacing w:after="0" w:line="120" w:lineRule="exact"/>
        <w:rPr>
          <w:b/>
          <w:sz w:val="10"/>
        </w:rPr>
      </w:pPr>
    </w:p>
    <w:p w:rsidR="00F11CB6" w:rsidRPr="00F11CB6" w:rsidRDefault="00F11CB6" w:rsidP="00F11CB6">
      <w:pPr>
        <w:pStyle w:val="SingleTxt"/>
        <w:spacing w:after="0" w:line="120" w:lineRule="exact"/>
        <w:rPr>
          <w:b/>
          <w:sz w:val="10"/>
        </w:rPr>
      </w:pPr>
    </w:p>
    <w:p w:rsidR="00F11CB6" w:rsidRPr="00F11CB6" w:rsidRDefault="00F11CB6" w:rsidP="00F11C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1CB6">
        <w:tab/>
      </w:r>
      <w:r w:rsidRPr="00F11CB6">
        <w:tab/>
        <w:t>Предложение по дополнению к поправкам серии 01 к</w:t>
      </w:r>
      <w:r>
        <w:rPr>
          <w:lang w:val="en-US"/>
        </w:rPr>
        <w:t> </w:t>
      </w:r>
      <w:r w:rsidRPr="00F11CB6">
        <w:t>Правилам № 53 (установка устройств освещения и</w:t>
      </w:r>
      <w:r>
        <w:rPr>
          <w:lang w:val="en-US"/>
        </w:rPr>
        <w:t> </w:t>
      </w:r>
      <w:r w:rsidRPr="00F11CB6">
        <w:t>световой сигнализации для транспортных средств категории L</w:t>
      </w:r>
      <w:r w:rsidRPr="00F11CB6">
        <w:rPr>
          <w:vertAlign w:val="subscript"/>
        </w:rPr>
        <w:t>3</w:t>
      </w:r>
      <w:r w:rsidRPr="00F11CB6">
        <w:t>)</w:t>
      </w:r>
    </w:p>
    <w:p w:rsidR="00F11CB6" w:rsidRPr="00F11CB6" w:rsidRDefault="00F11CB6" w:rsidP="00F11CB6">
      <w:pPr>
        <w:pStyle w:val="SingleTxt"/>
        <w:spacing w:after="0" w:line="120" w:lineRule="exact"/>
        <w:rPr>
          <w:b/>
          <w:sz w:val="10"/>
        </w:rPr>
      </w:pPr>
    </w:p>
    <w:p w:rsidR="00F11CB6" w:rsidRPr="00F11CB6" w:rsidRDefault="00F11CB6" w:rsidP="00F11CB6">
      <w:pPr>
        <w:pStyle w:val="SingleTxt"/>
        <w:spacing w:after="0" w:line="120" w:lineRule="exact"/>
        <w:rPr>
          <w:b/>
          <w:sz w:val="10"/>
        </w:rPr>
      </w:pPr>
    </w:p>
    <w:p w:rsidR="00F11CB6" w:rsidRPr="00F11CB6" w:rsidRDefault="00F11CB6" w:rsidP="00F11CB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1CB6">
        <w:tab/>
      </w:r>
      <w:r w:rsidRPr="00F11CB6">
        <w:tab/>
        <w:t>Представлено экспертами от Германии и Международной ассоциации заводов-изготовителей мотоциклов (МАЗМ)</w:t>
      </w:r>
      <w:r w:rsidRPr="00F11CB6">
        <w:rPr>
          <w:b w:val="0"/>
          <w:color w:val="943634" w:themeColor="accent2" w:themeShade="BF"/>
          <w:sz w:val="20"/>
        </w:rPr>
        <w:footnoteReference w:customMarkFollows="1" w:id="1"/>
        <w:t>*</w:t>
      </w:r>
    </w:p>
    <w:p w:rsidR="00F11CB6" w:rsidRPr="00F11CB6" w:rsidRDefault="00F11CB6" w:rsidP="00F11CB6">
      <w:pPr>
        <w:pStyle w:val="SingleTxt"/>
        <w:spacing w:after="0" w:line="120" w:lineRule="exact"/>
        <w:rPr>
          <w:sz w:val="10"/>
        </w:rPr>
      </w:pPr>
    </w:p>
    <w:p w:rsidR="00F11CB6" w:rsidRPr="00F11CB6" w:rsidRDefault="00F11CB6" w:rsidP="00F11CB6">
      <w:pPr>
        <w:pStyle w:val="SingleTxt"/>
        <w:spacing w:after="0" w:line="120" w:lineRule="exact"/>
        <w:rPr>
          <w:sz w:val="10"/>
        </w:rPr>
      </w:pPr>
    </w:p>
    <w:p w:rsidR="00F11CB6" w:rsidRPr="00F11CB6" w:rsidRDefault="00F11CB6" w:rsidP="00F11CB6">
      <w:pPr>
        <w:pStyle w:val="SingleTxt"/>
      </w:pPr>
      <w:r w:rsidRPr="00F11CB6">
        <w:tab/>
        <w:t>Воспроизведенный ниже текст был подготовлен экспертами от Германии и Международной ассоциации заводов-изготовителей мотоциклов (МАЗМ) для и</w:t>
      </w:r>
      <w:r w:rsidRPr="00F11CB6">
        <w:t>с</w:t>
      </w:r>
      <w:r w:rsidRPr="00F11CB6">
        <w:t>ключения из Правил № 53 ссылок на фары класса В, предусмотренные в Прав</w:t>
      </w:r>
      <w:r w:rsidRPr="00F11CB6">
        <w:t>и</w:t>
      </w:r>
      <w:r w:rsidRPr="00F11CB6">
        <w:t>лах № 113. Этот документ основан на предложении эксперта от Германии (</w:t>
      </w:r>
      <w:r w:rsidRPr="00F11CB6">
        <w:rPr>
          <w:lang w:val="en-US"/>
        </w:rPr>
        <w:t>ECE</w:t>
      </w:r>
      <w:r w:rsidRPr="00F11CB6">
        <w:t>/</w:t>
      </w:r>
      <w:r w:rsidR="00194BC2">
        <w:br/>
      </w:r>
      <w:r w:rsidRPr="00F11CB6">
        <w:rPr>
          <w:lang w:val="en-US"/>
        </w:rPr>
        <w:t>TRANS</w:t>
      </w:r>
      <w:r w:rsidRPr="00F11CB6">
        <w:t>/</w:t>
      </w:r>
      <w:r w:rsidRPr="00F11CB6">
        <w:rPr>
          <w:lang w:val="en-US"/>
        </w:rPr>
        <w:t>WP</w:t>
      </w:r>
      <w:r w:rsidRPr="00F11CB6">
        <w:t>.29/</w:t>
      </w:r>
      <w:r w:rsidRPr="00F11CB6">
        <w:rPr>
          <w:lang w:val="en-US"/>
        </w:rPr>
        <w:t>GRE</w:t>
      </w:r>
      <w:r w:rsidRPr="00F11CB6">
        <w:t xml:space="preserve">/2014/32) и на комментариях, высказанных экспертами в ходе семьдесят первой и семьдесят второй сессий </w:t>
      </w:r>
      <w:r w:rsidRPr="00F11CB6">
        <w:rPr>
          <w:lang w:val="en-US"/>
        </w:rPr>
        <w:t>GRE</w:t>
      </w:r>
      <w:r w:rsidRPr="00F11CB6">
        <w:t>. Изменения к существующему тексту Правил выделены жирным шрифтом (новые положения), а текст, подл</w:t>
      </w:r>
      <w:r w:rsidRPr="00F11CB6">
        <w:t>е</w:t>
      </w:r>
      <w:r w:rsidRPr="00F11CB6">
        <w:t>жащий исключению, − зачеркнут.</w:t>
      </w:r>
    </w:p>
    <w:p w:rsidR="00194BC2" w:rsidRPr="00194BC2" w:rsidRDefault="00F11CB6" w:rsidP="00194BC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 w:rsidRPr="00F11CB6">
        <w:br w:type="page"/>
      </w:r>
      <w:r w:rsidRPr="00F11CB6">
        <w:lastRenderedPageBreak/>
        <w:tab/>
      </w:r>
    </w:p>
    <w:p w:rsidR="00F11CB6" w:rsidRPr="00F11CB6" w:rsidRDefault="00194BC2" w:rsidP="00F11C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11CB6" w:rsidRPr="00F11CB6">
        <w:t>I.</w:t>
      </w:r>
      <w:r w:rsidR="00F11CB6" w:rsidRPr="00F11CB6">
        <w:tab/>
        <w:t>Предложение</w:t>
      </w:r>
    </w:p>
    <w:p w:rsidR="00F11CB6" w:rsidRPr="00F11CB6" w:rsidRDefault="00F11CB6" w:rsidP="00F11CB6">
      <w:pPr>
        <w:pStyle w:val="SingleTxt"/>
        <w:spacing w:after="0" w:line="120" w:lineRule="exact"/>
        <w:rPr>
          <w:i/>
          <w:sz w:val="10"/>
        </w:rPr>
      </w:pPr>
    </w:p>
    <w:p w:rsidR="00F11CB6" w:rsidRPr="00F11CB6" w:rsidRDefault="00F11CB6" w:rsidP="00F11CB6">
      <w:pPr>
        <w:pStyle w:val="SingleTxt"/>
        <w:spacing w:after="0" w:line="120" w:lineRule="exact"/>
        <w:rPr>
          <w:i/>
          <w:sz w:val="10"/>
        </w:rPr>
      </w:pPr>
    </w:p>
    <w:p w:rsidR="00F11CB6" w:rsidRPr="00F11CB6" w:rsidRDefault="00F11CB6" w:rsidP="00F11CB6">
      <w:pPr>
        <w:pStyle w:val="SingleTxt"/>
      </w:pPr>
      <w:r w:rsidRPr="00F11CB6">
        <w:rPr>
          <w:i/>
        </w:rPr>
        <w:t xml:space="preserve">Пункты 6.1.1−6.1.1.2 </w:t>
      </w:r>
      <w:r w:rsidRPr="00F11CB6">
        <w:t>изменить следующим образом:</w:t>
      </w:r>
    </w:p>
    <w:p w:rsidR="00F11CB6" w:rsidRPr="00F11CB6" w:rsidRDefault="00F11CB6" w:rsidP="00F11CB6">
      <w:pPr>
        <w:pStyle w:val="SingleTxt"/>
      </w:pPr>
      <w:r>
        <w:t>«6.1.1</w:t>
      </w:r>
      <w:r>
        <w:tab/>
      </w:r>
      <w:r w:rsidRPr="00F11CB6">
        <w:t>Число:</w:t>
      </w:r>
    </w:p>
    <w:p w:rsidR="00F11CB6" w:rsidRPr="00F11CB6" w:rsidRDefault="00F11CB6" w:rsidP="00F11CB6">
      <w:pPr>
        <w:pStyle w:val="SingleTxt"/>
      </w:pPr>
      <w:r w:rsidRPr="00F11CB6">
        <w:t>6.1.1.1</w:t>
      </w:r>
      <w:r w:rsidRPr="00F11CB6">
        <w:tab/>
        <w:t>Для мотоциклов с объемом цилиндров ≤125 см</w:t>
      </w:r>
      <w:r w:rsidRPr="00F11CB6">
        <w:rPr>
          <w:vertAlign w:val="superscript"/>
        </w:rPr>
        <w:t>3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Одна или две официально утвержденного типа в соответствии с: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a)</w:t>
      </w:r>
      <w:r w:rsidRPr="00F11CB6">
        <w:tab/>
        <w:t xml:space="preserve">классом </w:t>
      </w:r>
      <w:r w:rsidRPr="00FE30E3">
        <w:rPr>
          <w:bCs/>
          <w:strike/>
        </w:rPr>
        <w:t>B,</w:t>
      </w:r>
      <w:r w:rsidRPr="00F11CB6">
        <w:rPr>
          <w:b/>
        </w:rPr>
        <w:t xml:space="preserve"> </w:t>
      </w:r>
      <w:r w:rsidRPr="00F11CB6">
        <w:t>C, D или Е, предусмотренным Правилами № 113;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b)</w:t>
      </w:r>
      <w:r w:rsidRPr="00F11CB6">
        <w:tab/>
        <w:t xml:space="preserve">Правилами № 112; 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c)</w:t>
      </w:r>
      <w:r w:rsidRPr="00F11CB6">
        <w:tab/>
        <w:t>Правилами № 1;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d)</w:t>
      </w:r>
      <w:r w:rsidRPr="00F11CB6">
        <w:tab/>
        <w:t>Правилами № 8;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e)</w:t>
      </w:r>
      <w:r w:rsidRPr="00F11CB6">
        <w:tab/>
        <w:t>Правилами № 20;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f)</w:t>
      </w:r>
      <w:r w:rsidRPr="00F11CB6">
        <w:tab/>
        <w:t>Правилами № 57;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g)</w:t>
      </w:r>
      <w:r w:rsidRPr="00F11CB6">
        <w:tab/>
        <w:t>Правилами № 72;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h)</w:t>
      </w:r>
      <w:r w:rsidRPr="00F11CB6">
        <w:tab/>
        <w:t>Правилами № 98.</w:t>
      </w:r>
    </w:p>
    <w:p w:rsidR="00F11CB6" w:rsidRPr="00F11CB6" w:rsidRDefault="00F11CB6" w:rsidP="00F11CB6">
      <w:pPr>
        <w:pStyle w:val="SingleTxt"/>
      </w:pPr>
      <w:r w:rsidRPr="00F11CB6">
        <w:t>6.1.1.2</w:t>
      </w:r>
      <w:r w:rsidRPr="00F11CB6">
        <w:tab/>
        <w:t>Для мотоциклов с объемом цилиндров &gt;125 см</w:t>
      </w:r>
      <w:r w:rsidRPr="00F11CB6">
        <w:rPr>
          <w:vertAlign w:val="superscript"/>
        </w:rPr>
        <w:t>3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Одна или две официально утвержденного типа в соответствии с: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a)</w:t>
      </w:r>
      <w:r w:rsidRPr="00F11CB6">
        <w:tab/>
        <w:t xml:space="preserve">классом </w:t>
      </w:r>
      <w:r w:rsidRPr="00194BC2">
        <w:rPr>
          <w:bCs/>
          <w:strike/>
        </w:rPr>
        <w:t>B,</w:t>
      </w:r>
      <w:r w:rsidRPr="00F11CB6">
        <w:t xml:space="preserve"> D или Е, предусмотренным Правилами № 113;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b)</w:t>
      </w:r>
      <w:r w:rsidRPr="00F11CB6">
        <w:tab/>
        <w:t xml:space="preserve">Правилами № 112; 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c)</w:t>
      </w:r>
      <w:r w:rsidRPr="00F11CB6">
        <w:tab/>
        <w:t>Правилами № 1;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d)</w:t>
      </w:r>
      <w:r w:rsidRPr="00F11CB6">
        <w:tab/>
        <w:t>Правилами № 8;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e)</w:t>
      </w:r>
      <w:r w:rsidRPr="00F11CB6">
        <w:tab/>
        <w:t>Правилами № 20;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f)</w:t>
      </w:r>
      <w:r w:rsidRPr="00F11CB6">
        <w:tab/>
        <w:t>Правилами № 72.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</w:r>
      <w:r w:rsidRPr="00F11CB6">
        <w:rPr>
          <w:lang w:val="en-US"/>
        </w:rPr>
        <w:t>g</w:t>
      </w:r>
      <w:r w:rsidRPr="00F11CB6">
        <w:t>)</w:t>
      </w:r>
      <w:r w:rsidRPr="00F11CB6">
        <w:tab/>
        <w:t>Правилами № 98.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Две официально утвержденного типа в соответствии с: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h)</w:t>
      </w:r>
      <w:r w:rsidRPr="00F11CB6">
        <w:tab/>
        <w:t>классом C, предусмотренным Правилами № 113</w:t>
      </w:r>
      <w:r>
        <w:t>»</w:t>
      </w:r>
      <w:r w:rsidRPr="00F11CB6">
        <w:t>.</w:t>
      </w:r>
    </w:p>
    <w:p w:rsidR="00F11CB6" w:rsidRPr="00F11CB6" w:rsidRDefault="00F11CB6" w:rsidP="00F11CB6">
      <w:pPr>
        <w:pStyle w:val="SingleTxt"/>
        <w:rPr>
          <w:i/>
          <w:iCs/>
        </w:rPr>
      </w:pPr>
      <w:r w:rsidRPr="00F11CB6">
        <w:rPr>
          <w:i/>
        </w:rPr>
        <w:t xml:space="preserve">Пункты 6.2.1−6.2.1.2 </w:t>
      </w:r>
      <w:r w:rsidRPr="00194BC2">
        <w:t>изменить следующим образом:</w:t>
      </w:r>
    </w:p>
    <w:p w:rsidR="00F11CB6" w:rsidRPr="00F11CB6" w:rsidRDefault="00F11CB6" w:rsidP="00F11CB6">
      <w:pPr>
        <w:pStyle w:val="SingleTxt"/>
      </w:pPr>
      <w:r>
        <w:t>«6.2.1</w:t>
      </w:r>
      <w:r>
        <w:tab/>
      </w:r>
      <w:r w:rsidRPr="00F11CB6">
        <w:t>Число:</w:t>
      </w:r>
    </w:p>
    <w:p w:rsidR="00F11CB6" w:rsidRPr="00F11CB6" w:rsidRDefault="00F11CB6" w:rsidP="00F11CB6">
      <w:pPr>
        <w:pStyle w:val="SingleTxt"/>
      </w:pPr>
      <w:r w:rsidRPr="00F11CB6">
        <w:t>6.2.1.1</w:t>
      </w:r>
      <w:r w:rsidRPr="00F11CB6">
        <w:tab/>
        <w:t>Для мотоциклов с объемом цилиндров ≤125 см</w:t>
      </w:r>
      <w:r w:rsidRPr="00F11CB6">
        <w:rPr>
          <w:vertAlign w:val="superscript"/>
        </w:rPr>
        <w:t>3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Одна или две официально утвержденного типа в соответствии с: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а)</w:t>
      </w:r>
      <w:r w:rsidRPr="00F11CB6">
        <w:tab/>
        <w:t xml:space="preserve">классом </w:t>
      </w:r>
      <w:r w:rsidRPr="00194BC2">
        <w:rPr>
          <w:bCs/>
          <w:strike/>
        </w:rPr>
        <w:t>B,</w:t>
      </w:r>
      <w:r w:rsidRPr="00F11CB6">
        <w:t xml:space="preserve"> С, D или Е, предусмотренным Правилами № 113;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b)</w:t>
      </w:r>
      <w:r w:rsidRPr="00F11CB6">
        <w:tab/>
        <w:t>Правилами № 112;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с)</w:t>
      </w:r>
      <w:r w:rsidRPr="00F11CB6">
        <w:tab/>
        <w:t>Правилами № 1;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d)</w:t>
      </w:r>
      <w:r w:rsidRPr="00F11CB6">
        <w:tab/>
        <w:t>Правилами № 8;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е)</w:t>
      </w:r>
      <w:r w:rsidRPr="00F11CB6">
        <w:tab/>
        <w:t>Правилами № 20;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f)</w:t>
      </w:r>
      <w:r w:rsidRPr="00F11CB6">
        <w:tab/>
        <w:t>Правилами № 57;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g)</w:t>
      </w:r>
      <w:r w:rsidRPr="00F11CB6">
        <w:tab/>
        <w:t>Правилами № 72.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h)</w:t>
      </w:r>
      <w:r w:rsidRPr="00F11CB6">
        <w:tab/>
        <w:t>Правилами № 98.</w:t>
      </w:r>
    </w:p>
    <w:p w:rsidR="00F11CB6" w:rsidRPr="00F11CB6" w:rsidRDefault="00F11CB6" w:rsidP="00F11CB6">
      <w:pPr>
        <w:pStyle w:val="SingleTxt"/>
      </w:pPr>
      <w:r w:rsidRPr="00F11CB6">
        <w:lastRenderedPageBreak/>
        <w:t>6.2.1.2</w:t>
      </w:r>
      <w:r w:rsidRPr="00F11CB6">
        <w:tab/>
        <w:t>Для мотоциклов с объемом цилиндров &gt;125 см</w:t>
      </w:r>
      <w:r w:rsidRPr="00F11CB6">
        <w:rPr>
          <w:vertAlign w:val="superscript"/>
        </w:rPr>
        <w:t>3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Одна или две официально утвержденного типа в соответствии с: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а)</w:t>
      </w:r>
      <w:r w:rsidRPr="00F11CB6">
        <w:tab/>
        <w:t xml:space="preserve">классом </w:t>
      </w:r>
      <w:r w:rsidRPr="00194BC2">
        <w:rPr>
          <w:bCs/>
          <w:strike/>
        </w:rPr>
        <w:t>B,</w:t>
      </w:r>
      <w:r w:rsidRPr="00F11CB6">
        <w:t xml:space="preserve"> D или Е, предусмотренным Правилами № 113;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b)</w:t>
      </w:r>
      <w:r w:rsidRPr="00F11CB6">
        <w:tab/>
        <w:t>Правилами № 112;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с)</w:t>
      </w:r>
      <w:r w:rsidRPr="00F11CB6">
        <w:tab/>
        <w:t>Правилами № 1;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d)</w:t>
      </w:r>
      <w:r w:rsidRPr="00F11CB6">
        <w:tab/>
        <w:t>Правилами № 8;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е)</w:t>
      </w:r>
      <w:r w:rsidRPr="00F11CB6">
        <w:tab/>
        <w:t>Правилами № 20;</w:t>
      </w:r>
    </w:p>
    <w:p w:rsidR="00F11CB6" w:rsidRPr="00962812" w:rsidRDefault="00F11CB6" w:rsidP="00F11CB6">
      <w:pPr>
        <w:pStyle w:val="SingleTxt"/>
        <w:rPr>
          <w:lang w:val="en-US"/>
        </w:rPr>
      </w:pPr>
      <w:r w:rsidRPr="00F11CB6">
        <w:tab/>
      </w:r>
      <w:r w:rsidRPr="00F11CB6">
        <w:tab/>
        <w:t>f)</w:t>
      </w:r>
      <w:r w:rsidRPr="00F11CB6">
        <w:tab/>
        <w:t>Правилами № 72.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</w:r>
      <w:r w:rsidRPr="00F11CB6">
        <w:rPr>
          <w:lang w:val="en-US"/>
        </w:rPr>
        <w:t>g</w:t>
      </w:r>
      <w:r w:rsidRPr="00F11CB6">
        <w:t>)</w:t>
      </w:r>
      <w:r w:rsidRPr="00F11CB6">
        <w:tab/>
        <w:t>Правилами № 98.</w:t>
      </w:r>
    </w:p>
    <w:p w:rsidR="00F11CB6" w:rsidRPr="00F11CB6" w:rsidRDefault="00F11CB6" w:rsidP="00F11CB6">
      <w:pPr>
        <w:pStyle w:val="SingleTxt"/>
      </w:pPr>
      <w:r w:rsidRPr="00F11CB6">
        <w:tab/>
      </w:r>
      <w:r w:rsidRPr="00F11CB6">
        <w:tab/>
        <w:t>Две официально утвержденного типа в соответствии с:</w:t>
      </w:r>
    </w:p>
    <w:p w:rsidR="00F11CB6" w:rsidRPr="00F11CB6" w:rsidRDefault="00F11CB6" w:rsidP="00962812">
      <w:pPr>
        <w:pStyle w:val="SingleTxt"/>
        <w:tabs>
          <w:tab w:val="clear" w:pos="1267"/>
          <w:tab w:val="clear" w:pos="2218"/>
          <w:tab w:val="clear" w:pos="2693"/>
          <w:tab w:val="left" w:pos="2700"/>
        </w:tabs>
        <w:ind w:left="2214" w:hanging="954"/>
      </w:pPr>
      <w:r w:rsidRPr="00F11CB6">
        <w:tab/>
      </w:r>
      <w:r w:rsidRPr="00F11CB6">
        <w:tab/>
      </w:r>
      <w:r w:rsidRPr="00F11CB6">
        <w:rPr>
          <w:lang w:val="en-US"/>
        </w:rPr>
        <w:t>h</w:t>
      </w:r>
      <w:r w:rsidRPr="00F11CB6">
        <w:t>)</w:t>
      </w:r>
      <w:r w:rsidRPr="00F11CB6">
        <w:tab/>
        <w:t xml:space="preserve">классом С, предусмотренным </w:t>
      </w:r>
      <w:r w:rsidRPr="00FE30E3">
        <w:rPr>
          <w:strike/>
        </w:rPr>
        <w:t>проектом Правил</w:t>
      </w:r>
      <w:r w:rsidRPr="00F11CB6">
        <w:t xml:space="preserve"> Правила-</w:t>
      </w:r>
      <w:r w:rsidR="00962812" w:rsidRPr="00962812">
        <w:tab/>
      </w:r>
      <w:r w:rsidRPr="00F11CB6">
        <w:t>ми</w:t>
      </w:r>
      <w:r w:rsidRPr="00F11CB6">
        <w:rPr>
          <w:lang w:val="en-US"/>
        </w:rPr>
        <w:t> </w:t>
      </w:r>
      <w:r w:rsidRPr="00F11CB6">
        <w:t>№</w:t>
      </w:r>
      <w:r>
        <w:t> </w:t>
      </w:r>
      <w:r w:rsidRPr="00F11CB6">
        <w:t>113</w:t>
      </w:r>
      <w:r>
        <w:t>»</w:t>
      </w:r>
      <w:r w:rsidRPr="00F11CB6">
        <w:t>.</w:t>
      </w:r>
    </w:p>
    <w:p w:rsidR="00F11CB6" w:rsidRPr="00F11CB6" w:rsidRDefault="00F11CB6" w:rsidP="00F11CB6">
      <w:pPr>
        <w:pStyle w:val="SingleTxt"/>
      </w:pPr>
      <w:r w:rsidRPr="00F11CB6">
        <w:rPr>
          <w:i/>
          <w:iCs/>
        </w:rPr>
        <w:t>Включить новые пункты 11.4−11.6</w:t>
      </w:r>
      <w:r w:rsidRPr="00F11CB6">
        <w:t xml:space="preserve"> следующего содержания: </w:t>
      </w:r>
    </w:p>
    <w:p w:rsidR="00F11CB6" w:rsidRPr="00F11CB6" w:rsidRDefault="00F11CB6" w:rsidP="00F11CB6">
      <w:pPr>
        <w:pStyle w:val="SingleTxt"/>
        <w:tabs>
          <w:tab w:val="clear" w:pos="1267"/>
        </w:tabs>
        <w:ind w:left="2214" w:hanging="954"/>
        <w:rPr>
          <w:b/>
        </w:rPr>
      </w:pPr>
      <w:r w:rsidRPr="00F11CB6">
        <w:t>«</w:t>
      </w:r>
      <w:r w:rsidRPr="00F11CB6">
        <w:rPr>
          <w:b/>
        </w:rPr>
        <w:t>11.4</w:t>
      </w:r>
      <w:r w:rsidRPr="00F11CB6">
        <w:rPr>
          <w:b/>
        </w:rPr>
        <w:tab/>
      </w:r>
      <w:r>
        <w:rPr>
          <w:b/>
        </w:rPr>
        <w:tab/>
      </w:r>
      <w:r w:rsidRPr="00F11CB6">
        <w:rPr>
          <w:b/>
        </w:rPr>
        <w:t>Начиная с официальной даты вступления в силу дополнения [ХХ] к поправкам серии 01 ни одна из Договаривающихся сторон, пр</w:t>
      </w:r>
      <w:r w:rsidRPr="00F11CB6">
        <w:rPr>
          <w:b/>
        </w:rPr>
        <w:t>и</w:t>
      </w:r>
      <w:r w:rsidRPr="00F11CB6">
        <w:rPr>
          <w:b/>
        </w:rPr>
        <w:t>меняющих настоящие Правила, не отказывает в предоставлении официальных утверждений на основании настоящих Правил с п</w:t>
      </w:r>
      <w:r w:rsidRPr="00F11CB6">
        <w:rPr>
          <w:b/>
        </w:rPr>
        <w:t>о</w:t>
      </w:r>
      <w:r w:rsidRPr="00F11CB6">
        <w:rPr>
          <w:b/>
        </w:rPr>
        <w:t>правками, внесенными в соответствии с дополнением [ХХ] к п</w:t>
      </w:r>
      <w:r w:rsidRPr="00F11CB6">
        <w:rPr>
          <w:b/>
        </w:rPr>
        <w:t>о</w:t>
      </w:r>
      <w:r w:rsidRPr="00F11CB6">
        <w:rPr>
          <w:b/>
        </w:rPr>
        <w:t>правкам серии 01.</w:t>
      </w:r>
    </w:p>
    <w:p w:rsidR="00F11CB6" w:rsidRPr="00F11CB6" w:rsidRDefault="00F11CB6" w:rsidP="00F11CB6">
      <w:pPr>
        <w:pStyle w:val="SingleTxt"/>
        <w:tabs>
          <w:tab w:val="clear" w:pos="1267"/>
        </w:tabs>
        <w:ind w:left="2214" w:hanging="954"/>
        <w:rPr>
          <w:bCs/>
        </w:rPr>
      </w:pPr>
      <w:r w:rsidRPr="00F11CB6">
        <w:rPr>
          <w:b/>
        </w:rPr>
        <w:t>11</w:t>
      </w:r>
      <w:r w:rsidRPr="00F11CB6">
        <w:rPr>
          <w:bCs/>
        </w:rPr>
        <w:t>.</w:t>
      </w:r>
      <w:r w:rsidRPr="00F11CB6">
        <w:rPr>
          <w:b/>
        </w:rPr>
        <w:t>5</w:t>
      </w:r>
      <w:r w:rsidRPr="00F11CB6">
        <w:rPr>
          <w:b/>
        </w:rPr>
        <w:tab/>
      </w:r>
      <w:r>
        <w:rPr>
          <w:b/>
        </w:rPr>
        <w:tab/>
      </w:r>
      <w:r w:rsidRPr="00F11CB6">
        <w:rPr>
          <w:b/>
        </w:rPr>
        <w:t>По истечении 48 месяцев с даты вступления в силу, упомянутой в пункте 11.4 выше, Договаривающиеся стороны, применяющие настоящие Правила, предоставляют официальные утверждения только в том случае, если в отношении числа и схемы установки устройств освещения и световой сигнализации данный тип тран</w:t>
      </w:r>
      <w:r w:rsidRPr="00F11CB6">
        <w:rPr>
          <w:b/>
        </w:rPr>
        <w:t>с</w:t>
      </w:r>
      <w:r w:rsidRPr="00F11CB6">
        <w:rPr>
          <w:b/>
        </w:rPr>
        <w:t>портного средства соответствует требованиям дополнения [ХХ] к поправкам серии 01 к настоящим Правилам.</w:t>
      </w:r>
    </w:p>
    <w:p w:rsidR="00F11CB6" w:rsidRPr="00F11CB6" w:rsidRDefault="00F11CB6" w:rsidP="00F11CB6">
      <w:pPr>
        <w:pStyle w:val="SingleTxt"/>
        <w:tabs>
          <w:tab w:val="clear" w:pos="1267"/>
        </w:tabs>
        <w:ind w:left="2214" w:hanging="954"/>
        <w:rPr>
          <w:b/>
        </w:rPr>
      </w:pPr>
      <w:r w:rsidRPr="00F11CB6">
        <w:rPr>
          <w:b/>
        </w:rPr>
        <w:t>11.6</w:t>
      </w:r>
      <w:r w:rsidRPr="00F11CB6">
        <w:rPr>
          <w:b/>
        </w:rPr>
        <w:tab/>
      </w:r>
      <w:r>
        <w:rPr>
          <w:b/>
        </w:rPr>
        <w:tab/>
      </w:r>
      <w:r w:rsidRPr="00F11CB6">
        <w:rPr>
          <w:b/>
        </w:rPr>
        <w:t>Существующие официальные утверждения, предоставленные в с</w:t>
      </w:r>
      <w:r w:rsidRPr="00F11CB6">
        <w:rPr>
          <w:b/>
        </w:rPr>
        <w:t>о</w:t>
      </w:r>
      <w:r w:rsidRPr="00F11CB6">
        <w:rPr>
          <w:b/>
        </w:rPr>
        <w:t>ответствии с настоящими Правилами до даты, упомянутой в пункте 11.5 выше, остаются в силе</w:t>
      </w:r>
      <w:r w:rsidR="0067632F">
        <w:t>»</w:t>
      </w:r>
      <w:r w:rsidRPr="0067632F">
        <w:t>.</w:t>
      </w:r>
    </w:p>
    <w:p w:rsidR="0067632F" w:rsidRPr="0067632F" w:rsidRDefault="0067632F" w:rsidP="0067632F">
      <w:pPr>
        <w:pStyle w:val="SingleTxt"/>
        <w:spacing w:after="0" w:line="120" w:lineRule="exact"/>
        <w:rPr>
          <w:b/>
          <w:sz w:val="10"/>
        </w:rPr>
      </w:pPr>
    </w:p>
    <w:p w:rsidR="0067632F" w:rsidRPr="0067632F" w:rsidRDefault="0067632F" w:rsidP="0067632F">
      <w:pPr>
        <w:pStyle w:val="SingleTxt"/>
        <w:spacing w:after="0" w:line="120" w:lineRule="exact"/>
        <w:rPr>
          <w:b/>
          <w:sz w:val="10"/>
        </w:rPr>
      </w:pPr>
    </w:p>
    <w:p w:rsidR="00F11CB6" w:rsidRPr="00F11CB6" w:rsidRDefault="00F11CB6" w:rsidP="0067632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1CB6">
        <w:tab/>
      </w:r>
      <w:r w:rsidRPr="00F11CB6">
        <w:rPr>
          <w:lang w:val="en-US"/>
        </w:rPr>
        <w:t>II</w:t>
      </w:r>
      <w:r w:rsidRPr="00F11CB6">
        <w:t>.</w:t>
      </w:r>
      <w:r w:rsidRPr="00F11CB6">
        <w:tab/>
        <w:t>Обоснование</w:t>
      </w:r>
    </w:p>
    <w:p w:rsidR="0067632F" w:rsidRPr="0067632F" w:rsidRDefault="0067632F" w:rsidP="0067632F">
      <w:pPr>
        <w:pStyle w:val="SingleTxt"/>
        <w:spacing w:after="0" w:line="120" w:lineRule="exact"/>
        <w:rPr>
          <w:sz w:val="10"/>
        </w:rPr>
      </w:pPr>
    </w:p>
    <w:p w:rsidR="0067632F" w:rsidRPr="0067632F" w:rsidRDefault="0067632F" w:rsidP="0067632F">
      <w:pPr>
        <w:pStyle w:val="SingleTxt"/>
        <w:spacing w:after="0" w:line="120" w:lineRule="exact"/>
        <w:rPr>
          <w:sz w:val="10"/>
        </w:rPr>
      </w:pPr>
    </w:p>
    <w:p w:rsidR="00F11CB6" w:rsidRPr="00F11CB6" w:rsidRDefault="00F11CB6" w:rsidP="00F11CB6">
      <w:pPr>
        <w:pStyle w:val="SingleTxt"/>
      </w:pPr>
      <w:r w:rsidRPr="00F11CB6">
        <w:t>1.</w:t>
      </w:r>
      <w:r w:rsidRPr="00F11CB6">
        <w:tab/>
        <w:t>В ходе семьдесят первой сессии GRE эксперт от Италии представил пре</w:t>
      </w:r>
      <w:r w:rsidRPr="00F11CB6">
        <w:t>д</w:t>
      </w:r>
      <w:r w:rsidRPr="00F11CB6">
        <w:t xml:space="preserve">ложение об исключении ссылок на </w:t>
      </w:r>
      <w:r w:rsidR="0067632F">
        <w:t>«</w:t>
      </w:r>
      <w:r w:rsidRPr="00F11CB6">
        <w:t>законсервированные</w:t>
      </w:r>
      <w:r w:rsidR="0067632F">
        <w:t>»</w:t>
      </w:r>
      <w:r w:rsidRPr="00F11CB6">
        <w:t xml:space="preserve"> правила (</w:t>
      </w:r>
      <w:r w:rsidRPr="00F11CB6">
        <w:rPr>
          <w:lang w:val="en-US"/>
        </w:rPr>
        <w:t>ECE</w:t>
      </w:r>
      <w:r w:rsidRPr="00F11CB6">
        <w:t>/</w:t>
      </w:r>
      <w:r w:rsidRPr="00F11CB6">
        <w:rPr>
          <w:lang w:val="en-US"/>
        </w:rPr>
        <w:t>TRANS</w:t>
      </w:r>
      <w:r w:rsidRPr="00F11CB6">
        <w:t>/</w:t>
      </w:r>
      <w:r w:rsidR="0067632F">
        <w:br/>
      </w:r>
      <w:r w:rsidRPr="00F11CB6">
        <w:rPr>
          <w:lang w:val="en-US"/>
        </w:rPr>
        <w:t>WP</w:t>
      </w:r>
      <w:r w:rsidRPr="00F11CB6">
        <w:t>.29/</w:t>
      </w:r>
      <w:r w:rsidRPr="00F11CB6">
        <w:rPr>
          <w:lang w:val="en-US"/>
        </w:rPr>
        <w:t>GRE</w:t>
      </w:r>
      <w:r w:rsidRPr="00F11CB6">
        <w:t>/2013/43/</w:t>
      </w:r>
      <w:r w:rsidRPr="00F11CB6">
        <w:rPr>
          <w:lang w:val="en-US"/>
        </w:rPr>
        <w:t>Rev</w:t>
      </w:r>
      <w:r w:rsidR="00F37208">
        <w:t>.</w:t>
      </w:r>
      <w:r w:rsidRPr="00F11CB6">
        <w:t>1).</w:t>
      </w:r>
    </w:p>
    <w:p w:rsidR="00F11CB6" w:rsidRPr="00F11CB6" w:rsidRDefault="00F11CB6" w:rsidP="00F11CB6">
      <w:pPr>
        <w:pStyle w:val="SingleTxt"/>
      </w:pPr>
      <w:r w:rsidRPr="00F11CB6">
        <w:t>2.</w:t>
      </w:r>
      <w:r w:rsidRPr="00F11CB6">
        <w:tab/>
        <w:t>Эксперт от Германии дополнил это предложение, высказавшись, в частн</w:t>
      </w:r>
      <w:r w:rsidRPr="00F11CB6">
        <w:t>о</w:t>
      </w:r>
      <w:r w:rsidRPr="00F11CB6">
        <w:t>сти, за исключение ссылок на фары класса B, предусмотренные Правил</w:t>
      </w:r>
      <w:r w:rsidRPr="00F11CB6">
        <w:t>а</w:t>
      </w:r>
      <w:r w:rsidRPr="00F11CB6">
        <w:t>ми</w:t>
      </w:r>
      <w:r w:rsidR="0067632F">
        <w:t> </w:t>
      </w:r>
      <w:r w:rsidRPr="00F11CB6">
        <w:t>№</w:t>
      </w:r>
      <w:r w:rsidR="0067632F">
        <w:t> </w:t>
      </w:r>
      <w:r w:rsidRPr="00F11CB6">
        <w:t>113, поскольку, по его мнению, в силу необходимости соблюдения знач</w:t>
      </w:r>
      <w:r w:rsidRPr="00F11CB6">
        <w:t>е</w:t>
      </w:r>
      <w:r w:rsidRPr="00F11CB6">
        <w:t>ний, предписанных для класса В, могут возникнуть проблемы безопасности для транспортных средствах категории L</w:t>
      </w:r>
      <w:r w:rsidRPr="00F11CB6">
        <w:rPr>
          <w:vertAlign w:val="subscript"/>
        </w:rPr>
        <w:t>3</w:t>
      </w:r>
      <w:r w:rsidRPr="00F11CB6">
        <w:t>. В обоснование предложения эксперта от Германии об исключении фар класса В можно также сослаться на нынешнюю формулировку пунктов 6.1.1.2 и 6.2.1.2 Правил № 53, в соответствии с которыми допускается использование только одной фары класса В, но требу</w:t>
      </w:r>
      <w:r w:rsidR="000F6AFB">
        <w:t>ю</w:t>
      </w:r>
      <w:r w:rsidRPr="00F11CB6">
        <w:t>тся две фары класса С, несмотря на то что фары класса С функционируют эффективнее, чем фары класса В (</w:t>
      </w:r>
      <w:r w:rsidRPr="00F11CB6">
        <w:rPr>
          <w:lang w:val="en-US"/>
        </w:rPr>
        <w:t>ECE</w:t>
      </w:r>
      <w:r w:rsidRPr="00F11CB6">
        <w:t>/</w:t>
      </w:r>
      <w:r w:rsidRPr="00F11CB6">
        <w:rPr>
          <w:lang w:val="en-US"/>
        </w:rPr>
        <w:t>TRANS</w:t>
      </w:r>
      <w:r w:rsidRPr="00F11CB6">
        <w:t>/</w:t>
      </w:r>
      <w:r w:rsidRPr="00F11CB6">
        <w:rPr>
          <w:lang w:val="en-US"/>
        </w:rPr>
        <w:t>WP</w:t>
      </w:r>
      <w:r w:rsidRPr="00F11CB6">
        <w:t>.29/</w:t>
      </w:r>
      <w:r w:rsidRPr="00F11CB6">
        <w:rPr>
          <w:lang w:val="en-US"/>
        </w:rPr>
        <w:t>GRE</w:t>
      </w:r>
      <w:r w:rsidRPr="00F11CB6">
        <w:t>/2014/32).</w:t>
      </w:r>
    </w:p>
    <w:p w:rsidR="00F11CB6" w:rsidRPr="00F11CB6" w:rsidRDefault="00F11CB6" w:rsidP="00F11CB6">
      <w:pPr>
        <w:pStyle w:val="SingleTxt"/>
      </w:pPr>
      <w:r w:rsidRPr="00F11CB6">
        <w:lastRenderedPageBreak/>
        <w:t>3.</w:t>
      </w:r>
      <w:r w:rsidRPr="00F11CB6">
        <w:tab/>
        <w:t>Эксперт от МАЗМ пояснил, что для замены фар класса B фарами класса C или D потребуются серьезные изменения в фаре и окружающих ее частях и, в</w:t>
      </w:r>
      <w:r w:rsidRPr="00F11CB6">
        <w:t>е</w:t>
      </w:r>
      <w:r w:rsidRPr="00F11CB6">
        <w:t>роятно, нужен более мощный генератор по причине увеличения потребления электроэнергии фарами большего размера. Для некоторых моделей транспортных средств, у которых, например, фары встроены в кузов, установка большей по размеру фары может также оказаться невозможна из-за ограниченного простра</w:t>
      </w:r>
      <w:r w:rsidRPr="00F11CB6">
        <w:t>н</w:t>
      </w:r>
      <w:r w:rsidRPr="00F11CB6">
        <w:t>ства. Кроме того, решение об использовании более мощного генератора повлечет за собой необходимость перепроектирования всей электрической системы на борту транспортного средства. Таким образом, отрасли требуется время для п</w:t>
      </w:r>
      <w:r w:rsidRPr="00F11CB6">
        <w:t>е</w:t>
      </w:r>
      <w:r w:rsidRPr="00F11CB6">
        <w:t xml:space="preserve">репроектирования и осуществления крупных инвестиций, что оправдано только при разработке новых моделей (GRE-72-19). </w:t>
      </w:r>
    </w:p>
    <w:p w:rsidR="00F11CB6" w:rsidRPr="00F11CB6" w:rsidRDefault="00F11CB6" w:rsidP="00F11CB6">
      <w:pPr>
        <w:pStyle w:val="SingleTxt"/>
      </w:pPr>
      <w:r w:rsidRPr="00F11CB6">
        <w:t>4.</w:t>
      </w:r>
      <w:r w:rsidRPr="00F11CB6">
        <w:tab/>
        <w:t>По причинам, указанным в пункте 3 выше, МАЗМ предлагает предусмо</w:t>
      </w:r>
      <w:r w:rsidRPr="00F11CB6">
        <w:t>т</w:t>
      </w:r>
      <w:r w:rsidRPr="00F11CB6">
        <w:t>реть 48-месячный переходный период для разработки и внедрения новой проду</w:t>
      </w:r>
      <w:r w:rsidRPr="00F11CB6">
        <w:t>к</w:t>
      </w:r>
      <w:r w:rsidRPr="00F11CB6">
        <w:t>ции отраслью, с тем чтобы она могла спроектировать кузов автомобиля, двиг</w:t>
      </w:r>
      <w:r w:rsidRPr="00F11CB6">
        <w:t>а</w:t>
      </w:r>
      <w:r w:rsidRPr="00F11CB6">
        <w:t xml:space="preserve">тель и электрическую систему при создании новой модели в связи с реализацией требований Евро-5 в 2020 и последующие годы. </w:t>
      </w:r>
    </w:p>
    <w:p w:rsidR="002D11E1" w:rsidRDefault="00F11CB6" w:rsidP="00F11CB6">
      <w:pPr>
        <w:pStyle w:val="SingleTxt"/>
      </w:pPr>
      <w:r w:rsidRPr="00F11CB6">
        <w:t>5.</w:t>
      </w:r>
      <w:r w:rsidRPr="00F11CB6">
        <w:tab/>
        <w:t>В соответствии с поручением семьдесят второй сессии GRE о подготовке сводного предложения в настоящем предложении объединены документы</w:t>
      </w:r>
      <w:r w:rsidR="00F37208">
        <w:t> </w:t>
      </w:r>
      <w:r w:rsidRPr="00F11CB6">
        <w:t>ЕСЕ/</w:t>
      </w:r>
      <w:r w:rsidR="00F37208">
        <w:br/>
      </w:r>
      <w:r w:rsidRPr="00F11CB6">
        <w:t>TRANS/WР.29/GRЕ/2014/32 и GRE-72-19.</w:t>
      </w:r>
    </w:p>
    <w:p w:rsidR="0067632F" w:rsidRPr="0067632F" w:rsidRDefault="0067632F" w:rsidP="0067632F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67632F" w:rsidRPr="0067632F" w:rsidSect="002D11E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9-01T17:32:00Z" w:initials="Start">
    <w:p w:rsidR="002D11E1" w:rsidRPr="00F11CB6" w:rsidRDefault="002D11E1">
      <w:pPr>
        <w:pStyle w:val="CommentText"/>
        <w:rPr>
          <w:lang w:val="en-US"/>
        </w:rPr>
      </w:pPr>
      <w:r>
        <w:fldChar w:fldCharType="begin"/>
      </w:r>
      <w:r w:rsidRPr="00F11CB6">
        <w:rPr>
          <w:rStyle w:val="CommentReference"/>
          <w:lang w:val="en-US"/>
        </w:rPr>
        <w:instrText xml:space="preserve"> </w:instrText>
      </w:r>
      <w:r w:rsidRPr="00F11CB6">
        <w:rPr>
          <w:lang w:val="en-US"/>
        </w:rPr>
        <w:instrText>PAGE \# "'Page: '#'</w:instrText>
      </w:r>
      <w:r w:rsidRPr="00F11CB6">
        <w:rPr>
          <w:lang w:val="en-US"/>
        </w:rPr>
        <w:br/>
        <w:instrText>'"</w:instrText>
      </w:r>
      <w:r w:rsidRPr="00F11CB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11CB6">
        <w:rPr>
          <w:lang w:val="en-US"/>
        </w:rPr>
        <w:t>&lt;&lt;ODS JOB NO&gt;&gt;N1517431R&lt;&lt;ODS JOB NO&gt;&gt;</w:t>
      </w:r>
    </w:p>
    <w:p w:rsidR="002D11E1" w:rsidRDefault="002D11E1">
      <w:pPr>
        <w:pStyle w:val="CommentText"/>
      </w:pPr>
      <w:r>
        <w:t>&lt;&lt;ODS DOC SYMBOL1&gt;&gt;ECE/TRANS/WP.29/GRE/2015/41&lt;&lt;ODS DOC SYMBOL1&gt;&gt;</w:t>
      </w:r>
    </w:p>
    <w:p w:rsidR="002D11E1" w:rsidRDefault="002D11E1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98" w:rsidRDefault="004A7398" w:rsidP="008A1A7A">
      <w:pPr>
        <w:spacing w:line="240" w:lineRule="auto"/>
      </w:pPr>
      <w:r>
        <w:separator/>
      </w:r>
    </w:p>
  </w:endnote>
  <w:endnote w:type="continuationSeparator" w:id="0">
    <w:p w:rsidR="004A7398" w:rsidRDefault="004A739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D11E1" w:rsidTr="002D11E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D11E1" w:rsidRPr="002D11E1" w:rsidRDefault="002D11E1" w:rsidP="002D11E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A4C14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5A4C14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2D11E1" w:rsidRPr="002D11E1" w:rsidRDefault="002D11E1" w:rsidP="002D11E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F7ED3">
            <w:rPr>
              <w:b w:val="0"/>
              <w:color w:val="000000"/>
              <w:sz w:val="14"/>
            </w:rPr>
            <w:t>GE.15-13326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D11E1" w:rsidRPr="002D11E1" w:rsidRDefault="002D11E1" w:rsidP="002D11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D11E1" w:rsidTr="002D11E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D11E1" w:rsidRPr="002D11E1" w:rsidRDefault="002D11E1" w:rsidP="002D11E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F7ED3">
            <w:rPr>
              <w:b w:val="0"/>
              <w:color w:val="000000"/>
              <w:sz w:val="14"/>
            </w:rPr>
            <w:t>GE.15-13326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D11E1" w:rsidRPr="002D11E1" w:rsidRDefault="002D11E1" w:rsidP="002D11E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A4C14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5A4C14">
              <w:rPr>
                <w:noProof/>
              </w:rPr>
              <w:t>3</w:t>
            </w:r>
          </w:fldSimple>
        </w:p>
      </w:tc>
    </w:tr>
  </w:tbl>
  <w:p w:rsidR="002D11E1" w:rsidRPr="002D11E1" w:rsidRDefault="002D11E1" w:rsidP="002D11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D11E1" w:rsidTr="002D11E1">
      <w:tc>
        <w:tcPr>
          <w:tcW w:w="3873" w:type="dxa"/>
        </w:tcPr>
        <w:p w:rsidR="002D11E1" w:rsidRDefault="002D11E1" w:rsidP="002D11E1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D0729B1" wp14:editId="06D73A3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5/4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5/4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GE.15-13326 (R)</w:t>
          </w:r>
          <w:r w:rsidR="00194BC2">
            <w:rPr>
              <w:color w:val="010000"/>
            </w:rPr>
            <w:t xml:space="preserve">    3108</w:t>
          </w:r>
          <w:r w:rsidR="000B730B">
            <w:rPr>
              <w:color w:val="010000"/>
            </w:rPr>
            <w:t>15    02</w:t>
          </w:r>
          <w:r>
            <w:rPr>
              <w:color w:val="010000"/>
            </w:rPr>
            <w:t>0915</w:t>
          </w:r>
        </w:p>
        <w:p w:rsidR="002D11E1" w:rsidRPr="002D11E1" w:rsidRDefault="002D11E1" w:rsidP="002D11E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*1513326*</w:t>
          </w:r>
        </w:p>
      </w:tc>
      <w:tc>
        <w:tcPr>
          <w:tcW w:w="5127" w:type="dxa"/>
        </w:tcPr>
        <w:p w:rsidR="002D11E1" w:rsidRDefault="002D11E1" w:rsidP="002D11E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9E09AA3" wp14:editId="0899061B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D11E1" w:rsidRPr="002D11E1" w:rsidRDefault="002D11E1" w:rsidP="002D11E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98" w:rsidRPr="00F11CB6" w:rsidRDefault="00F11CB6" w:rsidP="00F11CB6">
      <w:pPr>
        <w:pStyle w:val="Footer"/>
        <w:spacing w:after="80"/>
        <w:ind w:left="792"/>
        <w:rPr>
          <w:sz w:val="16"/>
        </w:rPr>
      </w:pPr>
      <w:r w:rsidRPr="00F11CB6">
        <w:rPr>
          <w:sz w:val="16"/>
        </w:rPr>
        <w:t>__________________</w:t>
      </w:r>
    </w:p>
  </w:footnote>
  <w:footnote w:type="continuationSeparator" w:id="0">
    <w:p w:rsidR="004A7398" w:rsidRPr="00F11CB6" w:rsidRDefault="00F11CB6" w:rsidP="00F11CB6">
      <w:pPr>
        <w:pStyle w:val="Footer"/>
        <w:spacing w:after="80"/>
        <w:ind w:left="792"/>
        <w:rPr>
          <w:sz w:val="16"/>
        </w:rPr>
      </w:pPr>
      <w:r w:rsidRPr="00F11CB6">
        <w:rPr>
          <w:sz w:val="16"/>
        </w:rPr>
        <w:t>__________________</w:t>
      </w:r>
    </w:p>
  </w:footnote>
  <w:footnote w:id="1">
    <w:p w:rsidR="00F11CB6" w:rsidRPr="00D27E35" w:rsidRDefault="00F11CB6" w:rsidP="00F11CB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F11CB6">
        <w:rPr>
          <w:rStyle w:val="FootnoteReference"/>
          <w:szCs w:val="17"/>
          <w:vertAlign w:val="baseline"/>
        </w:rPr>
        <w:t>*</w:t>
      </w:r>
      <w:r w:rsidRPr="00BF41ED">
        <w:tab/>
      </w:r>
      <w:r w:rsidRPr="00EF69F1">
        <w:t xml:space="preserve">В соответствии с программой работы Комитета по внутреннему транспорту </w:t>
      </w:r>
      <w:r w:rsidR="00194BC2">
        <w:br/>
      </w:r>
      <w:r w:rsidRPr="00EF69F1">
        <w:t>на</w:t>
      </w:r>
      <w:r>
        <w:t> </w:t>
      </w:r>
      <w:r w:rsidRPr="00EF69F1">
        <w:t>2012−2016 годы (ECE/TRANS/224, пункт 94, и ECE/TRANS/2012/12, подпрограмма</w:t>
      </w:r>
      <w:r>
        <w:t> </w:t>
      </w:r>
      <w:r w:rsidRPr="00EF69F1">
        <w:t>02.4) Всемирный форум будет разрабатывать, согласовывать и</w:t>
      </w:r>
      <w:r>
        <w:t> </w:t>
      </w:r>
      <w:r w:rsidRPr="00EF69F1">
        <w:t xml:space="preserve">обновлять правила в целях улучшения характеристик транспортных средств. </w:t>
      </w:r>
      <w:r w:rsidRPr="00D27E35">
        <w:t>Настоящий документ представлен в</w:t>
      </w:r>
      <w:r w:rsidR="00194BC2">
        <w:t> </w:t>
      </w:r>
      <w:r w:rsidRPr="00D27E35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D11E1" w:rsidTr="002D11E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D11E1" w:rsidRPr="002D11E1" w:rsidRDefault="002D11E1" w:rsidP="002D11E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F7ED3">
            <w:rPr>
              <w:b/>
            </w:rPr>
            <w:t>ECE/TRANS/WP.29/GRE/2015/41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D11E1" w:rsidRDefault="002D11E1" w:rsidP="002D11E1">
          <w:pPr>
            <w:pStyle w:val="Header"/>
          </w:pPr>
        </w:p>
      </w:tc>
    </w:tr>
  </w:tbl>
  <w:p w:rsidR="002D11E1" w:rsidRPr="002D11E1" w:rsidRDefault="002D11E1" w:rsidP="002D11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D11E1" w:rsidTr="002D11E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D11E1" w:rsidRDefault="002D11E1" w:rsidP="002D11E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D11E1" w:rsidRPr="002D11E1" w:rsidRDefault="002D11E1" w:rsidP="002D11E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F7ED3">
            <w:rPr>
              <w:b/>
            </w:rPr>
            <w:t>ECE/TRANS/WP.29/GRE/2015/41</w:t>
          </w:r>
          <w:r>
            <w:rPr>
              <w:b/>
            </w:rPr>
            <w:fldChar w:fldCharType="end"/>
          </w:r>
        </w:p>
      </w:tc>
    </w:tr>
  </w:tbl>
  <w:p w:rsidR="002D11E1" w:rsidRPr="002D11E1" w:rsidRDefault="002D11E1" w:rsidP="002D11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2D11E1" w:rsidTr="002D11E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D11E1" w:rsidRPr="002D11E1" w:rsidRDefault="002D11E1" w:rsidP="002D11E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D11E1" w:rsidRDefault="002D11E1" w:rsidP="002D11E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D11E1" w:rsidRPr="002D11E1" w:rsidRDefault="002D11E1" w:rsidP="002D11E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/TRANS/WP.29/GRE/2015/41</w:t>
          </w:r>
        </w:p>
      </w:tc>
    </w:tr>
    <w:tr w:rsidR="002D11E1" w:rsidRPr="002E27E7" w:rsidTr="002D11E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D11E1" w:rsidRPr="002D11E1" w:rsidRDefault="002D11E1" w:rsidP="002D11E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6D3367C" wp14:editId="6FDDDA2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D11E1" w:rsidRPr="002D11E1" w:rsidRDefault="002D11E1" w:rsidP="002D11E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D11E1" w:rsidRPr="002D11E1" w:rsidRDefault="002D11E1" w:rsidP="002D11E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D11E1" w:rsidRPr="00F11CB6" w:rsidRDefault="002D11E1" w:rsidP="002D11E1">
          <w:pPr>
            <w:pStyle w:val="Distribution"/>
            <w:rPr>
              <w:color w:val="000000"/>
              <w:lang w:val="en-US"/>
            </w:rPr>
          </w:pPr>
          <w:r w:rsidRPr="00F11CB6">
            <w:rPr>
              <w:color w:val="000000"/>
              <w:lang w:val="en-US"/>
            </w:rPr>
            <w:t>Distr.: General</w:t>
          </w:r>
        </w:p>
        <w:p w:rsidR="002D11E1" w:rsidRPr="00F11CB6" w:rsidRDefault="002D11E1" w:rsidP="002D11E1">
          <w:pPr>
            <w:pStyle w:val="Publication"/>
            <w:rPr>
              <w:color w:val="000000"/>
              <w:lang w:val="en-US"/>
            </w:rPr>
          </w:pPr>
          <w:r w:rsidRPr="00F11CB6">
            <w:rPr>
              <w:color w:val="000000"/>
              <w:lang w:val="en-US"/>
            </w:rPr>
            <w:t>6 August 2015</w:t>
          </w:r>
        </w:p>
        <w:p w:rsidR="002D11E1" w:rsidRPr="00F11CB6" w:rsidRDefault="002D11E1" w:rsidP="002D11E1">
          <w:pPr>
            <w:rPr>
              <w:color w:val="000000"/>
              <w:lang w:val="en-US"/>
            </w:rPr>
          </w:pPr>
          <w:r w:rsidRPr="00F11CB6">
            <w:rPr>
              <w:color w:val="000000"/>
              <w:lang w:val="en-US"/>
            </w:rPr>
            <w:t>Russian</w:t>
          </w:r>
        </w:p>
        <w:p w:rsidR="002D11E1" w:rsidRPr="00F11CB6" w:rsidRDefault="002D11E1" w:rsidP="002D11E1">
          <w:pPr>
            <w:pStyle w:val="Original"/>
            <w:rPr>
              <w:color w:val="000000"/>
              <w:lang w:val="en-US"/>
            </w:rPr>
          </w:pPr>
          <w:r w:rsidRPr="00F11CB6">
            <w:rPr>
              <w:color w:val="000000"/>
              <w:lang w:val="en-US"/>
            </w:rPr>
            <w:t>Original: English</w:t>
          </w:r>
        </w:p>
        <w:p w:rsidR="002D11E1" w:rsidRPr="00F11CB6" w:rsidRDefault="002D11E1" w:rsidP="002D11E1">
          <w:pPr>
            <w:rPr>
              <w:lang w:val="en-US"/>
            </w:rPr>
          </w:pPr>
        </w:p>
      </w:tc>
    </w:tr>
  </w:tbl>
  <w:p w:rsidR="002D11E1" w:rsidRPr="00F11CB6" w:rsidRDefault="002D11E1" w:rsidP="002D11E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56FE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326*"/>
    <w:docVar w:name="CreationDt" w:val="9/1/2015 5:32: PM"/>
    <w:docVar w:name="DocCategory" w:val="Doc"/>
    <w:docVar w:name="DocType" w:val="Final"/>
    <w:docVar w:name="DutyStation" w:val="Geneva"/>
    <w:docVar w:name="FooterJN" w:val="GE.15-13326"/>
    <w:docVar w:name="jobn" w:val="GE.15-13326 (R)"/>
    <w:docVar w:name="jobnDT" w:val="GE.15-13326 (R)   010915"/>
    <w:docVar w:name="jobnDTDT" w:val="GE.15-13326 (R)   010915   010915"/>
    <w:docVar w:name="JobNo" w:val="GE.1513326R"/>
    <w:docVar w:name="JobNo2" w:val="1517431R"/>
    <w:docVar w:name="LocalDrive" w:val="0"/>
    <w:docVar w:name="OandT" w:val=" "/>
    <w:docVar w:name="PaperSize" w:val="A4"/>
    <w:docVar w:name="sss1" w:val="ECE/TRANS/WP.29/GRE/2015/41"/>
    <w:docVar w:name="sss2" w:val="-"/>
    <w:docVar w:name="Symbol1" w:val="ECE/TRANS/WP.29/GRE/2015/41"/>
    <w:docVar w:name="Symbol2" w:val="-"/>
  </w:docVars>
  <w:rsids>
    <w:rsidRoot w:val="004A7398"/>
    <w:rsid w:val="00000D0F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B730B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0F6AFB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4BC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11E1"/>
    <w:rsid w:val="002D396F"/>
    <w:rsid w:val="002D4606"/>
    <w:rsid w:val="002D666D"/>
    <w:rsid w:val="002E1F79"/>
    <w:rsid w:val="002E27E7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57625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398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4C14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7632F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5BC0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8F27C0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2812"/>
    <w:rsid w:val="00963BDB"/>
    <w:rsid w:val="00984EE4"/>
    <w:rsid w:val="00990168"/>
    <w:rsid w:val="0099354F"/>
    <w:rsid w:val="00996CBB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4D5"/>
    <w:rsid w:val="00A46574"/>
    <w:rsid w:val="00A471A3"/>
    <w:rsid w:val="00A47B1B"/>
    <w:rsid w:val="00A54720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4A2D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BF7ED3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64CD0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1CB6"/>
    <w:rsid w:val="00F16256"/>
    <w:rsid w:val="00F231E8"/>
    <w:rsid w:val="00F26EA8"/>
    <w:rsid w:val="00F30632"/>
    <w:rsid w:val="00F33544"/>
    <w:rsid w:val="00F35ACF"/>
    <w:rsid w:val="00F37208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E30E3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D1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1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1E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1E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uiPriority w:val="99"/>
    <w:semiHidden/>
    <w:unhideWhenUsed/>
    <w:rsid w:val="00F11CB6"/>
    <w:pPr>
      <w:numPr>
        <w:numId w:val="1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1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D1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1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1E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1E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uiPriority w:val="99"/>
    <w:semiHidden/>
    <w:unhideWhenUsed/>
    <w:rsid w:val="00F11CB6"/>
    <w:pPr>
      <w:numPr>
        <w:numId w:val="1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1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4575-67AB-4DBF-BDC2-B2D8428E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Benedicte Boudol</cp:lastModifiedBy>
  <cp:revision>2</cp:revision>
  <cp:lastPrinted>2015-09-02T07:54:00Z</cp:lastPrinted>
  <dcterms:created xsi:type="dcterms:W3CDTF">2015-10-09T08:25:00Z</dcterms:created>
  <dcterms:modified xsi:type="dcterms:W3CDTF">2015-10-09T08:25:00Z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1513326R</vt:lpwstr>
  </property>
  <property fmtid="{D5CDD505-2E9C-101B-9397-08002B2CF9AE}" pid="3" name="ODSRefJobNo">
    <vt:lpwstr>1517431R</vt:lpwstr>
  </property>
  <property fmtid="{D5CDD505-2E9C-101B-9397-08002B2CF9AE}" pid="4" name="Symbol1">
    <vt:lpwstr>ECE/TRANS/WP.29/GRE/2015/41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6 August 2015</vt:lpwstr>
  </property>
  <property fmtid="{D5CDD505-2E9C-101B-9397-08002B2CF9AE}" pid="12" name="Original">
    <vt:lpwstr>English</vt:lpwstr>
  </property>
  <property fmtid="{D5CDD505-2E9C-101B-9397-08002B2CF9AE}" pid="13" name="Release Date">
    <vt:lpwstr>010915</vt:lpwstr>
  </property>
</Properties>
</file>