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C64574" w:rsidRPr="006C4632" w:rsidTr="00D5792F">
        <w:trPr>
          <w:cantSplit/>
          <w:trHeight w:hRule="exact" w:val="851"/>
        </w:trPr>
        <w:tc>
          <w:tcPr>
            <w:tcW w:w="1276" w:type="dxa"/>
            <w:tcBorders>
              <w:bottom w:val="single" w:sz="4" w:space="0" w:color="auto"/>
            </w:tcBorders>
            <w:shd w:val="clear" w:color="auto" w:fill="auto"/>
            <w:vAlign w:val="bottom"/>
          </w:tcPr>
          <w:p w:rsidR="00B56E9C" w:rsidRPr="006C4632" w:rsidRDefault="00B56E9C" w:rsidP="00D5792F">
            <w:pPr>
              <w:spacing w:after="80"/>
            </w:pPr>
            <w:bookmarkStart w:id="0" w:name="_GoBack"/>
            <w:bookmarkEnd w:id="0"/>
          </w:p>
        </w:tc>
        <w:tc>
          <w:tcPr>
            <w:tcW w:w="2268" w:type="dxa"/>
            <w:tcBorders>
              <w:bottom w:val="single" w:sz="4" w:space="0" w:color="auto"/>
            </w:tcBorders>
            <w:shd w:val="clear" w:color="auto" w:fill="auto"/>
            <w:vAlign w:val="bottom"/>
          </w:tcPr>
          <w:p w:rsidR="00B56E9C" w:rsidRPr="006C4632" w:rsidRDefault="00B56E9C" w:rsidP="00D5792F">
            <w:pPr>
              <w:spacing w:after="80" w:line="300" w:lineRule="exact"/>
              <w:rPr>
                <w:b/>
                <w:sz w:val="24"/>
                <w:szCs w:val="24"/>
              </w:rPr>
            </w:pPr>
            <w:r w:rsidRPr="006C4632">
              <w:rPr>
                <w:sz w:val="28"/>
                <w:szCs w:val="28"/>
              </w:rPr>
              <w:t>United Nations</w:t>
            </w:r>
          </w:p>
        </w:tc>
        <w:tc>
          <w:tcPr>
            <w:tcW w:w="6095" w:type="dxa"/>
            <w:gridSpan w:val="2"/>
            <w:tcBorders>
              <w:bottom w:val="single" w:sz="4" w:space="0" w:color="auto"/>
            </w:tcBorders>
            <w:shd w:val="clear" w:color="auto" w:fill="auto"/>
            <w:vAlign w:val="bottom"/>
          </w:tcPr>
          <w:p w:rsidR="00B56E9C" w:rsidRPr="006C4632" w:rsidRDefault="00803BF8" w:rsidP="008E1490">
            <w:pPr>
              <w:jc w:val="right"/>
            </w:pPr>
            <w:r w:rsidRPr="006C4632">
              <w:rPr>
                <w:sz w:val="40"/>
              </w:rPr>
              <w:t>ECE</w:t>
            </w:r>
            <w:r w:rsidRPr="006C4632">
              <w:t>/TRANS/WP.29/GR</w:t>
            </w:r>
            <w:r w:rsidR="009B385D" w:rsidRPr="006C4632">
              <w:t>E</w:t>
            </w:r>
            <w:r w:rsidRPr="006C4632">
              <w:t>/201</w:t>
            </w:r>
            <w:r w:rsidR="00DC4365" w:rsidRPr="006C4632">
              <w:t>5</w:t>
            </w:r>
            <w:r w:rsidRPr="006C4632">
              <w:t>/</w:t>
            </w:r>
            <w:r w:rsidR="005017D4" w:rsidRPr="006C4632">
              <w:t>3</w:t>
            </w:r>
            <w:r w:rsidR="008E1490" w:rsidRPr="006C4632">
              <w:t>6</w:t>
            </w:r>
          </w:p>
        </w:tc>
      </w:tr>
      <w:tr w:rsidR="00B56E9C" w:rsidRPr="006C4632" w:rsidTr="00D5792F">
        <w:trPr>
          <w:cantSplit/>
          <w:trHeight w:hRule="exact" w:val="2835"/>
        </w:trPr>
        <w:tc>
          <w:tcPr>
            <w:tcW w:w="1276" w:type="dxa"/>
            <w:tcBorders>
              <w:top w:val="single" w:sz="4" w:space="0" w:color="auto"/>
              <w:bottom w:val="single" w:sz="12" w:space="0" w:color="auto"/>
            </w:tcBorders>
            <w:shd w:val="clear" w:color="auto" w:fill="auto"/>
          </w:tcPr>
          <w:p w:rsidR="00B56E9C" w:rsidRPr="006C4632" w:rsidRDefault="006266D3" w:rsidP="00D5792F">
            <w:pPr>
              <w:spacing w:before="120"/>
            </w:pPr>
            <w:r w:rsidRPr="006C4632">
              <w:rPr>
                <w:noProof/>
                <w:lang w:eastAsia="en-GB"/>
              </w:rPr>
              <w:drawing>
                <wp:inline distT="0" distB="0" distL="0" distR="0" wp14:anchorId="58A3DB2F" wp14:editId="211C75B7">
                  <wp:extent cx="716280" cy="586740"/>
                  <wp:effectExtent l="0" t="0" r="7620" b="381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6280" cy="58674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rsidR="00B56E9C" w:rsidRPr="006C4632" w:rsidRDefault="00D773DF" w:rsidP="00D5792F">
            <w:pPr>
              <w:spacing w:before="120" w:line="420" w:lineRule="exact"/>
              <w:rPr>
                <w:sz w:val="40"/>
                <w:szCs w:val="40"/>
              </w:rPr>
            </w:pPr>
            <w:r w:rsidRPr="006C4632">
              <w:rPr>
                <w:b/>
                <w:sz w:val="40"/>
                <w:szCs w:val="40"/>
              </w:rPr>
              <w:t>Economic and Social Council</w:t>
            </w:r>
          </w:p>
        </w:tc>
        <w:tc>
          <w:tcPr>
            <w:tcW w:w="2835" w:type="dxa"/>
            <w:tcBorders>
              <w:top w:val="single" w:sz="4" w:space="0" w:color="auto"/>
              <w:bottom w:val="single" w:sz="12" w:space="0" w:color="auto"/>
            </w:tcBorders>
            <w:shd w:val="clear" w:color="auto" w:fill="auto"/>
          </w:tcPr>
          <w:p w:rsidR="00803BF8" w:rsidRPr="006C4632" w:rsidRDefault="00803BF8" w:rsidP="00D5792F">
            <w:pPr>
              <w:spacing w:before="240" w:line="240" w:lineRule="exact"/>
            </w:pPr>
            <w:r w:rsidRPr="006C4632">
              <w:t>Distr.: General</w:t>
            </w:r>
          </w:p>
          <w:p w:rsidR="00803BF8" w:rsidRPr="006C4632" w:rsidRDefault="00FA3DC2" w:rsidP="00D5792F">
            <w:pPr>
              <w:spacing w:line="240" w:lineRule="exact"/>
            </w:pPr>
            <w:r w:rsidRPr="006C4632">
              <w:t>10</w:t>
            </w:r>
            <w:r w:rsidR="005017D4" w:rsidRPr="006C4632">
              <w:t xml:space="preserve"> August </w:t>
            </w:r>
            <w:r w:rsidR="00DC4365" w:rsidRPr="006C4632">
              <w:t>2015</w:t>
            </w:r>
          </w:p>
          <w:p w:rsidR="00803BF8" w:rsidRPr="006C4632" w:rsidRDefault="00803BF8" w:rsidP="00D5792F">
            <w:pPr>
              <w:spacing w:line="240" w:lineRule="exact"/>
            </w:pPr>
          </w:p>
          <w:p w:rsidR="003C17CC" w:rsidRPr="006C4632" w:rsidRDefault="00803BF8" w:rsidP="00D5792F">
            <w:pPr>
              <w:spacing w:line="240" w:lineRule="exact"/>
            </w:pPr>
            <w:r w:rsidRPr="006C4632">
              <w:t>Original: English</w:t>
            </w:r>
          </w:p>
          <w:p w:rsidR="00EA2A77" w:rsidRPr="006C4632" w:rsidRDefault="00EA2A77" w:rsidP="00D5792F">
            <w:pPr>
              <w:spacing w:line="240" w:lineRule="exact"/>
            </w:pPr>
          </w:p>
        </w:tc>
      </w:tr>
    </w:tbl>
    <w:p w:rsidR="00442A83" w:rsidRPr="006C4632" w:rsidRDefault="00C96DF2" w:rsidP="00C96DF2">
      <w:pPr>
        <w:spacing w:before="120"/>
        <w:rPr>
          <w:b/>
          <w:sz w:val="28"/>
          <w:szCs w:val="28"/>
        </w:rPr>
      </w:pPr>
      <w:r w:rsidRPr="006C4632">
        <w:rPr>
          <w:b/>
          <w:sz w:val="28"/>
          <w:szCs w:val="28"/>
        </w:rPr>
        <w:t>Economic Commission for Europe</w:t>
      </w:r>
    </w:p>
    <w:p w:rsidR="00C96DF2" w:rsidRPr="006C4632" w:rsidRDefault="008F31D2" w:rsidP="00C96DF2">
      <w:pPr>
        <w:spacing w:before="120"/>
        <w:rPr>
          <w:sz w:val="28"/>
          <w:szCs w:val="28"/>
        </w:rPr>
      </w:pPr>
      <w:r w:rsidRPr="006C4632">
        <w:rPr>
          <w:sz w:val="28"/>
          <w:szCs w:val="28"/>
        </w:rPr>
        <w:t>Inland Transport Committee</w:t>
      </w:r>
    </w:p>
    <w:p w:rsidR="00EA2A77" w:rsidRPr="006C4632" w:rsidRDefault="00EA2A77" w:rsidP="00EA2A77">
      <w:pPr>
        <w:spacing w:before="120"/>
        <w:rPr>
          <w:b/>
          <w:sz w:val="24"/>
          <w:szCs w:val="24"/>
        </w:rPr>
      </w:pPr>
      <w:r w:rsidRPr="006C4632">
        <w:rPr>
          <w:b/>
          <w:sz w:val="24"/>
          <w:szCs w:val="24"/>
        </w:rPr>
        <w:t xml:space="preserve">World Forum for Harmonization of Vehicle </w:t>
      </w:r>
      <w:r w:rsidR="00D26E07" w:rsidRPr="006C4632">
        <w:rPr>
          <w:b/>
          <w:sz w:val="24"/>
          <w:szCs w:val="24"/>
        </w:rPr>
        <w:t>Regulation</w:t>
      </w:r>
      <w:r w:rsidRPr="006C4632">
        <w:rPr>
          <w:b/>
          <w:sz w:val="24"/>
          <w:szCs w:val="24"/>
        </w:rPr>
        <w:t>s</w:t>
      </w:r>
    </w:p>
    <w:p w:rsidR="003C17CC" w:rsidRPr="006C4632" w:rsidRDefault="003C17CC" w:rsidP="00EA2A77">
      <w:pPr>
        <w:spacing w:before="120"/>
        <w:rPr>
          <w:b/>
        </w:rPr>
      </w:pPr>
      <w:r w:rsidRPr="006C4632">
        <w:rPr>
          <w:b/>
        </w:rPr>
        <w:t xml:space="preserve">Working Party on </w:t>
      </w:r>
      <w:r w:rsidR="009B385D" w:rsidRPr="006C4632">
        <w:rPr>
          <w:b/>
        </w:rPr>
        <w:t>Lighting and Light-Signalling</w:t>
      </w:r>
    </w:p>
    <w:p w:rsidR="00C96DF2" w:rsidRPr="006C4632" w:rsidRDefault="009B385D" w:rsidP="00C96DF2">
      <w:pPr>
        <w:spacing w:before="120"/>
        <w:rPr>
          <w:b/>
        </w:rPr>
      </w:pPr>
      <w:r w:rsidRPr="006C4632">
        <w:rPr>
          <w:b/>
        </w:rPr>
        <w:t xml:space="preserve">Seventy-fourth </w:t>
      </w:r>
      <w:proofErr w:type="gramStart"/>
      <w:r w:rsidR="00182290" w:rsidRPr="006C4632">
        <w:rPr>
          <w:b/>
        </w:rPr>
        <w:t>session</w:t>
      </w:r>
      <w:proofErr w:type="gramEnd"/>
    </w:p>
    <w:p w:rsidR="0067362F" w:rsidRPr="006C4632" w:rsidRDefault="00915EF6" w:rsidP="00C96DF2">
      <w:r w:rsidRPr="006C4632">
        <w:t>Gen</w:t>
      </w:r>
      <w:r w:rsidR="003C17CC" w:rsidRPr="006C4632">
        <w:t>e</w:t>
      </w:r>
      <w:r w:rsidRPr="006C4632">
        <w:t>v</w:t>
      </w:r>
      <w:r w:rsidR="003C17CC" w:rsidRPr="006C4632">
        <w:t>a</w:t>
      </w:r>
      <w:r w:rsidRPr="006C4632">
        <w:t xml:space="preserve">, </w:t>
      </w:r>
      <w:r w:rsidR="009B385D" w:rsidRPr="006C4632">
        <w:t>20</w:t>
      </w:r>
      <w:r w:rsidR="00DC4365" w:rsidRPr="006C4632">
        <w:t>–</w:t>
      </w:r>
      <w:r w:rsidR="009B385D" w:rsidRPr="006C4632">
        <w:t>23</w:t>
      </w:r>
      <w:r w:rsidR="00DC4365" w:rsidRPr="006C4632">
        <w:t xml:space="preserve"> </w:t>
      </w:r>
      <w:r w:rsidR="009B385D" w:rsidRPr="006C4632">
        <w:t>October</w:t>
      </w:r>
      <w:r w:rsidR="00DC4365" w:rsidRPr="006C4632">
        <w:t xml:space="preserve"> 2015</w:t>
      </w:r>
    </w:p>
    <w:p w:rsidR="00B53C21" w:rsidRPr="006C4632" w:rsidRDefault="00915EF6" w:rsidP="00C96DF2">
      <w:r w:rsidRPr="006C4632">
        <w:t xml:space="preserve">Item </w:t>
      </w:r>
      <w:r w:rsidR="005017D4" w:rsidRPr="006C4632">
        <w:t xml:space="preserve">7 (b) </w:t>
      </w:r>
      <w:r w:rsidRPr="006C4632">
        <w:t>of the provisional agenda</w:t>
      </w:r>
    </w:p>
    <w:p w:rsidR="00915EF6" w:rsidRPr="006C4632" w:rsidRDefault="004909C2" w:rsidP="00C96DF2">
      <w:pPr>
        <w:rPr>
          <w:b/>
        </w:rPr>
      </w:pPr>
      <w:r w:rsidRPr="006C4632">
        <w:rPr>
          <w:b/>
        </w:rPr>
        <w:t xml:space="preserve">Other Regulations - </w:t>
      </w:r>
      <w:r w:rsidR="00C64574" w:rsidRPr="006C4632">
        <w:rPr>
          <w:b/>
        </w:rPr>
        <w:t xml:space="preserve">Regulation No. </w:t>
      </w:r>
      <w:r w:rsidR="009B385D" w:rsidRPr="006C4632">
        <w:rPr>
          <w:b/>
        </w:rPr>
        <w:t>10</w:t>
      </w:r>
      <w:r w:rsidR="00D45E95" w:rsidRPr="006C4632">
        <w:rPr>
          <w:b/>
        </w:rPr>
        <w:t xml:space="preserve"> (</w:t>
      </w:r>
      <w:r w:rsidR="009B385D" w:rsidRPr="006C4632">
        <w:rPr>
          <w:b/>
        </w:rPr>
        <w:t>Electromagnetic compatibility</w:t>
      </w:r>
      <w:r w:rsidR="00D45E95" w:rsidRPr="006C4632">
        <w:rPr>
          <w:b/>
        </w:rPr>
        <w:t>)</w:t>
      </w:r>
    </w:p>
    <w:p w:rsidR="00DF418A" w:rsidRPr="006C4632" w:rsidRDefault="00DF418A" w:rsidP="008E1490">
      <w:pPr>
        <w:pStyle w:val="HChG"/>
        <w:tabs>
          <w:tab w:val="clear" w:pos="851"/>
        </w:tabs>
        <w:ind w:firstLine="0"/>
        <w:rPr>
          <w:sz w:val="26"/>
          <w:szCs w:val="26"/>
        </w:rPr>
      </w:pPr>
      <w:r w:rsidRPr="006C4632">
        <w:rPr>
          <w:sz w:val="26"/>
          <w:szCs w:val="26"/>
        </w:rPr>
        <w:t xml:space="preserve">Proposal for </w:t>
      </w:r>
      <w:r w:rsidR="008E1490" w:rsidRPr="006C4632">
        <w:rPr>
          <w:sz w:val="26"/>
          <w:szCs w:val="26"/>
        </w:rPr>
        <w:t xml:space="preserve">a </w:t>
      </w:r>
      <w:r w:rsidR="007C0546" w:rsidRPr="006C4632">
        <w:rPr>
          <w:sz w:val="26"/>
          <w:szCs w:val="26"/>
        </w:rPr>
        <w:t xml:space="preserve">Supplement to </w:t>
      </w:r>
      <w:r w:rsidR="008E1490" w:rsidRPr="006C4632">
        <w:rPr>
          <w:sz w:val="26"/>
          <w:szCs w:val="26"/>
        </w:rPr>
        <w:t xml:space="preserve">the 05 series of amendments to </w:t>
      </w:r>
      <w:r w:rsidR="00D27713" w:rsidRPr="006C4632">
        <w:rPr>
          <w:sz w:val="26"/>
          <w:szCs w:val="26"/>
        </w:rPr>
        <w:t xml:space="preserve">Regulation No. </w:t>
      </w:r>
      <w:r w:rsidR="007836F4" w:rsidRPr="006C4632">
        <w:rPr>
          <w:sz w:val="26"/>
          <w:szCs w:val="26"/>
        </w:rPr>
        <w:t>10</w:t>
      </w:r>
      <w:r w:rsidR="007C0546" w:rsidRPr="006C4632">
        <w:rPr>
          <w:sz w:val="26"/>
          <w:szCs w:val="26"/>
        </w:rPr>
        <w:t xml:space="preserve"> (</w:t>
      </w:r>
      <w:r w:rsidR="00EC5B5A" w:rsidRPr="006C4632">
        <w:rPr>
          <w:sz w:val="26"/>
          <w:szCs w:val="26"/>
        </w:rPr>
        <w:t>E</w:t>
      </w:r>
      <w:r w:rsidR="007836F4" w:rsidRPr="006C4632">
        <w:rPr>
          <w:sz w:val="26"/>
          <w:szCs w:val="26"/>
        </w:rPr>
        <w:t>lectromagnetic compatibility</w:t>
      </w:r>
      <w:r w:rsidR="007C0546" w:rsidRPr="006C4632">
        <w:rPr>
          <w:sz w:val="26"/>
          <w:szCs w:val="26"/>
        </w:rPr>
        <w:t>)</w:t>
      </w:r>
    </w:p>
    <w:p w:rsidR="002B47CA" w:rsidRPr="006C4632" w:rsidRDefault="002B47CA" w:rsidP="002B47CA">
      <w:pPr>
        <w:pStyle w:val="H1G"/>
        <w:tabs>
          <w:tab w:val="clear" w:pos="851"/>
        </w:tabs>
        <w:ind w:firstLine="0"/>
        <w:rPr>
          <w:vertAlign w:val="superscript"/>
        </w:rPr>
      </w:pPr>
      <w:r w:rsidRPr="006C4632">
        <w:t xml:space="preserve">Submitted by </w:t>
      </w:r>
      <w:r w:rsidR="00DF418A" w:rsidRPr="006C4632">
        <w:t xml:space="preserve">the </w:t>
      </w:r>
      <w:r w:rsidR="008E1490" w:rsidRPr="006C4632">
        <w:t>expert from China</w:t>
      </w:r>
      <w:r w:rsidRPr="006C4632">
        <w:rPr>
          <w:vertAlign w:val="superscript"/>
        </w:rPr>
        <w:footnoteReference w:customMarkFollows="1" w:id="2"/>
        <w:t>*</w:t>
      </w:r>
    </w:p>
    <w:p w:rsidR="00DF418A" w:rsidRPr="006C4632" w:rsidRDefault="00DF418A" w:rsidP="00E466D9">
      <w:pPr>
        <w:ind w:left="1134" w:right="1134" w:firstLine="567"/>
        <w:jc w:val="both"/>
      </w:pPr>
      <w:r w:rsidRPr="006C4632">
        <w:t xml:space="preserve">The </w:t>
      </w:r>
      <w:proofErr w:type="gramStart"/>
      <w:r w:rsidR="00E466D9" w:rsidRPr="006C4632">
        <w:t>text reproduced below was</w:t>
      </w:r>
      <w:r w:rsidRPr="006C4632">
        <w:t xml:space="preserve"> </w:t>
      </w:r>
      <w:r w:rsidR="00E12AA1" w:rsidRPr="006C4632">
        <w:t xml:space="preserve">transmitted </w:t>
      </w:r>
      <w:r w:rsidRPr="006C4632">
        <w:t xml:space="preserve">by the </w:t>
      </w:r>
      <w:r w:rsidR="008E1490" w:rsidRPr="006C4632">
        <w:t>expert from China</w:t>
      </w:r>
      <w:proofErr w:type="gramEnd"/>
      <w:r w:rsidR="008E1490" w:rsidRPr="006C4632">
        <w:t xml:space="preserve">. </w:t>
      </w:r>
      <w:r w:rsidR="00D27713" w:rsidRPr="006C4632">
        <w:t xml:space="preserve">The modifications to the current text of Regulation </w:t>
      </w:r>
      <w:r w:rsidR="00EC5B5A" w:rsidRPr="006C4632">
        <w:t>No. 10</w:t>
      </w:r>
      <w:r w:rsidR="00D27713" w:rsidRPr="006C4632">
        <w:t xml:space="preserve"> are marked in bold for new</w:t>
      </w:r>
      <w:r w:rsidR="005462C2" w:rsidRPr="006C4632">
        <w:t xml:space="preserve"> or strikethrough for deleted characters.</w:t>
      </w:r>
    </w:p>
    <w:p w:rsidR="00DF418A" w:rsidRPr="006C4632" w:rsidRDefault="00757F2F" w:rsidP="00DF418A">
      <w:pPr>
        <w:spacing w:before="360" w:after="240" w:line="240" w:lineRule="auto"/>
        <w:ind w:left="1134" w:right="1134" w:hanging="567"/>
        <w:jc w:val="both"/>
        <w:rPr>
          <w:b/>
          <w:sz w:val="28"/>
        </w:rPr>
      </w:pPr>
      <w:r w:rsidRPr="006C4632">
        <w:br w:type="page"/>
      </w:r>
      <w:r w:rsidR="00DF418A" w:rsidRPr="006C4632">
        <w:rPr>
          <w:b/>
          <w:sz w:val="28"/>
        </w:rPr>
        <w:lastRenderedPageBreak/>
        <w:t>I.</w:t>
      </w:r>
      <w:r w:rsidR="00DF418A" w:rsidRPr="006C4632">
        <w:rPr>
          <w:b/>
          <w:sz w:val="28"/>
        </w:rPr>
        <w:tab/>
        <w:t>Proposal</w:t>
      </w:r>
    </w:p>
    <w:p w:rsidR="00DF418A" w:rsidRPr="006C4632" w:rsidRDefault="008369BC" w:rsidP="00975569">
      <w:pPr>
        <w:tabs>
          <w:tab w:val="left" w:pos="2476"/>
        </w:tabs>
        <w:spacing w:after="120" w:line="240" w:lineRule="auto"/>
        <w:ind w:left="1134" w:right="1134"/>
        <w:jc w:val="both"/>
      </w:pPr>
      <w:proofErr w:type="gramStart"/>
      <w:r w:rsidRPr="006C4632">
        <w:rPr>
          <w:i/>
        </w:rPr>
        <w:t>Paragraph 1.3.</w:t>
      </w:r>
      <w:proofErr w:type="gramEnd"/>
      <w:r w:rsidRPr="006C4632">
        <w:rPr>
          <w:i/>
        </w:rPr>
        <w:t xml:space="preserve"> (a), </w:t>
      </w:r>
      <w:r w:rsidR="00C31046" w:rsidRPr="006C4632">
        <w:rPr>
          <w:iCs/>
        </w:rPr>
        <w:t xml:space="preserve">amend </w:t>
      </w:r>
      <w:r w:rsidR="005F72B3" w:rsidRPr="006C4632">
        <w:rPr>
          <w:iCs/>
        </w:rPr>
        <w:t>to read</w:t>
      </w:r>
      <w:r w:rsidR="00DF418A" w:rsidRPr="006C4632">
        <w:t>:</w:t>
      </w:r>
    </w:p>
    <w:p w:rsidR="008369BC" w:rsidRPr="006C4632" w:rsidRDefault="008D3ABA" w:rsidP="008369BC">
      <w:pPr>
        <w:pStyle w:val="SingleTxtG"/>
        <w:ind w:left="2268" w:hanging="1134"/>
      </w:pPr>
      <w:r w:rsidRPr="006C4632">
        <w:t>"</w:t>
      </w:r>
      <w:r w:rsidR="008369BC" w:rsidRPr="006C4632">
        <w:t>1.3.</w:t>
      </w:r>
      <w:r w:rsidR="008369BC" w:rsidRPr="006C4632">
        <w:tab/>
        <w:t>It covers:</w:t>
      </w:r>
    </w:p>
    <w:p w:rsidR="00FD7127" w:rsidRPr="006C4632" w:rsidRDefault="008369BC" w:rsidP="008369BC">
      <w:pPr>
        <w:pStyle w:val="a"/>
        <w:rPr>
          <w:lang w:val="en-GB"/>
        </w:rPr>
      </w:pPr>
      <w:proofErr w:type="gramStart"/>
      <w:r w:rsidRPr="006C4632">
        <w:rPr>
          <w:lang w:val="en-GB"/>
        </w:rPr>
        <w:t>(a)</w:t>
      </w:r>
      <w:r w:rsidRPr="006C4632">
        <w:rPr>
          <w:lang w:val="en-GB"/>
        </w:rPr>
        <w:tab/>
        <w:t>Requirements regarding the immunity to radiated and conducted disturbances for functions related to direct control of the vehicle, related to driver, passenger and other road users' protection, related to disturbances, which would cause confusion to the driver or other road users, related to vehicle data bus functionality, related to disturbances, which would affect vehicle statutory data</w:t>
      </w:r>
      <w:r w:rsidRPr="006C4632">
        <w:rPr>
          <w:b/>
          <w:lang w:val="en-GB"/>
        </w:rPr>
        <w:t>,</w:t>
      </w:r>
      <w:r w:rsidRPr="006C4632">
        <w:rPr>
          <w:lang w:val="en-GB"/>
        </w:rPr>
        <w:t xml:space="preserve"> </w:t>
      </w:r>
      <w:r w:rsidRPr="006C4632">
        <w:rPr>
          <w:b/>
          <w:lang w:val="en-GB"/>
        </w:rPr>
        <w:t>related to charging mode when coupled to the power grid;</w:t>
      </w:r>
      <w:r w:rsidR="00F73CB2" w:rsidRPr="006C4632">
        <w:rPr>
          <w:lang w:val="en-GB"/>
        </w:rPr>
        <w:t>"</w:t>
      </w:r>
      <w:proofErr w:type="gramEnd"/>
    </w:p>
    <w:p w:rsidR="00FE2604" w:rsidRPr="006C4632" w:rsidRDefault="00FE2604" w:rsidP="004D02BC">
      <w:pPr>
        <w:tabs>
          <w:tab w:val="left" w:pos="2476"/>
        </w:tabs>
        <w:spacing w:after="120" w:line="240" w:lineRule="auto"/>
        <w:ind w:left="1134" w:right="1134"/>
        <w:jc w:val="both"/>
      </w:pPr>
      <w:proofErr w:type="gramStart"/>
      <w:r w:rsidRPr="006C4632">
        <w:rPr>
          <w:i/>
        </w:rPr>
        <w:t>Paragraph 7.4.2.</w:t>
      </w:r>
      <w:proofErr w:type="gramEnd"/>
      <w:r w:rsidRPr="006C4632">
        <w:rPr>
          <w:i/>
        </w:rPr>
        <w:t xml:space="preserve">, </w:t>
      </w:r>
      <w:proofErr w:type="gramStart"/>
      <w:r w:rsidRPr="006C4632">
        <w:rPr>
          <w:iCs/>
        </w:rPr>
        <w:t>amend to read</w:t>
      </w:r>
      <w:proofErr w:type="gramEnd"/>
      <w:r w:rsidRPr="006C4632">
        <w:t>:</w:t>
      </w:r>
    </w:p>
    <w:p w:rsidR="008369BC" w:rsidRPr="006C4632" w:rsidRDefault="00FE2604" w:rsidP="004D02BC">
      <w:pPr>
        <w:spacing w:after="120"/>
        <w:ind w:left="1134" w:right="1134"/>
        <w:jc w:val="both"/>
      </w:pPr>
      <w:r w:rsidRPr="006C4632">
        <w:t>"</w:t>
      </w:r>
      <w:smartTag w:uri="urn:schemas-microsoft-com:office:smarttags" w:element="chsdate">
        <w:smartTagPr>
          <w:attr w:name="Year" w:val="1899"/>
          <w:attr w:name="Month" w:val="12"/>
          <w:attr w:name="Day" w:val="30"/>
          <w:attr w:name="IsLunarDate" w:val="False"/>
          <w:attr w:name="IsROCDate" w:val="False"/>
        </w:smartTagPr>
        <w:r w:rsidR="008369BC" w:rsidRPr="006C4632">
          <w:t>7.4.2</w:t>
        </w:r>
      </w:smartTag>
      <w:r w:rsidR="008369BC" w:rsidRPr="006C4632">
        <w:t xml:space="preserve">. </w:t>
      </w:r>
      <w:r w:rsidR="008B2859" w:rsidRPr="006C4632">
        <w:tab/>
      </w:r>
      <w:r w:rsidR="008369BC" w:rsidRPr="006C4632">
        <w:t>Vehicle type approval limit</w:t>
      </w:r>
    </w:p>
    <w:p w:rsidR="008369BC" w:rsidRPr="006C4632" w:rsidRDefault="008369BC" w:rsidP="004D02BC">
      <w:pPr>
        <w:spacing w:after="120"/>
        <w:ind w:left="2268" w:right="1134" w:hanging="1134"/>
        <w:jc w:val="both"/>
      </w:pPr>
      <w:smartTag w:uri="urn:schemas-microsoft-com:office:smarttags" w:element="chsdate">
        <w:smartTagPr>
          <w:attr w:name="Year" w:val="1899"/>
          <w:attr w:name="Month" w:val="12"/>
          <w:attr w:name="Day" w:val="30"/>
          <w:attr w:name="IsLunarDate" w:val="False"/>
          <w:attr w:name="IsROCDate" w:val="False"/>
        </w:smartTagPr>
        <w:r w:rsidRPr="006C4632">
          <w:t>7.4.2</w:t>
        </w:r>
      </w:smartTag>
      <w:r w:rsidRPr="006C4632">
        <w:t xml:space="preserve">.1. </w:t>
      </w:r>
      <w:r w:rsidR="008B2859" w:rsidRPr="006C4632">
        <w:tab/>
      </w:r>
      <w:r w:rsidRPr="006C4632">
        <w:t xml:space="preserve">If measurements are made using the method described in Annex 12, the limits for rated current ≤ </w:t>
      </w:r>
      <w:smartTag w:uri="urn:schemas-microsoft-com:office:smarttags" w:element="chmetcnv">
        <w:smartTagPr>
          <w:attr w:name="UnitName" w:val="a"/>
          <w:attr w:name="SourceValue" w:val="16"/>
          <w:attr w:name="HasSpace" w:val="True"/>
          <w:attr w:name="Negative" w:val="False"/>
          <w:attr w:name="NumberType" w:val="1"/>
          <w:attr w:name="TCSC" w:val="0"/>
        </w:smartTagPr>
        <w:r w:rsidRPr="006C4632">
          <w:t>16 A</w:t>
        </w:r>
      </w:smartTag>
      <w:r w:rsidRPr="006C4632">
        <w:t xml:space="preserve"> per phase and not subjected to conditional connection are those defined in IEC 6</w:t>
      </w:r>
      <w:smartTag w:uri="urn:schemas-microsoft-com:office:smarttags" w:element="chsdate">
        <w:smartTagPr>
          <w:attr w:name="Year" w:val="1000"/>
          <w:attr w:name="Month" w:val="3"/>
          <w:attr w:name="Day" w:val="3"/>
          <w:attr w:name="IsLunarDate" w:val="False"/>
          <w:attr w:name="IsROCDate" w:val="False"/>
        </w:smartTagPr>
        <w:r w:rsidRPr="006C4632">
          <w:t>1000-3-3</w:t>
        </w:r>
      </w:smartTag>
      <w:r w:rsidRPr="006C4632">
        <w:t>, paragraph 5</w:t>
      </w:r>
      <w:r w:rsidR="004D09E9" w:rsidRPr="006C4632">
        <w:rPr>
          <w:b/>
        </w:rPr>
        <w:t>;</w:t>
      </w:r>
    </w:p>
    <w:p w:rsidR="008369BC" w:rsidRPr="006C4632" w:rsidRDefault="008369BC" w:rsidP="004D02BC">
      <w:pPr>
        <w:spacing w:after="120"/>
        <w:ind w:left="1701" w:right="1134" w:firstLine="567"/>
        <w:jc w:val="both"/>
        <w:rPr>
          <w:b/>
        </w:rPr>
      </w:pPr>
      <w:r w:rsidRPr="006C4632">
        <w:rPr>
          <w:b/>
        </w:rPr>
        <w:t>-</w:t>
      </w:r>
      <w:r w:rsidR="008B2859" w:rsidRPr="006C4632">
        <w:rPr>
          <w:b/>
        </w:rPr>
        <w:t xml:space="preserve"> </w:t>
      </w:r>
      <w:r w:rsidR="00C92815" w:rsidRPr="006C4632">
        <w:rPr>
          <w:b/>
        </w:rPr>
        <w:tab/>
      </w:r>
      <w:proofErr w:type="gramStart"/>
      <w:r w:rsidRPr="006C4632">
        <w:rPr>
          <w:b/>
        </w:rPr>
        <w:t>the</w:t>
      </w:r>
      <w:proofErr w:type="gramEnd"/>
      <w:r w:rsidRPr="006C4632">
        <w:rPr>
          <w:b/>
        </w:rPr>
        <w:t xml:space="preserve"> value of </w:t>
      </w:r>
      <w:proofErr w:type="spellStart"/>
      <w:r w:rsidRPr="006C4632">
        <w:rPr>
          <w:b/>
        </w:rPr>
        <w:t>Pst</w:t>
      </w:r>
      <w:proofErr w:type="spellEnd"/>
      <w:r w:rsidRPr="006C4632">
        <w:rPr>
          <w:b/>
        </w:rPr>
        <w:t xml:space="preserve"> shall not be greater than 1</w:t>
      </w:r>
      <w:r w:rsidR="00FE2604" w:rsidRPr="006C4632">
        <w:rPr>
          <w:b/>
        </w:rPr>
        <w:t>.</w:t>
      </w:r>
      <w:r w:rsidRPr="006C4632">
        <w:rPr>
          <w:b/>
        </w:rPr>
        <w:t>0;</w:t>
      </w:r>
    </w:p>
    <w:p w:rsidR="008369BC" w:rsidRPr="006C4632" w:rsidRDefault="008369BC" w:rsidP="004D02BC">
      <w:pPr>
        <w:spacing w:after="120"/>
        <w:ind w:left="1701" w:right="1134" w:firstLine="567"/>
        <w:jc w:val="both"/>
        <w:rPr>
          <w:b/>
        </w:rPr>
      </w:pPr>
      <w:r w:rsidRPr="006C4632">
        <w:rPr>
          <w:b/>
        </w:rPr>
        <w:t xml:space="preserve">- </w:t>
      </w:r>
      <w:r w:rsidR="00C92815" w:rsidRPr="006C4632">
        <w:rPr>
          <w:b/>
        </w:rPr>
        <w:tab/>
      </w:r>
      <w:proofErr w:type="gramStart"/>
      <w:r w:rsidRPr="006C4632">
        <w:rPr>
          <w:b/>
        </w:rPr>
        <w:t>the</w:t>
      </w:r>
      <w:proofErr w:type="gramEnd"/>
      <w:r w:rsidRPr="006C4632">
        <w:rPr>
          <w:b/>
        </w:rPr>
        <w:t xml:space="preserve"> value of </w:t>
      </w:r>
      <w:proofErr w:type="spellStart"/>
      <w:r w:rsidRPr="006C4632">
        <w:rPr>
          <w:b/>
        </w:rPr>
        <w:t>Plt</w:t>
      </w:r>
      <w:proofErr w:type="spellEnd"/>
      <w:r w:rsidRPr="006C4632">
        <w:rPr>
          <w:b/>
        </w:rPr>
        <w:t xml:space="preserve"> shall not be greater than 0</w:t>
      </w:r>
      <w:r w:rsidR="00FE2604" w:rsidRPr="006C4632">
        <w:rPr>
          <w:b/>
        </w:rPr>
        <w:t>.</w:t>
      </w:r>
      <w:r w:rsidRPr="006C4632">
        <w:rPr>
          <w:b/>
        </w:rPr>
        <w:t>65;</w:t>
      </w:r>
    </w:p>
    <w:p w:rsidR="008369BC" w:rsidRPr="006C4632" w:rsidRDefault="008369BC" w:rsidP="004D02BC">
      <w:pPr>
        <w:spacing w:after="120"/>
        <w:ind w:left="2832" w:right="1134" w:hanging="564"/>
        <w:jc w:val="both"/>
        <w:rPr>
          <w:b/>
        </w:rPr>
      </w:pPr>
      <w:r w:rsidRPr="006C4632">
        <w:rPr>
          <w:b/>
        </w:rPr>
        <w:t xml:space="preserve">- </w:t>
      </w:r>
      <w:r w:rsidR="004D09E9" w:rsidRPr="006C4632">
        <w:rPr>
          <w:b/>
        </w:rPr>
        <w:tab/>
      </w:r>
      <w:proofErr w:type="gramStart"/>
      <w:r w:rsidRPr="006C4632">
        <w:rPr>
          <w:b/>
        </w:rPr>
        <w:t>the</w:t>
      </w:r>
      <w:proofErr w:type="gramEnd"/>
      <w:r w:rsidRPr="006C4632">
        <w:rPr>
          <w:b/>
        </w:rPr>
        <w:t xml:space="preserve"> value of d(t) during a voltage change shall not exceed 3</w:t>
      </w:r>
      <w:r w:rsidR="00FE2604" w:rsidRPr="006C4632">
        <w:rPr>
          <w:b/>
        </w:rPr>
        <w:t>.</w:t>
      </w:r>
      <w:r w:rsidRPr="006C4632">
        <w:rPr>
          <w:b/>
        </w:rPr>
        <w:t xml:space="preserve">3 </w:t>
      </w:r>
      <w:r w:rsidR="00FE2604" w:rsidRPr="006C4632">
        <w:rPr>
          <w:b/>
        </w:rPr>
        <w:t>per cent</w:t>
      </w:r>
      <w:r w:rsidRPr="006C4632">
        <w:rPr>
          <w:b/>
        </w:rPr>
        <w:t xml:space="preserve"> for more than 500 </w:t>
      </w:r>
      <w:proofErr w:type="spellStart"/>
      <w:r w:rsidRPr="006C4632">
        <w:rPr>
          <w:b/>
        </w:rPr>
        <w:t>ms</w:t>
      </w:r>
      <w:proofErr w:type="spellEnd"/>
      <w:r w:rsidRPr="006C4632">
        <w:rPr>
          <w:b/>
        </w:rPr>
        <w:t>;</w:t>
      </w:r>
    </w:p>
    <w:p w:rsidR="008369BC" w:rsidRPr="006C4632" w:rsidRDefault="008369BC" w:rsidP="004D02BC">
      <w:pPr>
        <w:spacing w:after="120"/>
        <w:ind w:left="2832" w:right="1134" w:hanging="564"/>
        <w:jc w:val="both"/>
        <w:rPr>
          <w:b/>
        </w:rPr>
      </w:pPr>
      <w:r w:rsidRPr="006C4632">
        <w:rPr>
          <w:b/>
        </w:rPr>
        <w:t xml:space="preserve">- </w:t>
      </w:r>
      <w:r w:rsidR="004D09E9" w:rsidRPr="006C4632">
        <w:rPr>
          <w:b/>
        </w:rPr>
        <w:tab/>
      </w:r>
      <w:proofErr w:type="gramStart"/>
      <w:r w:rsidRPr="006C4632">
        <w:rPr>
          <w:b/>
        </w:rPr>
        <w:t>the</w:t>
      </w:r>
      <w:proofErr w:type="gramEnd"/>
      <w:r w:rsidRPr="006C4632">
        <w:rPr>
          <w:b/>
        </w:rPr>
        <w:t xml:space="preserve"> relative steady-state voltage change, d</w:t>
      </w:r>
      <w:r w:rsidRPr="006C4632">
        <w:rPr>
          <w:b/>
          <w:vertAlign w:val="subscript"/>
        </w:rPr>
        <w:t>c</w:t>
      </w:r>
      <w:r w:rsidRPr="006C4632">
        <w:rPr>
          <w:b/>
        </w:rPr>
        <w:t>, shall not exceed 3</w:t>
      </w:r>
      <w:r w:rsidR="00FE2604" w:rsidRPr="006C4632">
        <w:rPr>
          <w:b/>
        </w:rPr>
        <w:t>.</w:t>
      </w:r>
      <w:r w:rsidRPr="006C4632">
        <w:rPr>
          <w:b/>
        </w:rPr>
        <w:t xml:space="preserve">3 </w:t>
      </w:r>
      <w:r w:rsidR="00FE2604" w:rsidRPr="006C4632">
        <w:rPr>
          <w:b/>
        </w:rPr>
        <w:t>per cent</w:t>
      </w:r>
      <w:r w:rsidRPr="006C4632">
        <w:rPr>
          <w:b/>
        </w:rPr>
        <w:t>;</w:t>
      </w:r>
    </w:p>
    <w:p w:rsidR="008369BC" w:rsidRPr="006C4632" w:rsidRDefault="008369BC" w:rsidP="004D02BC">
      <w:pPr>
        <w:spacing w:after="120"/>
        <w:ind w:left="2832" w:right="1134" w:hanging="564"/>
        <w:jc w:val="both"/>
        <w:rPr>
          <w:b/>
        </w:rPr>
      </w:pPr>
      <w:r w:rsidRPr="006C4632">
        <w:rPr>
          <w:b/>
        </w:rPr>
        <w:t xml:space="preserve">- </w:t>
      </w:r>
      <w:r w:rsidR="004D09E9" w:rsidRPr="006C4632">
        <w:rPr>
          <w:b/>
        </w:rPr>
        <w:tab/>
      </w:r>
      <w:proofErr w:type="gramStart"/>
      <w:r w:rsidRPr="006C4632">
        <w:rPr>
          <w:b/>
        </w:rPr>
        <w:t>the</w:t>
      </w:r>
      <w:proofErr w:type="gramEnd"/>
      <w:r w:rsidRPr="006C4632">
        <w:rPr>
          <w:b/>
        </w:rPr>
        <w:t xml:space="preserve"> maximum relative voltage change </w:t>
      </w:r>
      <w:proofErr w:type="spellStart"/>
      <w:r w:rsidRPr="006C4632">
        <w:rPr>
          <w:b/>
        </w:rPr>
        <w:t>d</w:t>
      </w:r>
      <w:r w:rsidRPr="006C4632">
        <w:rPr>
          <w:b/>
          <w:vertAlign w:val="subscript"/>
        </w:rPr>
        <w:t>max</w:t>
      </w:r>
      <w:proofErr w:type="spellEnd"/>
      <w:r w:rsidRPr="006C4632">
        <w:rPr>
          <w:b/>
        </w:rPr>
        <w:t xml:space="preserve">, shall not exceed 4 </w:t>
      </w:r>
      <w:r w:rsidR="00FE2604" w:rsidRPr="006C4632">
        <w:rPr>
          <w:b/>
        </w:rPr>
        <w:t>per cent.</w:t>
      </w:r>
    </w:p>
    <w:p w:rsidR="008369BC" w:rsidRPr="006C4632" w:rsidRDefault="008369BC" w:rsidP="004D02BC">
      <w:pPr>
        <w:spacing w:after="120"/>
        <w:ind w:left="2268" w:right="1134" w:hanging="1134"/>
        <w:jc w:val="both"/>
      </w:pPr>
      <w:smartTag w:uri="urn:schemas-microsoft-com:office:smarttags" w:element="chsdate">
        <w:smartTagPr>
          <w:attr w:name="Year" w:val="1899"/>
          <w:attr w:name="Month" w:val="12"/>
          <w:attr w:name="Day" w:val="30"/>
          <w:attr w:name="IsLunarDate" w:val="False"/>
          <w:attr w:name="IsROCDate" w:val="False"/>
        </w:smartTagPr>
        <w:r w:rsidRPr="006C4632">
          <w:t>7.4.2</w:t>
        </w:r>
      </w:smartTag>
      <w:r w:rsidRPr="006C4632">
        <w:t xml:space="preserve">.2. </w:t>
      </w:r>
      <w:r w:rsidR="00FE2604" w:rsidRPr="006C4632">
        <w:tab/>
      </w:r>
      <w:r w:rsidRPr="006C4632">
        <w:t xml:space="preserve">If measurements are made using the method described in Annex 12, the limits for rated current &gt; </w:t>
      </w:r>
      <w:smartTag w:uri="urn:schemas-microsoft-com:office:smarttags" w:element="chmetcnv">
        <w:smartTagPr>
          <w:attr w:name="UnitName" w:val="a"/>
          <w:attr w:name="SourceValue" w:val="16"/>
          <w:attr w:name="HasSpace" w:val="True"/>
          <w:attr w:name="Negative" w:val="False"/>
          <w:attr w:name="NumberType" w:val="1"/>
          <w:attr w:name="TCSC" w:val="0"/>
        </w:smartTagPr>
        <w:r w:rsidRPr="006C4632">
          <w:t>16 A</w:t>
        </w:r>
      </w:smartTag>
      <w:r w:rsidRPr="006C4632">
        <w:t xml:space="preserve"> and ≤ </w:t>
      </w:r>
      <w:smartTag w:uri="urn:schemas-microsoft-com:office:smarttags" w:element="chmetcnv">
        <w:smartTagPr>
          <w:attr w:name="UnitName" w:val="a"/>
          <w:attr w:name="SourceValue" w:val="75"/>
          <w:attr w:name="HasSpace" w:val="True"/>
          <w:attr w:name="Negative" w:val="False"/>
          <w:attr w:name="NumberType" w:val="1"/>
          <w:attr w:name="TCSC" w:val="0"/>
        </w:smartTagPr>
        <w:r w:rsidRPr="006C4632">
          <w:t>75 A</w:t>
        </w:r>
      </w:smartTag>
      <w:r w:rsidRPr="006C4632">
        <w:t xml:space="preserve"> per phase and subjected to conditional connection are those defined in IEC 6</w:t>
      </w:r>
      <w:smartTag w:uri="urn:schemas-microsoft-com:office:smarttags" w:element="chsdate">
        <w:smartTagPr>
          <w:attr w:name="Year" w:val="1000"/>
          <w:attr w:name="Month" w:val="3"/>
          <w:attr w:name="Day" w:val="11"/>
          <w:attr w:name="IsLunarDate" w:val="False"/>
          <w:attr w:name="IsROCDate" w:val="False"/>
        </w:smartTagPr>
        <w:r w:rsidRPr="006C4632">
          <w:t>1000-3-11</w:t>
        </w:r>
      </w:smartTag>
      <w:r w:rsidRPr="006C4632">
        <w:t>, paragraph 5</w:t>
      </w:r>
      <w:r w:rsidR="00FE2604" w:rsidRPr="006C4632">
        <w:rPr>
          <w:b/>
        </w:rPr>
        <w:t>;</w:t>
      </w:r>
    </w:p>
    <w:p w:rsidR="008369BC" w:rsidRPr="006C4632" w:rsidRDefault="008369BC" w:rsidP="004D02BC">
      <w:pPr>
        <w:spacing w:after="120"/>
        <w:ind w:left="1701" w:right="1134" w:firstLine="567"/>
        <w:jc w:val="both"/>
        <w:rPr>
          <w:b/>
        </w:rPr>
      </w:pPr>
      <w:r w:rsidRPr="006C4632">
        <w:rPr>
          <w:b/>
        </w:rPr>
        <w:t>-</w:t>
      </w:r>
      <w:r w:rsidR="00FE2604" w:rsidRPr="006C4632">
        <w:rPr>
          <w:b/>
        </w:rPr>
        <w:t xml:space="preserve"> </w:t>
      </w:r>
      <w:r w:rsidR="00FE2604" w:rsidRPr="006C4632">
        <w:rPr>
          <w:b/>
        </w:rPr>
        <w:tab/>
      </w:r>
      <w:proofErr w:type="gramStart"/>
      <w:r w:rsidRPr="006C4632">
        <w:rPr>
          <w:b/>
        </w:rPr>
        <w:t>the</w:t>
      </w:r>
      <w:proofErr w:type="gramEnd"/>
      <w:r w:rsidRPr="006C4632">
        <w:rPr>
          <w:b/>
        </w:rPr>
        <w:t xml:space="preserve"> value of </w:t>
      </w:r>
      <w:proofErr w:type="spellStart"/>
      <w:r w:rsidRPr="006C4632">
        <w:rPr>
          <w:b/>
        </w:rPr>
        <w:t>Pst</w:t>
      </w:r>
      <w:proofErr w:type="spellEnd"/>
      <w:r w:rsidRPr="006C4632">
        <w:rPr>
          <w:b/>
        </w:rPr>
        <w:t xml:space="preserve"> shall not be greater than 1</w:t>
      </w:r>
      <w:r w:rsidR="006C4632">
        <w:rPr>
          <w:b/>
        </w:rPr>
        <w:t>.</w:t>
      </w:r>
      <w:r w:rsidRPr="006C4632">
        <w:rPr>
          <w:b/>
        </w:rPr>
        <w:t>0;</w:t>
      </w:r>
    </w:p>
    <w:p w:rsidR="008369BC" w:rsidRPr="006C4632" w:rsidRDefault="008369BC" w:rsidP="004D02BC">
      <w:pPr>
        <w:spacing w:after="120"/>
        <w:ind w:left="1701" w:right="1134" w:firstLine="567"/>
        <w:jc w:val="both"/>
        <w:rPr>
          <w:b/>
        </w:rPr>
      </w:pPr>
      <w:r w:rsidRPr="006C4632">
        <w:rPr>
          <w:b/>
        </w:rPr>
        <w:t xml:space="preserve">- </w:t>
      </w:r>
      <w:r w:rsidR="00FE2604" w:rsidRPr="006C4632">
        <w:rPr>
          <w:b/>
        </w:rPr>
        <w:tab/>
      </w:r>
      <w:proofErr w:type="gramStart"/>
      <w:r w:rsidRPr="006C4632">
        <w:rPr>
          <w:b/>
        </w:rPr>
        <w:t>the</w:t>
      </w:r>
      <w:proofErr w:type="gramEnd"/>
      <w:r w:rsidRPr="006C4632">
        <w:rPr>
          <w:b/>
        </w:rPr>
        <w:t xml:space="preserve"> value of </w:t>
      </w:r>
      <w:proofErr w:type="spellStart"/>
      <w:r w:rsidRPr="006C4632">
        <w:rPr>
          <w:b/>
        </w:rPr>
        <w:t>Plt</w:t>
      </w:r>
      <w:proofErr w:type="spellEnd"/>
      <w:r w:rsidRPr="006C4632">
        <w:rPr>
          <w:b/>
        </w:rPr>
        <w:t xml:space="preserve"> shall not be greater than 0</w:t>
      </w:r>
      <w:r w:rsidR="006C4632">
        <w:rPr>
          <w:b/>
        </w:rPr>
        <w:t>.</w:t>
      </w:r>
      <w:r w:rsidRPr="006C4632">
        <w:rPr>
          <w:b/>
        </w:rPr>
        <w:t>65;</w:t>
      </w:r>
    </w:p>
    <w:p w:rsidR="008369BC" w:rsidRPr="006C4632" w:rsidRDefault="008369BC" w:rsidP="004D02BC">
      <w:pPr>
        <w:spacing w:after="120"/>
        <w:ind w:left="2832" w:right="1134" w:hanging="564"/>
        <w:jc w:val="both"/>
        <w:rPr>
          <w:b/>
        </w:rPr>
      </w:pPr>
      <w:r w:rsidRPr="006C4632">
        <w:rPr>
          <w:b/>
        </w:rPr>
        <w:t xml:space="preserve">- </w:t>
      </w:r>
      <w:r w:rsidR="00FE2604" w:rsidRPr="006C4632">
        <w:rPr>
          <w:b/>
        </w:rPr>
        <w:tab/>
      </w:r>
      <w:proofErr w:type="gramStart"/>
      <w:r w:rsidRPr="006C4632">
        <w:rPr>
          <w:b/>
        </w:rPr>
        <w:t>the</w:t>
      </w:r>
      <w:proofErr w:type="gramEnd"/>
      <w:r w:rsidRPr="006C4632">
        <w:rPr>
          <w:b/>
        </w:rPr>
        <w:t xml:space="preserve"> value of d(t) during a voltage change shall not exceed 3</w:t>
      </w:r>
      <w:r w:rsidR="006C4632">
        <w:rPr>
          <w:b/>
        </w:rPr>
        <w:t>.</w:t>
      </w:r>
      <w:r w:rsidRPr="006C4632">
        <w:rPr>
          <w:b/>
        </w:rPr>
        <w:t xml:space="preserve">3 </w:t>
      </w:r>
      <w:r w:rsidR="00FE2604" w:rsidRPr="006C4632">
        <w:rPr>
          <w:b/>
        </w:rPr>
        <w:t>per cent</w:t>
      </w:r>
      <w:r w:rsidRPr="006C4632">
        <w:rPr>
          <w:b/>
        </w:rPr>
        <w:t xml:space="preserve"> for more than 500 </w:t>
      </w:r>
      <w:proofErr w:type="spellStart"/>
      <w:r w:rsidRPr="006C4632">
        <w:rPr>
          <w:b/>
        </w:rPr>
        <w:t>ms</w:t>
      </w:r>
      <w:proofErr w:type="spellEnd"/>
      <w:r w:rsidRPr="006C4632">
        <w:rPr>
          <w:b/>
        </w:rPr>
        <w:t>;</w:t>
      </w:r>
    </w:p>
    <w:p w:rsidR="008369BC" w:rsidRPr="006C4632" w:rsidRDefault="008369BC" w:rsidP="004D02BC">
      <w:pPr>
        <w:spacing w:after="120"/>
        <w:ind w:left="2832" w:right="1134" w:hanging="564"/>
        <w:jc w:val="both"/>
        <w:rPr>
          <w:b/>
        </w:rPr>
      </w:pPr>
      <w:r w:rsidRPr="006C4632">
        <w:rPr>
          <w:b/>
        </w:rPr>
        <w:t xml:space="preserve">- </w:t>
      </w:r>
      <w:r w:rsidR="00FE2604" w:rsidRPr="006C4632">
        <w:rPr>
          <w:b/>
        </w:rPr>
        <w:tab/>
      </w:r>
      <w:proofErr w:type="gramStart"/>
      <w:r w:rsidRPr="006C4632">
        <w:rPr>
          <w:b/>
        </w:rPr>
        <w:t>the</w:t>
      </w:r>
      <w:proofErr w:type="gramEnd"/>
      <w:r w:rsidRPr="006C4632">
        <w:rPr>
          <w:b/>
        </w:rPr>
        <w:t xml:space="preserve"> relative steady-state voltage change, dc, shall not exceed 3</w:t>
      </w:r>
      <w:r w:rsidR="006C4632">
        <w:rPr>
          <w:b/>
        </w:rPr>
        <w:t>.</w:t>
      </w:r>
      <w:r w:rsidRPr="006C4632">
        <w:rPr>
          <w:b/>
        </w:rPr>
        <w:t xml:space="preserve">3 </w:t>
      </w:r>
      <w:r w:rsidR="00FE2604" w:rsidRPr="006C4632">
        <w:rPr>
          <w:b/>
        </w:rPr>
        <w:t>per cent</w:t>
      </w:r>
      <w:r w:rsidRPr="006C4632">
        <w:rPr>
          <w:b/>
        </w:rPr>
        <w:t>;</w:t>
      </w:r>
    </w:p>
    <w:p w:rsidR="008369BC" w:rsidRPr="006C4632" w:rsidRDefault="008369BC" w:rsidP="004D02BC">
      <w:pPr>
        <w:spacing w:after="120"/>
        <w:ind w:left="2832" w:right="1134" w:hanging="564"/>
        <w:jc w:val="both"/>
      </w:pPr>
      <w:r w:rsidRPr="006C4632">
        <w:rPr>
          <w:b/>
        </w:rPr>
        <w:t xml:space="preserve">- </w:t>
      </w:r>
      <w:r w:rsidR="00FE2604" w:rsidRPr="006C4632">
        <w:rPr>
          <w:b/>
        </w:rPr>
        <w:tab/>
      </w:r>
      <w:r w:rsidRPr="006C4632">
        <w:rPr>
          <w:b/>
        </w:rPr>
        <w:t xml:space="preserve">the maximum relative voltage change </w:t>
      </w:r>
      <w:proofErr w:type="spellStart"/>
      <w:r w:rsidRPr="006C4632">
        <w:rPr>
          <w:b/>
        </w:rPr>
        <w:t>d</w:t>
      </w:r>
      <w:r w:rsidRPr="00F3442E">
        <w:rPr>
          <w:b/>
          <w:vertAlign w:val="subscript"/>
        </w:rPr>
        <w:t>max</w:t>
      </w:r>
      <w:proofErr w:type="spellEnd"/>
      <w:r w:rsidRPr="006C4632">
        <w:rPr>
          <w:b/>
        </w:rPr>
        <w:t xml:space="preserve">, shall not exceed 4 </w:t>
      </w:r>
      <w:r w:rsidR="00FE2604" w:rsidRPr="006C4632">
        <w:rPr>
          <w:b/>
        </w:rPr>
        <w:t>per cent.</w:t>
      </w:r>
      <w:r w:rsidR="00FE2604" w:rsidRPr="006C4632">
        <w:t>"</w:t>
      </w:r>
    </w:p>
    <w:p w:rsidR="006908EF" w:rsidRPr="006C4632" w:rsidRDefault="006908EF" w:rsidP="006908EF">
      <w:pPr>
        <w:spacing w:after="120"/>
        <w:ind w:left="1134" w:right="1134"/>
        <w:jc w:val="both"/>
      </w:pPr>
      <w:r w:rsidRPr="006C4632">
        <w:rPr>
          <w:i/>
        </w:rPr>
        <w:t xml:space="preserve">Annex </w:t>
      </w:r>
      <w:proofErr w:type="gramStart"/>
      <w:r w:rsidRPr="006C4632">
        <w:rPr>
          <w:i/>
        </w:rPr>
        <w:t>4</w:t>
      </w:r>
      <w:proofErr w:type="gramEnd"/>
      <w:r w:rsidRPr="006C4632">
        <w:rPr>
          <w:i/>
        </w:rPr>
        <w:t xml:space="preserve">, Appendix 1, Figure 1, </w:t>
      </w:r>
      <w:r w:rsidRPr="006C4632">
        <w:t>delete.</w:t>
      </w:r>
    </w:p>
    <w:p w:rsidR="00A94111" w:rsidRPr="006C4632" w:rsidRDefault="00A94111" w:rsidP="00A94111">
      <w:pPr>
        <w:spacing w:after="120"/>
        <w:ind w:left="1134" w:right="1134"/>
        <w:jc w:val="both"/>
      </w:pPr>
      <w:r w:rsidRPr="006C4632">
        <w:rPr>
          <w:i/>
        </w:rPr>
        <w:t xml:space="preserve">Annex </w:t>
      </w:r>
      <w:proofErr w:type="gramStart"/>
      <w:r w:rsidRPr="006C4632">
        <w:rPr>
          <w:i/>
        </w:rPr>
        <w:t>6</w:t>
      </w:r>
      <w:proofErr w:type="gramEnd"/>
      <w:r w:rsidRPr="006C4632">
        <w:rPr>
          <w:i/>
        </w:rPr>
        <w:t>, paragraph 4.1.</w:t>
      </w:r>
      <w:r w:rsidRPr="006C4632">
        <w:t>, amend to read:</w:t>
      </w:r>
    </w:p>
    <w:p w:rsidR="00A94111" w:rsidRPr="006C4632" w:rsidRDefault="00A94111" w:rsidP="00FA3DC2">
      <w:pPr>
        <w:widowControl w:val="0"/>
        <w:suppressAutoHyphens w:val="0"/>
        <w:spacing w:after="120"/>
        <w:ind w:firstLine="1134"/>
        <w:jc w:val="both"/>
        <w:rPr>
          <w:rFonts w:eastAsia="SimSun"/>
          <w:kern w:val="2"/>
          <w:sz w:val="21"/>
          <w:szCs w:val="24"/>
          <w:lang w:eastAsia="zh-CN"/>
        </w:rPr>
      </w:pPr>
      <w:r w:rsidRPr="006C4632">
        <w:rPr>
          <w:rFonts w:eastAsia="SimSun"/>
          <w:kern w:val="2"/>
          <w:sz w:val="21"/>
          <w:szCs w:val="24"/>
          <w:lang w:eastAsia="zh-CN"/>
        </w:rPr>
        <w:t xml:space="preserve">"4.1. </w:t>
      </w:r>
      <w:r w:rsidRPr="006C4632">
        <w:rPr>
          <w:rFonts w:eastAsia="SimSun"/>
          <w:kern w:val="2"/>
          <w:sz w:val="21"/>
          <w:szCs w:val="24"/>
          <w:lang w:eastAsia="zh-CN"/>
        </w:rPr>
        <w:tab/>
      </w:r>
      <w:r w:rsidRPr="006C4632">
        <w:rPr>
          <w:rFonts w:eastAsia="SimSun"/>
          <w:kern w:val="2"/>
          <w:sz w:val="21"/>
          <w:szCs w:val="24"/>
          <w:lang w:eastAsia="zh-CN"/>
        </w:rPr>
        <w:tab/>
        <w:t>…</w:t>
      </w:r>
    </w:p>
    <w:p w:rsidR="00A94111" w:rsidRPr="006C4632" w:rsidRDefault="00A94111" w:rsidP="00FA3DC2">
      <w:pPr>
        <w:widowControl w:val="0"/>
        <w:suppressAutoHyphens w:val="0"/>
        <w:spacing w:after="120"/>
        <w:ind w:left="1134" w:firstLine="1134"/>
        <w:jc w:val="both"/>
        <w:rPr>
          <w:rFonts w:eastAsia="SimSun"/>
          <w:kern w:val="2"/>
          <w:sz w:val="21"/>
          <w:szCs w:val="24"/>
          <w:lang w:eastAsia="zh-CN"/>
        </w:rPr>
      </w:pPr>
      <w:r w:rsidRPr="006C4632">
        <w:rPr>
          <w:rFonts w:eastAsia="SimSun"/>
          <w:kern w:val="2"/>
          <w:sz w:val="21"/>
          <w:szCs w:val="24"/>
          <w:lang w:eastAsia="zh-CN"/>
        </w:rPr>
        <w:t>Frequency step size and dwell time shall be chosen according to ISO 11451-1.</w:t>
      </w:r>
    </w:p>
    <w:p w:rsidR="00A94111" w:rsidRPr="006C4632" w:rsidRDefault="00FA3DC2" w:rsidP="00FA3DC2">
      <w:pPr>
        <w:widowControl w:val="0"/>
        <w:suppressAutoHyphens w:val="0"/>
        <w:spacing w:after="120"/>
        <w:ind w:left="1134" w:firstLine="1134"/>
        <w:jc w:val="both"/>
        <w:rPr>
          <w:rFonts w:eastAsia="SimSun"/>
          <w:b/>
          <w:kern w:val="2"/>
          <w:sz w:val="21"/>
          <w:szCs w:val="24"/>
          <w:lang w:eastAsia="zh-CN"/>
        </w:rPr>
      </w:pPr>
      <w:r w:rsidRPr="006C4632">
        <w:rPr>
          <w:rFonts w:eastAsia="SimSun"/>
          <w:b/>
          <w:kern w:val="2"/>
          <w:sz w:val="21"/>
          <w:szCs w:val="24"/>
          <w:lang w:eastAsia="zh-CN"/>
        </w:rPr>
        <w:t>R</w:t>
      </w:r>
      <w:r w:rsidR="00A94111" w:rsidRPr="006C4632">
        <w:rPr>
          <w:rFonts w:eastAsia="SimSun"/>
          <w:b/>
          <w:kern w:val="2"/>
          <w:sz w:val="21"/>
          <w:szCs w:val="24"/>
          <w:lang w:eastAsia="zh-CN"/>
        </w:rPr>
        <w:t>ecommendations on the frequency step size</w:t>
      </w:r>
      <w:r w:rsidRPr="006C4632">
        <w:rPr>
          <w:rFonts w:eastAsia="SimSun"/>
          <w:b/>
          <w:kern w:val="2"/>
          <w:sz w:val="21"/>
          <w:szCs w:val="24"/>
          <w:lang w:eastAsia="zh-CN"/>
        </w:rPr>
        <w:t xml:space="preserve"> </w:t>
      </w:r>
      <w:proofErr w:type="gramStart"/>
      <w:r w:rsidRPr="006C4632">
        <w:rPr>
          <w:rFonts w:eastAsia="SimSun"/>
          <w:b/>
          <w:kern w:val="2"/>
          <w:sz w:val="21"/>
          <w:szCs w:val="24"/>
          <w:lang w:eastAsia="zh-CN"/>
        </w:rPr>
        <w:t>are given</w:t>
      </w:r>
      <w:proofErr w:type="gramEnd"/>
      <w:r w:rsidRPr="006C4632">
        <w:rPr>
          <w:rFonts w:eastAsia="SimSun"/>
          <w:b/>
          <w:kern w:val="2"/>
          <w:sz w:val="21"/>
          <w:szCs w:val="24"/>
          <w:lang w:eastAsia="zh-CN"/>
        </w:rPr>
        <w:t xml:space="preserve"> in the table below:</w:t>
      </w:r>
      <w:r w:rsidR="00A94111" w:rsidRPr="006C4632">
        <w:rPr>
          <w:rFonts w:eastAsia="SimSun"/>
          <w:b/>
          <w:kern w:val="2"/>
          <w:sz w:val="21"/>
          <w:szCs w:val="24"/>
          <w:lang w:eastAsia="zh-CN"/>
        </w:rPr>
        <w:t xml:space="preserve">  </w:t>
      </w:r>
    </w:p>
    <w:p w:rsidR="00A94111" w:rsidRPr="006C4632" w:rsidRDefault="00A94111" w:rsidP="00A94111">
      <w:pPr>
        <w:widowControl w:val="0"/>
        <w:suppressAutoHyphens w:val="0"/>
        <w:spacing w:line="240" w:lineRule="auto"/>
        <w:ind w:left="1134" w:firstLine="1134"/>
        <w:jc w:val="both"/>
        <w:rPr>
          <w:rFonts w:eastAsia="SimSun"/>
          <w:kern w:val="2"/>
          <w:sz w:val="21"/>
          <w:szCs w:val="24"/>
          <w:lang w:eastAsia="zh-CN"/>
        </w:rPr>
      </w:pPr>
    </w:p>
    <w:tbl>
      <w:tblPr>
        <w:tblW w:w="0" w:type="auto"/>
        <w:tblInd w:w="2376"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410"/>
        <w:gridCol w:w="1843"/>
        <w:gridCol w:w="2268"/>
      </w:tblGrid>
      <w:tr w:rsidR="00FA3DC2" w:rsidRPr="006C4632" w:rsidTr="00FA3DC2">
        <w:tc>
          <w:tcPr>
            <w:tcW w:w="2410" w:type="dxa"/>
            <w:tcBorders>
              <w:top w:val="single" w:sz="4" w:space="0" w:color="auto"/>
              <w:left w:val="single" w:sz="4" w:space="0" w:color="auto"/>
              <w:bottom w:val="single" w:sz="12" w:space="0" w:color="auto"/>
            </w:tcBorders>
          </w:tcPr>
          <w:p w:rsidR="00A94111" w:rsidRPr="006C4632" w:rsidRDefault="00A94111" w:rsidP="006C4632">
            <w:pPr>
              <w:spacing w:before="80" w:after="80" w:line="200" w:lineRule="exact"/>
              <w:jc w:val="center"/>
              <w:rPr>
                <w:i/>
                <w:sz w:val="16"/>
                <w:szCs w:val="16"/>
              </w:rPr>
            </w:pPr>
            <w:r w:rsidRPr="006C4632">
              <w:rPr>
                <w:i/>
                <w:sz w:val="16"/>
                <w:szCs w:val="16"/>
              </w:rPr>
              <w:t>Frequency</w:t>
            </w:r>
            <w:r w:rsidR="006C4632" w:rsidRPr="006C4632">
              <w:rPr>
                <w:i/>
                <w:sz w:val="16"/>
                <w:szCs w:val="16"/>
              </w:rPr>
              <w:br/>
              <w:t>(</w:t>
            </w:r>
            <w:r w:rsidRPr="006C4632">
              <w:rPr>
                <w:i/>
                <w:sz w:val="16"/>
                <w:szCs w:val="16"/>
              </w:rPr>
              <w:t>MHz</w:t>
            </w:r>
            <w:r w:rsidRPr="006C4632">
              <w:rPr>
                <w:rFonts w:eastAsia="MS Mincho"/>
                <w:i/>
                <w:sz w:val="16"/>
                <w:szCs w:val="16"/>
              </w:rPr>
              <w:t>）</w:t>
            </w:r>
          </w:p>
        </w:tc>
        <w:tc>
          <w:tcPr>
            <w:tcW w:w="1843" w:type="dxa"/>
            <w:tcBorders>
              <w:top w:val="single" w:sz="4" w:space="0" w:color="auto"/>
              <w:bottom w:val="single" w:sz="12" w:space="0" w:color="auto"/>
            </w:tcBorders>
          </w:tcPr>
          <w:p w:rsidR="00A94111" w:rsidRPr="006C4632" w:rsidRDefault="00A94111" w:rsidP="00FA3DC2">
            <w:pPr>
              <w:spacing w:before="80" w:after="80" w:line="200" w:lineRule="exact"/>
              <w:jc w:val="center"/>
              <w:rPr>
                <w:i/>
                <w:sz w:val="16"/>
                <w:szCs w:val="16"/>
              </w:rPr>
            </w:pPr>
            <w:r w:rsidRPr="006C4632">
              <w:rPr>
                <w:i/>
                <w:sz w:val="16"/>
                <w:szCs w:val="16"/>
              </w:rPr>
              <w:t>Step size</w:t>
            </w:r>
            <w:r w:rsidR="00FA3DC2" w:rsidRPr="006C4632">
              <w:rPr>
                <w:i/>
                <w:sz w:val="16"/>
                <w:szCs w:val="16"/>
              </w:rPr>
              <w:t xml:space="preserve"> </w:t>
            </w:r>
            <w:r w:rsidR="006C4632" w:rsidRPr="006C4632">
              <w:rPr>
                <w:i/>
                <w:sz w:val="16"/>
                <w:szCs w:val="16"/>
              </w:rPr>
              <w:br/>
              <w:t>(</w:t>
            </w:r>
            <w:r w:rsidRPr="006C4632">
              <w:rPr>
                <w:i/>
                <w:sz w:val="16"/>
                <w:szCs w:val="16"/>
              </w:rPr>
              <w:t>MHz</w:t>
            </w:r>
            <w:r w:rsidRPr="006C4632">
              <w:rPr>
                <w:rFonts w:eastAsia="MS Mincho"/>
                <w:i/>
                <w:sz w:val="16"/>
                <w:szCs w:val="16"/>
              </w:rPr>
              <w:t>）</w:t>
            </w:r>
          </w:p>
        </w:tc>
        <w:tc>
          <w:tcPr>
            <w:tcW w:w="2268" w:type="dxa"/>
            <w:tcBorders>
              <w:top w:val="single" w:sz="4" w:space="0" w:color="auto"/>
              <w:bottom w:val="single" w:sz="12" w:space="0" w:color="auto"/>
              <w:right w:val="single" w:sz="4" w:space="0" w:color="auto"/>
            </w:tcBorders>
          </w:tcPr>
          <w:p w:rsidR="00A94111" w:rsidRPr="006C4632" w:rsidRDefault="00A94111" w:rsidP="006C4632">
            <w:pPr>
              <w:spacing w:before="80" w:after="80" w:line="200" w:lineRule="exact"/>
              <w:jc w:val="center"/>
              <w:rPr>
                <w:i/>
                <w:sz w:val="16"/>
                <w:szCs w:val="16"/>
              </w:rPr>
            </w:pPr>
            <w:r w:rsidRPr="006C4632">
              <w:rPr>
                <w:i/>
                <w:sz w:val="16"/>
                <w:szCs w:val="16"/>
              </w:rPr>
              <w:t>Logarithm step size</w:t>
            </w:r>
            <w:r w:rsidR="00FA3DC2" w:rsidRPr="006C4632">
              <w:rPr>
                <w:i/>
                <w:sz w:val="16"/>
                <w:szCs w:val="16"/>
              </w:rPr>
              <w:t xml:space="preserve"> </w:t>
            </w:r>
            <w:r w:rsidR="006C4632" w:rsidRPr="006C4632">
              <w:rPr>
                <w:i/>
                <w:sz w:val="16"/>
                <w:szCs w:val="16"/>
              </w:rPr>
              <w:br/>
              <w:t>(</w:t>
            </w:r>
            <w:r w:rsidR="006C4632" w:rsidRPr="006C4632">
              <w:rPr>
                <w:rFonts w:eastAsia="MS Mincho"/>
                <w:i/>
                <w:sz w:val="16"/>
                <w:szCs w:val="16"/>
              </w:rPr>
              <w:t>percentage</w:t>
            </w:r>
            <w:r w:rsidRPr="006C4632">
              <w:rPr>
                <w:rFonts w:eastAsia="MS Mincho"/>
                <w:i/>
                <w:sz w:val="16"/>
                <w:szCs w:val="16"/>
              </w:rPr>
              <w:t>）</w:t>
            </w:r>
          </w:p>
        </w:tc>
      </w:tr>
      <w:tr w:rsidR="00FA3DC2" w:rsidRPr="006C4632" w:rsidTr="00FA3DC2">
        <w:tc>
          <w:tcPr>
            <w:tcW w:w="2410" w:type="dxa"/>
            <w:tcBorders>
              <w:top w:val="single" w:sz="12" w:space="0" w:color="auto"/>
              <w:left w:val="nil"/>
              <w:bottom w:val="nil"/>
              <w:right w:val="nil"/>
            </w:tcBorders>
          </w:tcPr>
          <w:p w:rsidR="00A94111" w:rsidRPr="006C4632" w:rsidRDefault="00A94111" w:rsidP="005507E3">
            <w:pPr>
              <w:jc w:val="center"/>
              <w:rPr>
                <w:sz w:val="18"/>
                <w:szCs w:val="18"/>
              </w:rPr>
            </w:pPr>
            <w:r w:rsidRPr="006C4632">
              <w:rPr>
                <w:sz w:val="18"/>
                <w:szCs w:val="18"/>
              </w:rPr>
              <w:t xml:space="preserve">20 </w:t>
            </w:r>
            <w:r w:rsidR="006C4632">
              <w:rPr>
                <w:sz w:val="18"/>
                <w:szCs w:val="18"/>
              </w:rPr>
              <w:t>&lt;</w:t>
            </w:r>
            <w:r w:rsidRPr="006C4632">
              <w:rPr>
                <w:rFonts w:ascii="SimSun" w:hAnsi="SimSun"/>
                <w:sz w:val="18"/>
                <w:szCs w:val="18"/>
              </w:rPr>
              <w:t xml:space="preserve"> f ≤ </w:t>
            </w:r>
            <w:r w:rsidRPr="006C4632">
              <w:rPr>
                <w:sz w:val="18"/>
                <w:szCs w:val="18"/>
              </w:rPr>
              <w:t>200</w:t>
            </w:r>
          </w:p>
        </w:tc>
        <w:tc>
          <w:tcPr>
            <w:tcW w:w="1843" w:type="dxa"/>
            <w:tcBorders>
              <w:top w:val="single" w:sz="12" w:space="0" w:color="auto"/>
              <w:left w:val="nil"/>
              <w:bottom w:val="nil"/>
              <w:right w:val="nil"/>
            </w:tcBorders>
          </w:tcPr>
          <w:p w:rsidR="00A94111" w:rsidRPr="006C4632" w:rsidRDefault="00A94111" w:rsidP="005507E3">
            <w:pPr>
              <w:jc w:val="center"/>
              <w:rPr>
                <w:sz w:val="18"/>
                <w:szCs w:val="18"/>
              </w:rPr>
            </w:pPr>
            <w:r w:rsidRPr="006C4632">
              <w:rPr>
                <w:sz w:val="18"/>
                <w:szCs w:val="18"/>
              </w:rPr>
              <w:t>5</w:t>
            </w:r>
          </w:p>
        </w:tc>
        <w:tc>
          <w:tcPr>
            <w:tcW w:w="2268" w:type="dxa"/>
            <w:tcBorders>
              <w:top w:val="single" w:sz="12" w:space="0" w:color="auto"/>
              <w:left w:val="nil"/>
              <w:bottom w:val="nil"/>
              <w:right w:val="nil"/>
            </w:tcBorders>
          </w:tcPr>
          <w:p w:rsidR="00A94111" w:rsidRPr="006C4632" w:rsidRDefault="00A94111" w:rsidP="005507E3">
            <w:pPr>
              <w:jc w:val="center"/>
              <w:rPr>
                <w:sz w:val="18"/>
                <w:szCs w:val="18"/>
              </w:rPr>
            </w:pPr>
            <w:r w:rsidRPr="006C4632">
              <w:rPr>
                <w:sz w:val="18"/>
                <w:szCs w:val="18"/>
              </w:rPr>
              <w:t>5</w:t>
            </w:r>
          </w:p>
        </w:tc>
      </w:tr>
      <w:tr w:rsidR="00FA3DC2" w:rsidRPr="006C4632" w:rsidTr="00FA3DC2">
        <w:tc>
          <w:tcPr>
            <w:tcW w:w="2410" w:type="dxa"/>
            <w:tcBorders>
              <w:top w:val="nil"/>
              <w:left w:val="nil"/>
              <w:bottom w:val="nil"/>
              <w:right w:val="nil"/>
            </w:tcBorders>
          </w:tcPr>
          <w:p w:rsidR="00A94111" w:rsidRPr="006C4632" w:rsidRDefault="00A94111" w:rsidP="005507E3">
            <w:pPr>
              <w:jc w:val="center"/>
              <w:rPr>
                <w:sz w:val="18"/>
                <w:szCs w:val="18"/>
              </w:rPr>
            </w:pPr>
            <w:r w:rsidRPr="006C4632">
              <w:rPr>
                <w:sz w:val="18"/>
                <w:szCs w:val="18"/>
              </w:rPr>
              <w:t xml:space="preserve">200 </w:t>
            </w:r>
            <w:r w:rsidR="006C4632">
              <w:rPr>
                <w:sz w:val="18"/>
                <w:szCs w:val="18"/>
              </w:rPr>
              <w:t>&lt;</w:t>
            </w:r>
            <w:r w:rsidRPr="006C4632">
              <w:rPr>
                <w:rFonts w:ascii="SimSun" w:hAnsi="SimSun"/>
                <w:sz w:val="18"/>
                <w:szCs w:val="18"/>
              </w:rPr>
              <w:t xml:space="preserve"> f ≤ </w:t>
            </w:r>
            <w:r w:rsidRPr="006C4632">
              <w:rPr>
                <w:sz w:val="18"/>
                <w:szCs w:val="18"/>
              </w:rPr>
              <w:t>400</w:t>
            </w:r>
          </w:p>
        </w:tc>
        <w:tc>
          <w:tcPr>
            <w:tcW w:w="1843" w:type="dxa"/>
            <w:tcBorders>
              <w:top w:val="nil"/>
              <w:left w:val="nil"/>
              <w:bottom w:val="nil"/>
              <w:right w:val="nil"/>
            </w:tcBorders>
          </w:tcPr>
          <w:p w:rsidR="00A94111" w:rsidRPr="006C4632" w:rsidRDefault="00A94111" w:rsidP="005507E3">
            <w:pPr>
              <w:jc w:val="center"/>
              <w:rPr>
                <w:sz w:val="18"/>
                <w:szCs w:val="18"/>
              </w:rPr>
            </w:pPr>
            <w:r w:rsidRPr="006C4632">
              <w:rPr>
                <w:sz w:val="18"/>
                <w:szCs w:val="18"/>
              </w:rPr>
              <w:t>10</w:t>
            </w:r>
          </w:p>
        </w:tc>
        <w:tc>
          <w:tcPr>
            <w:tcW w:w="2268" w:type="dxa"/>
            <w:tcBorders>
              <w:top w:val="nil"/>
              <w:left w:val="nil"/>
              <w:bottom w:val="nil"/>
              <w:right w:val="nil"/>
            </w:tcBorders>
          </w:tcPr>
          <w:p w:rsidR="00A94111" w:rsidRPr="006C4632" w:rsidRDefault="00A94111" w:rsidP="005507E3">
            <w:pPr>
              <w:jc w:val="center"/>
              <w:rPr>
                <w:sz w:val="18"/>
                <w:szCs w:val="18"/>
              </w:rPr>
            </w:pPr>
            <w:r w:rsidRPr="006C4632">
              <w:rPr>
                <w:sz w:val="18"/>
                <w:szCs w:val="18"/>
              </w:rPr>
              <w:t>5</w:t>
            </w:r>
          </w:p>
        </w:tc>
      </w:tr>
      <w:tr w:rsidR="00FA3DC2" w:rsidRPr="006C4632" w:rsidTr="00FA3DC2">
        <w:tc>
          <w:tcPr>
            <w:tcW w:w="2410" w:type="dxa"/>
            <w:tcBorders>
              <w:top w:val="nil"/>
              <w:left w:val="nil"/>
              <w:bottom w:val="nil"/>
              <w:right w:val="nil"/>
            </w:tcBorders>
          </w:tcPr>
          <w:p w:rsidR="00A94111" w:rsidRPr="006C4632" w:rsidRDefault="00A94111" w:rsidP="005507E3">
            <w:pPr>
              <w:jc w:val="center"/>
              <w:rPr>
                <w:sz w:val="18"/>
                <w:szCs w:val="18"/>
              </w:rPr>
            </w:pPr>
            <w:r w:rsidRPr="006C4632">
              <w:rPr>
                <w:sz w:val="18"/>
                <w:szCs w:val="18"/>
              </w:rPr>
              <w:t xml:space="preserve">400 </w:t>
            </w:r>
            <w:r w:rsidR="006C4632">
              <w:rPr>
                <w:sz w:val="18"/>
                <w:szCs w:val="18"/>
              </w:rPr>
              <w:t>&lt;</w:t>
            </w:r>
            <w:r w:rsidRPr="006C4632">
              <w:rPr>
                <w:rFonts w:ascii="SimSun" w:hAnsi="SimSun"/>
                <w:sz w:val="18"/>
                <w:szCs w:val="18"/>
              </w:rPr>
              <w:t xml:space="preserve"> f ≤ </w:t>
            </w:r>
            <w:r w:rsidRPr="006C4632">
              <w:rPr>
                <w:sz w:val="18"/>
                <w:szCs w:val="18"/>
              </w:rPr>
              <w:t>1</w:t>
            </w:r>
            <w:r w:rsidR="005507E3">
              <w:rPr>
                <w:sz w:val="18"/>
                <w:szCs w:val="18"/>
              </w:rPr>
              <w:t xml:space="preserve"> </w:t>
            </w:r>
            <w:r w:rsidRPr="006C4632">
              <w:rPr>
                <w:sz w:val="18"/>
                <w:szCs w:val="18"/>
              </w:rPr>
              <w:t>000</w:t>
            </w:r>
          </w:p>
        </w:tc>
        <w:tc>
          <w:tcPr>
            <w:tcW w:w="1843" w:type="dxa"/>
            <w:tcBorders>
              <w:top w:val="nil"/>
              <w:left w:val="nil"/>
              <w:bottom w:val="nil"/>
              <w:right w:val="nil"/>
            </w:tcBorders>
          </w:tcPr>
          <w:p w:rsidR="00A94111" w:rsidRPr="006C4632" w:rsidRDefault="00A94111" w:rsidP="005507E3">
            <w:pPr>
              <w:jc w:val="center"/>
              <w:rPr>
                <w:sz w:val="18"/>
                <w:szCs w:val="18"/>
              </w:rPr>
            </w:pPr>
            <w:r w:rsidRPr="006C4632">
              <w:rPr>
                <w:sz w:val="18"/>
                <w:szCs w:val="18"/>
              </w:rPr>
              <w:t>20</w:t>
            </w:r>
          </w:p>
        </w:tc>
        <w:tc>
          <w:tcPr>
            <w:tcW w:w="2268" w:type="dxa"/>
            <w:tcBorders>
              <w:top w:val="nil"/>
              <w:left w:val="nil"/>
              <w:bottom w:val="nil"/>
              <w:right w:val="nil"/>
            </w:tcBorders>
          </w:tcPr>
          <w:p w:rsidR="00A94111" w:rsidRPr="006C4632" w:rsidRDefault="00A94111" w:rsidP="005507E3">
            <w:pPr>
              <w:jc w:val="center"/>
              <w:rPr>
                <w:sz w:val="18"/>
                <w:szCs w:val="18"/>
              </w:rPr>
            </w:pPr>
            <w:r w:rsidRPr="006C4632">
              <w:rPr>
                <w:sz w:val="18"/>
                <w:szCs w:val="18"/>
              </w:rPr>
              <w:t>2</w:t>
            </w:r>
          </w:p>
        </w:tc>
      </w:tr>
      <w:tr w:rsidR="00FA3DC2" w:rsidRPr="006C4632" w:rsidTr="00FA3DC2">
        <w:tc>
          <w:tcPr>
            <w:tcW w:w="2410" w:type="dxa"/>
            <w:tcBorders>
              <w:top w:val="nil"/>
              <w:left w:val="nil"/>
              <w:bottom w:val="single" w:sz="12" w:space="0" w:color="auto"/>
              <w:right w:val="nil"/>
            </w:tcBorders>
          </w:tcPr>
          <w:p w:rsidR="00A94111" w:rsidRPr="006C4632" w:rsidRDefault="00A94111" w:rsidP="005507E3">
            <w:pPr>
              <w:jc w:val="center"/>
              <w:rPr>
                <w:sz w:val="18"/>
                <w:szCs w:val="18"/>
              </w:rPr>
            </w:pPr>
            <w:r w:rsidRPr="006C4632">
              <w:rPr>
                <w:sz w:val="18"/>
                <w:szCs w:val="18"/>
              </w:rPr>
              <w:t>1</w:t>
            </w:r>
            <w:r w:rsidR="005507E3">
              <w:rPr>
                <w:sz w:val="18"/>
                <w:szCs w:val="18"/>
              </w:rPr>
              <w:t xml:space="preserve"> </w:t>
            </w:r>
            <w:r w:rsidRPr="006C4632">
              <w:rPr>
                <w:sz w:val="18"/>
                <w:szCs w:val="18"/>
              </w:rPr>
              <w:t xml:space="preserve">000 </w:t>
            </w:r>
            <w:r w:rsidR="006C4632">
              <w:rPr>
                <w:sz w:val="18"/>
                <w:szCs w:val="18"/>
              </w:rPr>
              <w:t>&lt;</w:t>
            </w:r>
            <w:r w:rsidRPr="006C4632">
              <w:rPr>
                <w:rFonts w:ascii="SimSun" w:hAnsi="SimSun"/>
                <w:sz w:val="18"/>
                <w:szCs w:val="18"/>
              </w:rPr>
              <w:t xml:space="preserve"> f ≤ </w:t>
            </w:r>
            <w:r w:rsidRPr="006C4632">
              <w:rPr>
                <w:sz w:val="18"/>
                <w:szCs w:val="18"/>
              </w:rPr>
              <w:t>2</w:t>
            </w:r>
            <w:r w:rsidR="005507E3">
              <w:rPr>
                <w:sz w:val="18"/>
                <w:szCs w:val="18"/>
              </w:rPr>
              <w:t xml:space="preserve"> </w:t>
            </w:r>
            <w:r w:rsidRPr="006C4632">
              <w:rPr>
                <w:sz w:val="18"/>
                <w:szCs w:val="18"/>
              </w:rPr>
              <w:t>000</w:t>
            </w:r>
          </w:p>
        </w:tc>
        <w:tc>
          <w:tcPr>
            <w:tcW w:w="1843" w:type="dxa"/>
            <w:tcBorders>
              <w:top w:val="nil"/>
              <w:left w:val="nil"/>
              <w:bottom w:val="single" w:sz="12" w:space="0" w:color="auto"/>
              <w:right w:val="nil"/>
            </w:tcBorders>
          </w:tcPr>
          <w:p w:rsidR="00A94111" w:rsidRPr="006C4632" w:rsidRDefault="00A94111" w:rsidP="005507E3">
            <w:pPr>
              <w:jc w:val="center"/>
              <w:rPr>
                <w:sz w:val="18"/>
                <w:szCs w:val="18"/>
              </w:rPr>
            </w:pPr>
            <w:r w:rsidRPr="006C4632">
              <w:rPr>
                <w:sz w:val="18"/>
                <w:szCs w:val="18"/>
              </w:rPr>
              <w:t>40</w:t>
            </w:r>
          </w:p>
        </w:tc>
        <w:tc>
          <w:tcPr>
            <w:tcW w:w="2268" w:type="dxa"/>
            <w:tcBorders>
              <w:top w:val="nil"/>
              <w:left w:val="nil"/>
              <w:bottom w:val="single" w:sz="12" w:space="0" w:color="auto"/>
              <w:right w:val="nil"/>
            </w:tcBorders>
          </w:tcPr>
          <w:p w:rsidR="00A94111" w:rsidRPr="006C4632" w:rsidRDefault="00A94111">
            <w:pPr>
              <w:jc w:val="center"/>
              <w:rPr>
                <w:sz w:val="18"/>
                <w:szCs w:val="18"/>
              </w:rPr>
            </w:pPr>
            <w:r w:rsidRPr="006C4632">
              <w:rPr>
                <w:sz w:val="18"/>
                <w:szCs w:val="18"/>
              </w:rPr>
              <w:t>2</w:t>
            </w:r>
          </w:p>
        </w:tc>
      </w:tr>
    </w:tbl>
    <w:p w:rsidR="00A94111" w:rsidRPr="006C4632" w:rsidRDefault="00FA3DC2" w:rsidP="00FA3DC2">
      <w:pPr>
        <w:widowControl w:val="0"/>
        <w:suppressAutoHyphens w:val="0"/>
        <w:spacing w:line="240" w:lineRule="auto"/>
        <w:ind w:left="1701" w:firstLine="567"/>
        <w:jc w:val="both"/>
        <w:rPr>
          <w:rFonts w:eastAsia="SimSun"/>
          <w:kern w:val="2"/>
          <w:sz w:val="21"/>
          <w:szCs w:val="24"/>
          <w:lang w:eastAsia="zh-CN"/>
        </w:rPr>
      </w:pPr>
      <w:r w:rsidRPr="006C4632">
        <w:rPr>
          <w:rFonts w:eastAsia="SimSun"/>
          <w:kern w:val="2"/>
          <w:sz w:val="21"/>
          <w:szCs w:val="24"/>
          <w:lang w:eastAsia="zh-CN"/>
        </w:rPr>
        <w:t>"</w:t>
      </w:r>
    </w:p>
    <w:p w:rsidR="001A7DC5" w:rsidRPr="006C4632" w:rsidRDefault="001A7DC5" w:rsidP="004D02BC">
      <w:pPr>
        <w:spacing w:after="120"/>
        <w:ind w:left="1134" w:right="1134"/>
        <w:jc w:val="both"/>
      </w:pPr>
      <w:r w:rsidRPr="006C4632">
        <w:rPr>
          <w:i/>
        </w:rPr>
        <w:t xml:space="preserve">Annex </w:t>
      </w:r>
      <w:proofErr w:type="gramStart"/>
      <w:r w:rsidRPr="006C4632">
        <w:rPr>
          <w:i/>
        </w:rPr>
        <w:t>6</w:t>
      </w:r>
      <w:proofErr w:type="gramEnd"/>
      <w:r w:rsidRPr="006C4632">
        <w:rPr>
          <w:i/>
        </w:rPr>
        <w:t>, paragraph 5.1.2.</w:t>
      </w:r>
      <w:r w:rsidRPr="006C4632">
        <w:t>, amend to read:</w:t>
      </w:r>
    </w:p>
    <w:p w:rsidR="001A7DC5" w:rsidRPr="006C4632" w:rsidRDefault="004D02BC" w:rsidP="004D02BC">
      <w:pPr>
        <w:spacing w:after="120"/>
        <w:ind w:left="1134" w:right="1134"/>
        <w:jc w:val="both"/>
      </w:pPr>
      <w:r w:rsidRPr="006C4632">
        <w:t>"</w:t>
      </w:r>
      <w:smartTag w:uri="urn:schemas-microsoft-com:office:smarttags" w:element="chsdate">
        <w:smartTagPr>
          <w:attr w:name="Year" w:val="1899"/>
          <w:attr w:name="Month" w:val="12"/>
          <w:attr w:name="Day" w:val="30"/>
          <w:attr w:name="IsLunarDate" w:val="False"/>
          <w:attr w:name="IsROCDate" w:val="False"/>
        </w:smartTagPr>
        <w:r w:rsidR="001A7DC5" w:rsidRPr="006C4632">
          <w:t>5.1.2</w:t>
        </w:r>
      </w:smartTag>
      <w:r w:rsidR="001A7DC5" w:rsidRPr="006C4632">
        <w:t xml:space="preserve">. </w:t>
      </w:r>
      <w:r w:rsidR="004F7AE4" w:rsidRPr="006C4632">
        <w:tab/>
      </w:r>
      <w:r w:rsidR="001A7DC5" w:rsidRPr="006C4632">
        <w:t>Calibration</w:t>
      </w:r>
    </w:p>
    <w:p w:rsidR="004D02BC" w:rsidRPr="006C4632" w:rsidRDefault="004D02BC" w:rsidP="004D02BC">
      <w:pPr>
        <w:spacing w:after="120"/>
        <w:ind w:left="2268" w:right="1134"/>
        <w:jc w:val="both"/>
        <w:rPr>
          <w:strike/>
        </w:rPr>
      </w:pPr>
      <w:r w:rsidRPr="006C4632">
        <w:rPr>
          <w:strike/>
        </w:rPr>
        <w:t xml:space="preserve">For TLS one field probe at the facility reference point </w:t>
      </w:r>
      <w:proofErr w:type="gramStart"/>
      <w:r w:rsidRPr="006C4632">
        <w:rPr>
          <w:strike/>
        </w:rPr>
        <w:t>shall be used</w:t>
      </w:r>
      <w:proofErr w:type="gramEnd"/>
      <w:r w:rsidRPr="006C4632">
        <w:rPr>
          <w:strike/>
        </w:rPr>
        <w:t>.</w:t>
      </w:r>
    </w:p>
    <w:p w:rsidR="004D02BC" w:rsidRPr="006C4632" w:rsidRDefault="004D02BC" w:rsidP="004D02BC">
      <w:pPr>
        <w:spacing w:after="120"/>
        <w:ind w:left="2268" w:right="1134"/>
        <w:jc w:val="both"/>
        <w:rPr>
          <w:b/>
        </w:rPr>
      </w:pPr>
      <w:r w:rsidRPr="006C4632">
        <w:rPr>
          <w:b/>
        </w:rPr>
        <w:t xml:space="preserve">For </w:t>
      </w:r>
      <w:proofErr w:type="gramStart"/>
      <w:r w:rsidRPr="006C4632">
        <w:rPr>
          <w:b/>
        </w:rPr>
        <w:t>antennas</w:t>
      </w:r>
      <w:proofErr w:type="gramEnd"/>
      <w:r w:rsidRPr="006C4632">
        <w:rPr>
          <w:b/>
        </w:rPr>
        <w:t xml:space="preserve"> one field probe at the vehicle reference point shall be used for categor</w:t>
      </w:r>
      <w:r w:rsidR="004F6FE5" w:rsidRPr="006C4632">
        <w:rPr>
          <w:b/>
        </w:rPr>
        <w:t>y</w:t>
      </w:r>
      <w:r w:rsidRPr="006C4632">
        <w:rPr>
          <w:b/>
        </w:rPr>
        <w:t xml:space="preserve"> L vehicles.</w:t>
      </w:r>
    </w:p>
    <w:p w:rsidR="001A7DC5" w:rsidRPr="006C4632" w:rsidRDefault="001A7DC5" w:rsidP="004D02BC">
      <w:pPr>
        <w:spacing w:after="120"/>
        <w:ind w:left="2268" w:right="1134"/>
        <w:jc w:val="both"/>
      </w:pPr>
      <w:r w:rsidRPr="006C4632">
        <w:t xml:space="preserve">For antennas four field probes at the </w:t>
      </w:r>
      <w:r w:rsidRPr="006C4632">
        <w:rPr>
          <w:strike/>
        </w:rPr>
        <w:t xml:space="preserve">facility </w:t>
      </w:r>
      <w:r w:rsidRPr="006C4632">
        <w:rPr>
          <w:b/>
        </w:rPr>
        <w:t>vehicle</w:t>
      </w:r>
      <w:r w:rsidRPr="006C4632">
        <w:t xml:space="preserve"> reference line shall be used </w:t>
      </w:r>
      <w:r w:rsidRPr="006C4632">
        <w:rPr>
          <w:b/>
        </w:rPr>
        <w:t>for categories M, N, O vehicles</w:t>
      </w:r>
      <w:r w:rsidR="004D02BC" w:rsidRPr="006C4632">
        <w:rPr>
          <w:b/>
        </w:rPr>
        <w:t>.</w:t>
      </w:r>
      <w:r w:rsidR="004D02BC" w:rsidRPr="006C4632">
        <w:t>"</w:t>
      </w:r>
    </w:p>
    <w:p w:rsidR="00DF418A" w:rsidRPr="006C4632" w:rsidRDefault="00E87504" w:rsidP="00980C28">
      <w:pPr>
        <w:pStyle w:val="HChG"/>
        <w:ind w:left="0" w:firstLine="0"/>
      </w:pPr>
      <w:r w:rsidRPr="006C4632">
        <w:tab/>
        <w:t>II.</w:t>
      </w:r>
      <w:r w:rsidRPr="006C4632">
        <w:tab/>
        <w:t>Justification</w:t>
      </w:r>
    </w:p>
    <w:p w:rsidR="008369BC" w:rsidRPr="006C4632" w:rsidRDefault="008369BC" w:rsidP="00D95D10">
      <w:pPr>
        <w:pStyle w:val="SingleTxtG"/>
        <w:rPr>
          <w:i/>
        </w:rPr>
      </w:pPr>
      <w:proofErr w:type="gramStart"/>
      <w:r w:rsidRPr="006C4632">
        <w:rPr>
          <w:i/>
        </w:rPr>
        <w:t>Paragraph 1.3.</w:t>
      </w:r>
      <w:proofErr w:type="gramEnd"/>
      <w:r w:rsidRPr="006C4632">
        <w:rPr>
          <w:i/>
        </w:rPr>
        <w:t xml:space="preserve"> (a)</w:t>
      </w:r>
    </w:p>
    <w:p w:rsidR="00631AF6" w:rsidRPr="006C4632" w:rsidRDefault="00D95D10" w:rsidP="00D95D10">
      <w:pPr>
        <w:pStyle w:val="SingleTxtG"/>
      </w:pPr>
      <w:r w:rsidRPr="006C4632">
        <w:t>1.</w:t>
      </w:r>
      <w:r w:rsidRPr="006C4632">
        <w:tab/>
      </w:r>
      <w:r w:rsidR="004358FC" w:rsidRPr="006C4632">
        <w:t>This proposal is c</w:t>
      </w:r>
      <w:r w:rsidR="008369BC" w:rsidRPr="006C4632">
        <w:t xml:space="preserve">onsistent with </w:t>
      </w:r>
      <w:r w:rsidR="004358FC" w:rsidRPr="006C4632">
        <w:t xml:space="preserve">paragraph </w:t>
      </w:r>
      <w:r w:rsidR="008369BC" w:rsidRPr="006C4632">
        <w:t>2.12. "Immunity related functions".</w:t>
      </w:r>
    </w:p>
    <w:p w:rsidR="008369BC" w:rsidRPr="006C4632" w:rsidRDefault="00FE2604" w:rsidP="00D95D10">
      <w:pPr>
        <w:pStyle w:val="SingleTxtG"/>
        <w:rPr>
          <w:i/>
        </w:rPr>
      </w:pPr>
      <w:proofErr w:type="gramStart"/>
      <w:r w:rsidRPr="006C4632">
        <w:rPr>
          <w:i/>
        </w:rPr>
        <w:t>Paragraph 7.4.2.</w:t>
      </w:r>
      <w:proofErr w:type="gramEnd"/>
    </w:p>
    <w:p w:rsidR="0031067C" w:rsidRPr="006C4632" w:rsidRDefault="00D95D10" w:rsidP="00D95D10">
      <w:pPr>
        <w:pStyle w:val="SingleTxtG"/>
      </w:pPr>
      <w:r w:rsidRPr="006C4632">
        <w:t>2.</w:t>
      </w:r>
      <w:r w:rsidRPr="006C4632">
        <w:tab/>
      </w:r>
      <w:r w:rsidR="00C2012C" w:rsidRPr="006C4632">
        <w:t>T</w:t>
      </w:r>
      <w:r w:rsidR="00FE2604" w:rsidRPr="006C4632">
        <w:t xml:space="preserve">he maximum relative voltage change </w:t>
      </w:r>
      <w:proofErr w:type="spellStart"/>
      <w:r w:rsidR="00FE2604" w:rsidRPr="006C4632">
        <w:t>d</w:t>
      </w:r>
      <w:r w:rsidR="00FE2604" w:rsidRPr="00F3442E">
        <w:rPr>
          <w:vertAlign w:val="subscript"/>
        </w:rPr>
        <w:t>max</w:t>
      </w:r>
      <w:proofErr w:type="spellEnd"/>
      <w:r w:rsidR="00FE2604" w:rsidRPr="005507E3">
        <w:t xml:space="preserve"> </w:t>
      </w:r>
      <w:r w:rsidR="00FE2604" w:rsidRPr="006C4632">
        <w:t xml:space="preserve">is different </w:t>
      </w:r>
      <w:r w:rsidR="00C2012C" w:rsidRPr="006C4632">
        <w:t xml:space="preserve">for </w:t>
      </w:r>
      <w:r w:rsidR="00FE2604" w:rsidRPr="006C4632">
        <w:t xml:space="preserve">different devices in </w:t>
      </w:r>
      <w:r w:rsidR="00C2012C" w:rsidRPr="006C4632">
        <w:t xml:space="preserve">standards </w:t>
      </w:r>
      <w:r w:rsidR="00FE2604" w:rsidRPr="006C4632">
        <w:t>IEC 61000-3-3 and IEC 61000-3-11</w:t>
      </w:r>
      <w:r w:rsidR="00C2012C" w:rsidRPr="006C4632">
        <w:t xml:space="preserve"> and </w:t>
      </w:r>
      <w:proofErr w:type="gramStart"/>
      <w:r w:rsidR="00FE2604" w:rsidRPr="006C4632">
        <w:t>should be clearly defined</w:t>
      </w:r>
      <w:proofErr w:type="gramEnd"/>
      <w:r w:rsidR="00C2012C" w:rsidRPr="006C4632">
        <w:t>.</w:t>
      </w:r>
    </w:p>
    <w:p w:rsidR="006908EF" w:rsidRPr="006C4632" w:rsidRDefault="006908EF" w:rsidP="00D95D10">
      <w:pPr>
        <w:pStyle w:val="SingleTxtG"/>
      </w:pPr>
      <w:r w:rsidRPr="006C4632">
        <w:rPr>
          <w:i/>
        </w:rPr>
        <w:t>Annex 4, Appendix 1, Figure 1</w:t>
      </w:r>
    </w:p>
    <w:p w:rsidR="006908EF" w:rsidRPr="006C4632" w:rsidRDefault="006908EF" w:rsidP="006908EF">
      <w:pPr>
        <w:pStyle w:val="SingleTxtG"/>
      </w:pPr>
      <w:r w:rsidRPr="006C4632">
        <w:t>3.</w:t>
      </w:r>
      <w:r w:rsidRPr="006C4632">
        <w:tab/>
        <w:t xml:space="preserve">The outdoor site for vehicles of category L does not meet the requirements of standard CISPR 12. </w:t>
      </w:r>
    </w:p>
    <w:p w:rsidR="006908EF" w:rsidRPr="006C4632" w:rsidRDefault="00A94111" w:rsidP="006908EF">
      <w:pPr>
        <w:pStyle w:val="SingleTxtG"/>
      </w:pPr>
      <w:r w:rsidRPr="006C4632">
        <w:rPr>
          <w:i/>
        </w:rPr>
        <w:t xml:space="preserve">Annex </w:t>
      </w:r>
      <w:proofErr w:type="gramStart"/>
      <w:r w:rsidRPr="006C4632">
        <w:rPr>
          <w:i/>
        </w:rPr>
        <w:t>6</w:t>
      </w:r>
      <w:proofErr w:type="gramEnd"/>
      <w:r w:rsidRPr="006C4632">
        <w:rPr>
          <w:i/>
        </w:rPr>
        <w:t>, paragraph 4.1.</w:t>
      </w:r>
    </w:p>
    <w:p w:rsidR="006908EF" w:rsidRPr="006C4632" w:rsidRDefault="00A94111" w:rsidP="00A94111">
      <w:pPr>
        <w:pStyle w:val="SingleTxtG"/>
      </w:pPr>
      <w:r w:rsidRPr="006C4632">
        <w:t>4.</w:t>
      </w:r>
      <w:r w:rsidRPr="006C4632">
        <w:tab/>
        <w:t>Clearly defined frequency steps can facilitate the compliance with the "90 per cent of the frequency" requirement in paragraph 6.4.2.1.</w:t>
      </w:r>
    </w:p>
    <w:p w:rsidR="004D02BC" w:rsidRPr="006C4632" w:rsidRDefault="004F6FE5" w:rsidP="00D95D10">
      <w:pPr>
        <w:pStyle w:val="SingleTxtG"/>
      </w:pPr>
      <w:r w:rsidRPr="006C4632">
        <w:rPr>
          <w:i/>
        </w:rPr>
        <w:t xml:space="preserve">Annex </w:t>
      </w:r>
      <w:proofErr w:type="gramStart"/>
      <w:r w:rsidRPr="006C4632">
        <w:rPr>
          <w:i/>
        </w:rPr>
        <w:t>6</w:t>
      </w:r>
      <w:proofErr w:type="gramEnd"/>
      <w:r w:rsidRPr="006C4632">
        <w:rPr>
          <w:i/>
        </w:rPr>
        <w:t>, paragraph 5.1.2.</w:t>
      </w:r>
    </w:p>
    <w:p w:rsidR="004F6FE5" w:rsidRPr="006C4632" w:rsidRDefault="00A94111" w:rsidP="00AD6FC0">
      <w:pPr>
        <w:pStyle w:val="SingleTxtG"/>
      </w:pPr>
      <w:r w:rsidRPr="006C4632">
        <w:t>5.</w:t>
      </w:r>
      <w:r w:rsidR="00D95D10" w:rsidRPr="006C4632">
        <w:tab/>
      </w:r>
      <w:r w:rsidR="004F6FE5" w:rsidRPr="006C4632">
        <w:t>ISO 11451-2 prescribe</w:t>
      </w:r>
      <w:r w:rsidR="00B051E6" w:rsidRPr="006C4632">
        <w:t xml:space="preserve">s </w:t>
      </w:r>
      <w:r w:rsidR="004F6FE5" w:rsidRPr="006C4632">
        <w:t>two kinds of reference points,</w:t>
      </w:r>
      <w:r w:rsidR="00B051E6" w:rsidRPr="006C4632">
        <w:t xml:space="preserve"> namely</w:t>
      </w:r>
      <w:r w:rsidR="004F6FE5" w:rsidRPr="006C4632">
        <w:t xml:space="preserve"> </w:t>
      </w:r>
      <w:r w:rsidR="00B051E6" w:rsidRPr="006C4632">
        <w:t xml:space="preserve">the </w:t>
      </w:r>
      <w:r w:rsidR="004F6FE5" w:rsidRPr="006C4632">
        <w:t>facility reference point</w:t>
      </w:r>
      <w:r w:rsidR="00B051E6" w:rsidRPr="006C4632">
        <w:t xml:space="preserve"> </w:t>
      </w:r>
      <w:r w:rsidR="004F6FE5" w:rsidRPr="006C4632">
        <w:t xml:space="preserve">(line) and </w:t>
      </w:r>
      <w:r w:rsidR="00B051E6" w:rsidRPr="006C4632">
        <w:t xml:space="preserve">the </w:t>
      </w:r>
      <w:r w:rsidR="004F6FE5" w:rsidRPr="006C4632">
        <w:t>vehicle reference point</w:t>
      </w:r>
      <w:r w:rsidR="00B051E6" w:rsidRPr="006C4632">
        <w:t xml:space="preserve"> </w:t>
      </w:r>
      <w:r w:rsidR="004F6FE5" w:rsidRPr="006C4632">
        <w:t>(line)</w:t>
      </w:r>
      <w:r w:rsidR="00AD6FC0" w:rsidRPr="006C4632">
        <w:t xml:space="preserve">. </w:t>
      </w:r>
      <w:r w:rsidR="004F6FE5" w:rsidRPr="006C4632">
        <w:t>The</w:t>
      </w:r>
      <w:r w:rsidR="00B051E6" w:rsidRPr="006C4632">
        <w:t xml:space="preserve">y </w:t>
      </w:r>
      <w:r w:rsidR="004F6FE5" w:rsidRPr="006C4632">
        <w:t xml:space="preserve">are different, as shown </w:t>
      </w:r>
      <w:r w:rsidR="00B051E6" w:rsidRPr="006C4632">
        <w:t xml:space="preserve">in Figures 1 and 2 </w:t>
      </w:r>
      <w:r w:rsidR="004F6FE5" w:rsidRPr="006C4632">
        <w:t>below:</w:t>
      </w:r>
    </w:p>
    <w:p w:rsidR="00AD6FC0" w:rsidRPr="006C4632" w:rsidRDefault="00AD6FC0" w:rsidP="00AD6FC0">
      <w:pPr>
        <w:pStyle w:val="SingleTxtG"/>
        <w:spacing w:after="0"/>
        <w:rPr>
          <w:b/>
        </w:rPr>
      </w:pPr>
      <w:r w:rsidRPr="006C4632">
        <w:rPr>
          <w:b/>
        </w:rPr>
        <w:t xml:space="preserve">Figure 1 </w:t>
      </w:r>
    </w:p>
    <w:p w:rsidR="00AD6FC0" w:rsidRPr="006C4632" w:rsidRDefault="00AD6FC0" w:rsidP="00B051E6">
      <w:pPr>
        <w:pStyle w:val="SingleTxtG"/>
        <w:spacing w:after="0"/>
        <w:rPr>
          <w:b/>
        </w:rPr>
      </w:pPr>
      <w:r w:rsidRPr="006C4632">
        <w:rPr>
          <w:b/>
        </w:rPr>
        <w:t>Vehicle reference point</w:t>
      </w:r>
    </w:p>
    <w:p w:rsidR="00AD6FC0" w:rsidRPr="006C4632" w:rsidRDefault="004F6FE5" w:rsidP="00AD6FC0">
      <w:pPr>
        <w:widowControl w:val="0"/>
        <w:suppressAutoHyphens w:val="0"/>
        <w:spacing w:line="240" w:lineRule="auto"/>
        <w:ind w:firstLine="993"/>
        <w:jc w:val="both"/>
        <w:rPr>
          <w:rFonts w:eastAsia="SimSun"/>
          <w:kern w:val="2"/>
          <w:lang w:eastAsia="zh-CN"/>
        </w:rPr>
      </w:pPr>
      <w:r w:rsidRPr="006C4632">
        <w:rPr>
          <w:rFonts w:eastAsia="SimSun"/>
          <w:noProof/>
          <w:kern w:val="2"/>
          <w:lang w:eastAsia="en-GB"/>
        </w:rPr>
        <w:drawing>
          <wp:inline distT="0" distB="0" distL="0" distR="0" wp14:anchorId="5BDCA693" wp14:editId="3AEF3EFA">
            <wp:extent cx="2628900" cy="1403985"/>
            <wp:effectExtent l="0" t="0" r="0" b="5715"/>
            <wp:docPr id="3" name="Picture 3" descr="车辆参考点布置图-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车辆参考点布置图-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28900" cy="1403985"/>
                    </a:xfrm>
                    <a:prstGeom prst="rect">
                      <a:avLst/>
                    </a:prstGeom>
                    <a:noFill/>
                    <a:ln>
                      <a:noFill/>
                    </a:ln>
                  </pic:spPr>
                </pic:pic>
              </a:graphicData>
            </a:graphic>
          </wp:inline>
        </w:drawing>
      </w:r>
    </w:p>
    <w:p w:rsidR="00AD6FC0" w:rsidRPr="006C4632" w:rsidRDefault="00AD6FC0" w:rsidP="00AD6FC0">
      <w:pPr>
        <w:widowControl w:val="0"/>
        <w:suppressAutoHyphens w:val="0"/>
        <w:spacing w:line="240" w:lineRule="auto"/>
        <w:jc w:val="both"/>
        <w:rPr>
          <w:rFonts w:eastAsia="SimSun"/>
          <w:kern w:val="2"/>
          <w:lang w:eastAsia="zh-CN"/>
        </w:rPr>
      </w:pPr>
    </w:p>
    <w:p w:rsidR="00AD6FC0" w:rsidRPr="006C4632" w:rsidRDefault="00AD6FC0" w:rsidP="00AD6FC0">
      <w:pPr>
        <w:widowControl w:val="0"/>
        <w:suppressAutoHyphens w:val="0"/>
        <w:spacing w:line="240" w:lineRule="auto"/>
        <w:ind w:firstLine="1134"/>
        <w:jc w:val="both"/>
        <w:rPr>
          <w:rFonts w:eastAsia="SimSun"/>
          <w:b/>
          <w:kern w:val="2"/>
          <w:lang w:eastAsia="zh-CN"/>
        </w:rPr>
      </w:pPr>
      <w:r w:rsidRPr="006C4632">
        <w:rPr>
          <w:rFonts w:eastAsia="SimSun"/>
          <w:b/>
          <w:kern w:val="2"/>
          <w:lang w:eastAsia="zh-CN"/>
        </w:rPr>
        <w:lastRenderedPageBreak/>
        <w:t xml:space="preserve">Figure 2  </w:t>
      </w:r>
    </w:p>
    <w:p w:rsidR="00AD6FC0" w:rsidRPr="006C4632" w:rsidRDefault="00AD6FC0" w:rsidP="00AD6FC0">
      <w:pPr>
        <w:widowControl w:val="0"/>
        <w:suppressAutoHyphens w:val="0"/>
        <w:spacing w:line="240" w:lineRule="auto"/>
        <w:ind w:firstLine="1134"/>
        <w:jc w:val="both"/>
        <w:rPr>
          <w:rFonts w:eastAsia="SimSun"/>
          <w:b/>
          <w:kern w:val="2"/>
          <w:lang w:eastAsia="zh-CN"/>
        </w:rPr>
      </w:pPr>
      <w:r w:rsidRPr="006C4632">
        <w:rPr>
          <w:rFonts w:eastAsia="SimSun"/>
          <w:b/>
          <w:kern w:val="2"/>
          <w:lang w:eastAsia="zh-CN"/>
        </w:rPr>
        <w:t>Facility reference point</w:t>
      </w:r>
    </w:p>
    <w:p w:rsidR="004F6FE5" w:rsidRPr="006C4632" w:rsidRDefault="004F6FE5" w:rsidP="00AD6FC0">
      <w:pPr>
        <w:widowControl w:val="0"/>
        <w:suppressAutoHyphens w:val="0"/>
        <w:spacing w:line="240" w:lineRule="auto"/>
        <w:ind w:firstLine="851"/>
        <w:jc w:val="both"/>
        <w:rPr>
          <w:rFonts w:eastAsia="SimSun"/>
          <w:kern w:val="2"/>
          <w:lang w:eastAsia="zh-CN"/>
        </w:rPr>
      </w:pPr>
      <w:r w:rsidRPr="006C4632">
        <w:rPr>
          <w:rFonts w:eastAsia="SimSun"/>
          <w:noProof/>
          <w:kern w:val="2"/>
          <w:lang w:eastAsia="en-GB"/>
        </w:rPr>
        <w:drawing>
          <wp:inline distT="0" distB="0" distL="0" distR="0" wp14:anchorId="074FD40A" wp14:editId="1C864798">
            <wp:extent cx="2815114" cy="1504950"/>
            <wp:effectExtent l="0" t="0" r="4445" b="0"/>
            <wp:docPr id="4" name="Picture 4" descr="天线实测2-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天线实测2-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22267" cy="1508774"/>
                    </a:xfrm>
                    <a:prstGeom prst="rect">
                      <a:avLst/>
                    </a:prstGeom>
                    <a:noFill/>
                    <a:ln>
                      <a:noFill/>
                    </a:ln>
                  </pic:spPr>
                </pic:pic>
              </a:graphicData>
            </a:graphic>
          </wp:inline>
        </w:drawing>
      </w:r>
    </w:p>
    <w:p w:rsidR="00AD6FC0" w:rsidRPr="006C4632" w:rsidRDefault="00AD6FC0" w:rsidP="004F6FE5">
      <w:pPr>
        <w:widowControl w:val="0"/>
        <w:suppressAutoHyphens w:val="0"/>
        <w:spacing w:line="240" w:lineRule="auto"/>
        <w:ind w:firstLineChars="200" w:firstLine="400"/>
        <w:jc w:val="both"/>
        <w:rPr>
          <w:rFonts w:eastAsia="SimSun"/>
          <w:kern w:val="2"/>
          <w:lang w:eastAsia="zh-CN"/>
        </w:rPr>
      </w:pPr>
    </w:p>
    <w:p w:rsidR="004F6FE5" w:rsidRPr="006C4632" w:rsidRDefault="00A94111" w:rsidP="00AD6FC0">
      <w:pPr>
        <w:pStyle w:val="SingleTxtG"/>
      </w:pPr>
      <w:r w:rsidRPr="006C4632">
        <w:t>6</w:t>
      </w:r>
      <w:r w:rsidR="00B051E6" w:rsidRPr="006C4632">
        <w:t>.</w:t>
      </w:r>
      <w:r w:rsidR="00B051E6" w:rsidRPr="006C4632">
        <w:tab/>
        <w:t>The c</w:t>
      </w:r>
      <w:r w:rsidR="004F6FE5" w:rsidRPr="006C4632">
        <w:t xml:space="preserve">alibration and actual measurement </w:t>
      </w:r>
      <w:proofErr w:type="gramStart"/>
      <w:r w:rsidR="004F6FE5" w:rsidRPr="006C4632">
        <w:t>are based</w:t>
      </w:r>
      <w:proofErr w:type="gramEnd"/>
      <w:r w:rsidR="004F6FE5" w:rsidRPr="006C4632">
        <w:t xml:space="preserve"> on </w:t>
      </w:r>
      <w:r w:rsidR="00B051E6" w:rsidRPr="006C4632">
        <w:t>the v</w:t>
      </w:r>
      <w:r w:rsidR="004F6FE5" w:rsidRPr="006C4632">
        <w:t>ehicle reference point</w:t>
      </w:r>
      <w:r w:rsidR="00B051E6" w:rsidRPr="006C4632">
        <w:t>.</w:t>
      </w:r>
      <w:r w:rsidR="004F6FE5" w:rsidRPr="006C4632">
        <w:t xml:space="preserve"> The use of the reference point can lead to the following problems:</w:t>
      </w:r>
    </w:p>
    <w:p w:rsidR="004F6FE5" w:rsidRPr="006C4632" w:rsidRDefault="00B051E6" w:rsidP="00B051E6">
      <w:pPr>
        <w:pStyle w:val="SingleTxtG"/>
        <w:ind w:left="1701" w:hanging="567"/>
      </w:pPr>
      <w:r w:rsidRPr="006C4632">
        <w:t>(a)</w:t>
      </w:r>
      <w:r w:rsidRPr="006C4632">
        <w:tab/>
      </w:r>
      <w:r w:rsidR="004F6FE5" w:rsidRPr="006C4632">
        <w:t xml:space="preserve">The antenna </w:t>
      </w:r>
      <w:r w:rsidRPr="006C4632">
        <w:t>is close to</w:t>
      </w:r>
      <w:r w:rsidR="004F6FE5" w:rsidRPr="006C4632">
        <w:t xml:space="preserve"> the vehicle, so the reflection of vehicle body will affect the antenna's radiation efficiency</w:t>
      </w:r>
      <w:r w:rsidRPr="006C4632">
        <w:t>.</w:t>
      </w:r>
      <w:r w:rsidR="004F6FE5" w:rsidRPr="006C4632">
        <w:t xml:space="preserve"> </w:t>
      </w:r>
    </w:p>
    <w:p w:rsidR="004F6FE5" w:rsidRPr="006C4632" w:rsidRDefault="00B051E6" w:rsidP="00B051E6">
      <w:pPr>
        <w:pStyle w:val="SingleTxtG"/>
        <w:ind w:left="1701" w:hanging="567"/>
      </w:pPr>
      <w:r w:rsidRPr="006C4632">
        <w:t>(b)</w:t>
      </w:r>
      <w:r w:rsidRPr="006C4632">
        <w:tab/>
      </w:r>
      <w:r w:rsidR="004F6FE5" w:rsidRPr="006C4632">
        <w:t xml:space="preserve">The antenna </w:t>
      </w:r>
      <w:r w:rsidRPr="006C4632">
        <w:t xml:space="preserve">is close to the </w:t>
      </w:r>
      <w:r w:rsidR="004F6FE5" w:rsidRPr="006C4632">
        <w:t>control unit located in</w:t>
      </w:r>
      <w:r w:rsidRPr="006C4632">
        <w:t xml:space="preserve"> the</w:t>
      </w:r>
      <w:r w:rsidR="004F6FE5" w:rsidRPr="006C4632">
        <w:t xml:space="preserve"> front part of the vehicle, </w:t>
      </w:r>
      <w:proofErr w:type="gramStart"/>
      <w:r w:rsidR="004F6FE5" w:rsidRPr="006C4632">
        <w:t>so as to</w:t>
      </w:r>
      <w:proofErr w:type="gramEnd"/>
      <w:r w:rsidR="004F6FE5" w:rsidRPr="006C4632">
        <w:t xml:space="preserve"> increase the difficulty of the test.</w:t>
      </w:r>
    </w:p>
    <w:p w:rsidR="004F6FE5" w:rsidRPr="006C4632" w:rsidRDefault="00A94111" w:rsidP="00AD6FC0">
      <w:pPr>
        <w:pStyle w:val="SingleTxtG"/>
        <w:rPr>
          <w:rFonts w:eastAsia="SimSun"/>
          <w:kern w:val="2"/>
          <w:lang w:eastAsia="zh-CN"/>
        </w:rPr>
      </w:pPr>
      <w:r w:rsidRPr="006C4632">
        <w:t>7</w:t>
      </w:r>
      <w:r w:rsidR="00B051E6" w:rsidRPr="006C4632">
        <w:t>.</w:t>
      </w:r>
      <w:r w:rsidR="00B051E6" w:rsidRPr="006C4632">
        <w:tab/>
      </w:r>
      <w:r w:rsidR="004F6FE5" w:rsidRPr="006C4632">
        <w:t>For L category vehicles, Annex 6</w:t>
      </w:r>
      <w:r w:rsidR="00AD6FC0" w:rsidRPr="006C4632">
        <w:t>, paragraph</w:t>
      </w:r>
      <w:r w:rsidR="004F6FE5" w:rsidRPr="006C4632">
        <w:t xml:space="preserve"> 3.3</w:t>
      </w:r>
      <w:r w:rsidR="00AD6FC0" w:rsidRPr="006C4632">
        <w:t>.</w:t>
      </w:r>
      <w:r w:rsidR="004F6FE5" w:rsidRPr="006C4632">
        <w:t xml:space="preserve"> </w:t>
      </w:r>
      <w:proofErr w:type="gramStart"/>
      <w:r w:rsidR="004F6FE5" w:rsidRPr="006C4632">
        <w:t>clearly</w:t>
      </w:r>
      <w:proofErr w:type="gramEnd"/>
      <w:r w:rsidR="004F6FE5" w:rsidRPr="006C4632">
        <w:t xml:space="preserve"> defines a reference point</w:t>
      </w:r>
      <w:r w:rsidR="00282A1F">
        <w:t xml:space="preserve">. For </w:t>
      </w:r>
      <w:r w:rsidR="004F6FE5" w:rsidRPr="006C4632">
        <w:t>a single probe calibration method</w:t>
      </w:r>
      <w:r w:rsidR="00282A1F">
        <w:t>, it</w:t>
      </w:r>
      <w:r w:rsidR="004F6FE5" w:rsidRPr="006C4632">
        <w:rPr>
          <w:rFonts w:eastAsia="SimSun"/>
          <w:kern w:val="2"/>
          <w:lang w:eastAsia="zh-CN"/>
        </w:rPr>
        <w:t xml:space="preserve"> </w:t>
      </w:r>
      <w:proofErr w:type="gramStart"/>
      <w:r w:rsidR="004F6FE5" w:rsidRPr="006C4632">
        <w:rPr>
          <w:rFonts w:eastAsia="SimSun"/>
          <w:kern w:val="2"/>
          <w:lang w:eastAsia="zh-CN"/>
        </w:rPr>
        <w:t>should be described</w:t>
      </w:r>
      <w:proofErr w:type="gramEnd"/>
      <w:r w:rsidR="004F6FE5" w:rsidRPr="006C4632">
        <w:rPr>
          <w:rFonts w:eastAsia="SimSun"/>
          <w:kern w:val="2"/>
          <w:lang w:eastAsia="zh-CN"/>
        </w:rPr>
        <w:t xml:space="preserve"> separately.</w:t>
      </w:r>
    </w:p>
    <w:p w:rsidR="00C31258" w:rsidRPr="006C4632" w:rsidRDefault="00C31258" w:rsidP="00C31258">
      <w:pPr>
        <w:spacing w:before="240"/>
        <w:ind w:left="1134" w:right="1134"/>
        <w:jc w:val="center"/>
        <w:rPr>
          <w:u w:val="single"/>
        </w:rPr>
      </w:pPr>
      <w:r w:rsidRPr="006C4632">
        <w:rPr>
          <w:u w:val="single"/>
        </w:rPr>
        <w:tab/>
      </w:r>
      <w:r w:rsidRPr="006C4632">
        <w:rPr>
          <w:u w:val="single"/>
        </w:rPr>
        <w:tab/>
      </w:r>
      <w:r w:rsidRPr="006C4632">
        <w:rPr>
          <w:u w:val="single"/>
        </w:rPr>
        <w:tab/>
      </w:r>
    </w:p>
    <w:sectPr w:rsidR="00C31258" w:rsidRPr="006C4632" w:rsidSect="00803BF8">
      <w:headerReference w:type="even" r:id="rId12"/>
      <w:headerReference w:type="default" r:id="rId13"/>
      <w:footerReference w:type="even" r:id="rId14"/>
      <w:footerReference w:type="default" r:id="rId15"/>
      <w:footerReference w:type="first" r:id="rId16"/>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18E" w:rsidRDefault="007D718E"/>
  </w:endnote>
  <w:endnote w:type="continuationSeparator" w:id="0">
    <w:p w:rsidR="007D718E" w:rsidRDefault="007D718E"/>
  </w:endnote>
  <w:endnote w:type="continuationNotice" w:id="1">
    <w:p w:rsidR="007D718E" w:rsidRDefault="007D71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C28" w:rsidRPr="00803BF8" w:rsidRDefault="00980C28" w:rsidP="00803BF8">
    <w:pPr>
      <w:pStyle w:val="Footer"/>
      <w:tabs>
        <w:tab w:val="right" w:pos="9638"/>
      </w:tabs>
      <w:rPr>
        <w:sz w:val="18"/>
      </w:rPr>
    </w:pPr>
    <w:r w:rsidRPr="00803BF8">
      <w:rPr>
        <w:b/>
        <w:sz w:val="18"/>
      </w:rPr>
      <w:fldChar w:fldCharType="begin"/>
    </w:r>
    <w:r w:rsidRPr="00803BF8">
      <w:rPr>
        <w:b/>
        <w:sz w:val="18"/>
      </w:rPr>
      <w:instrText xml:space="preserve"> PAGE  \* MERGEFORMAT </w:instrText>
    </w:r>
    <w:r w:rsidRPr="00803BF8">
      <w:rPr>
        <w:b/>
        <w:sz w:val="18"/>
      </w:rPr>
      <w:fldChar w:fldCharType="separate"/>
    </w:r>
    <w:r w:rsidR="004571DB">
      <w:rPr>
        <w:b/>
        <w:noProof/>
        <w:sz w:val="18"/>
      </w:rPr>
      <w:t>4</w:t>
    </w:r>
    <w:r w:rsidRPr="00803BF8">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C28" w:rsidRPr="00803BF8" w:rsidRDefault="00980C28" w:rsidP="00803BF8">
    <w:pPr>
      <w:pStyle w:val="Footer"/>
      <w:tabs>
        <w:tab w:val="right" w:pos="9638"/>
      </w:tabs>
      <w:rPr>
        <w:b/>
        <w:sz w:val="18"/>
      </w:rPr>
    </w:pPr>
    <w:r>
      <w:tab/>
    </w:r>
    <w:r w:rsidRPr="00803BF8">
      <w:rPr>
        <w:b/>
        <w:sz w:val="18"/>
      </w:rPr>
      <w:fldChar w:fldCharType="begin"/>
    </w:r>
    <w:r w:rsidRPr="00803BF8">
      <w:rPr>
        <w:b/>
        <w:sz w:val="18"/>
      </w:rPr>
      <w:instrText xml:space="preserve"> PAGE  \* MERGEFORMAT </w:instrText>
    </w:r>
    <w:r w:rsidRPr="00803BF8">
      <w:rPr>
        <w:b/>
        <w:sz w:val="18"/>
      </w:rPr>
      <w:fldChar w:fldCharType="separate"/>
    </w:r>
    <w:r w:rsidR="004571DB">
      <w:rPr>
        <w:b/>
        <w:noProof/>
        <w:sz w:val="18"/>
      </w:rPr>
      <w:t>3</w:t>
    </w:r>
    <w:r w:rsidRPr="00803BF8">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C28" w:rsidRPr="00803BF8" w:rsidRDefault="006266D3">
    <w:pPr>
      <w:pStyle w:val="Footer"/>
      <w:rPr>
        <w:sz w:val="20"/>
      </w:rPr>
    </w:pPr>
    <w:r>
      <w:rPr>
        <w:noProof/>
        <w:sz w:val="20"/>
        <w:lang w:eastAsia="en-GB"/>
      </w:rPr>
      <w:drawing>
        <wp:anchor distT="0" distB="0" distL="114300" distR="114300" simplePos="0" relativeHeight="251657728" behindDoc="0" locked="1" layoutInCell="1" allowOverlap="1">
          <wp:simplePos x="0" y="0"/>
          <wp:positionH relativeFrom="column">
            <wp:posOffset>5148580</wp:posOffset>
          </wp:positionH>
          <wp:positionV relativeFrom="paragraph">
            <wp:posOffset>-79375</wp:posOffset>
          </wp:positionV>
          <wp:extent cx="930275" cy="230505"/>
          <wp:effectExtent l="0" t="0" r="3175" b="0"/>
          <wp:wrapNone/>
          <wp:docPr id="2" name="Pictur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a:ln>
                    <a:noFill/>
                  </a:ln>
                </pic:spPr>
              </pic:pic>
            </a:graphicData>
          </a:graphic>
          <wp14:sizeRelH relativeFrom="page">
            <wp14:pctWidth>0</wp14:pctWidth>
          </wp14:sizeRelH>
          <wp14:sizeRelV relativeFrom="page">
            <wp14:pctHeight>0</wp14:pctHeight>
          </wp14:sizeRelV>
        </wp:anchor>
      </w:drawing>
    </w:r>
    <w:r w:rsidR="00980C28">
      <w:rPr>
        <w:sz w:val="20"/>
      </w:rPr>
      <w:t>GE.1</w:t>
    </w:r>
    <w:r w:rsidR="00D95D10">
      <w:rPr>
        <w:sz w:val="20"/>
      </w:rPr>
      <w:t>5</w:t>
    </w:r>
    <w:r w:rsidR="00980C28">
      <w:rPr>
        <w:sz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18E" w:rsidRPr="000B175B" w:rsidRDefault="007D718E" w:rsidP="000B175B">
      <w:pPr>
        <w:tabs>
          <w:tab w:val="right" w:pos="2155"/>
        </w:tabs>
        <w:spacing w:after="80"/>
        <w:ind w:left="680"/>
        <w:rPr>
          <w:u w:val="single"/>
        </w:rPr>
      </w:pPr>
      <w:r>
        <w:rPr>
          <w:u w:val="single"/>
        </w:rPr>
        <w:tab/>
      </w:r>
    </w:p>
  </w:footnote>
  <w:footnote w:type="continuationSeparator" w:id="0">
    <w:p w:rsidR="007D718E" w:rsidRPr="00FC68B7" w:rsidRDefault="007D718E" w:rsidP="00FC68B7">
      <w:pPr>
        <w:tabs>
          <w:tab w:val="left" w:pos="2155"/>
        </w:tabs>
        <w:spacing w:after="80"/>
        <w:ind w:left="680"/>
        <w:rPr>
          <w:u w:val="single"/>
        </w:rPr>
      </w:pPr>
      <w:r>
        <w:rPr>
          <w:u w:val="single"/>
        </w:rPr>
        <w:tab/>
      </w:r>
    </w:p>
  </w:footnote>
  <w:footnote w:type="continuationNotice" w:id="1">
    <w:p w:rsidR="007D718E" w:rsidRDefault="007D718E"/>
  </w:footnote>
  <w:footnote w:id="2">
    <w:p w:rsidR="00980C28" w:rsidRPr="00B14735" w:rsidRDefault="00980C28" w:rsidP="00D95D10">
      <w:pPr>
        <w:pStyle w:val="FootnoteText"/>
        <w:tabs>
          <w:tab w:val="clear" w:pos="1021"/>
        </w:tabs>
        <w:ind w:hanging="283"/>
        <w:rPr>
          <w:rFonts w:eastAsia="Calibri"/>
        </w:rPr>
      </w:pPr>
      <w:r w:rsidRPr="007406A7">
        <w:rPr>
          <w:rStyle w:val="FootnoteReference"/>
          <w:vertAlign w:val="baseline"/>
        </w:rPr>
        <w:t>*</w:t>
      </w:r>
      <w:r w:rsidRPr="007406A7">
        <w:tab/>
      </w:r>
      <w:r w:rsidRPr="00A224E8">
        <w:rPr>
          <w:lang w:val="en-US"/>
        </w:rPr>
        <w:t>In accordance with the programme of work of the Inland Transport Committee for 2012–2016 (ECE/TRANS/224, para. 94 and ECE/TRANS/2012/12, programme activity 02.4), the World Forum will develop, harmonize and update Regulations in order to enhance the performance of vehicles. The present document is submitted in conformity with that mandate</w:t>
      </w:r>
      <w:r>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C28" w:rsidRPr="00803BF8" w:rsidRDefault="00980C28">
    <w:pPr>
      <w:pStyle w:val="Header"/>
    </w:pPr>
    <w:r>
      <w:t>ECE/TRANS/WP.29/GR</w:t>
    </w:r>
    <w:r w:rsidR="009B385D">
      <w:t>E</w:t>
    </w:r>
    <w:r>
      <w:t>/</w:t>
    </w:r>
    <w:r w:rsidRPr="00DF418A">
      <w:t>201</w:t>
    </w:r>
    <w:r w:rsidR="00105AD8">
      <w:t>5</w:t>
    </w:r>
    <w:r w:rsidRPr="00DF418A">
      <w:t>/</w:t>
    </w:r>
    <w:r w:rsidR="000B373D">
      <w:t>3</w:t>
    </w:r>
    <w:r w:rsidR="008E1490">
      <w:t>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C28" w:rsidRPr="00803BF8" w:rsidRDefault="00980C28" w:rsidP="00803BF8">
    <w:pPr>
      <w:pStyle w:val="Header"/>
      <w:jc w:val="right"/>
    </w:pPr>
    <w:r>
      <w:t>ECE/TRANS/WP.29/GR</w:t>
    </w:r>
    <w:r w:rsidR="00B051E6">
      <w:t>E</w:t>
    </w:r>
    <w:r>
      <w:t>/201</w:t>
    </w:r>
    <w:r w:rsidR="00B051E6">
      <w:t>5/36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42018C"/>
    <w:multiLevelType w:val="hybridMultilevel"/>
    <w:tmpl w:val="D94E334E"/>
    <w:lvl w:ilvl="0" w:tplc="BACCDDC2">
      <w:start w:val="2"/>
      <w:numFmt w:val="none"/>
      <w:lvlText w:val="(a)"/>
      <w:lvlJc w:val="left"/>
      <w:pPr>
        <w:tabs>
          <w:tab w:val="num" w:pos="765"/>
        </w:tabs>
        <w:ind w:left="765" w:hanging="360"/>
      </w:pPr>
      <w:rPr>
        <w:rFonts w:hint="default"/>
        <w:u w:val="none"/>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1">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CA06393"/>
    <w:multiLevelType w:val="multilevel"/>
    <w:tmpl w:val="67BC1470"/>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4">
    <w:nsid w:val="1F5078CF"/>
    <w:multiLevelType w:val="hybridMultilevel"/>
    <w:tmpl w:val="98BC13FC"/>
    <w:lvl w:ilvl="0" w:tplc="2FA2B25C">
      <w:start w:val="1"/>
      <w:numFmt w:val="decimal"/>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6FC776D1"/>
    <w:multiLevelType w:val="hybridMultilevel"/>
    <w:tmpl w:val="0F14CF68"/>
    <w:lvl w:ilvl="0" w:tplc="040E0001">
      <w:start w:val="1"/>
      <w:numFmt w:val="bullet"/>
      <w:lvlText w:val=""/>
      <w:lvlJc w:val="left"/>
      <w:pPr>
        <w:tabs>
          <w:tab w:val="num" w:pos="1068"/>
        </w:tabs>
        <w:ind w:left="1068"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2"/>
  </w:num>
  <w:num w:numId="13">
    <w:abstractNumId w:val="11"/>
  </w:num>
  <w:num w:numId="14">
    <w:abstractNumId w:val="16"/>
  </w:num>
  <w:num w:numId="15">
    <w:abstractNumId w:val="18"/>
  </w:num>
  <w:num w:numId="16">
    <w:abstractNumId w:val="10"/>
  </w:num>
  <w:num w:numId="17">
    <w:abstractNumId w:val="14"/>
  </w:num>
  <w:num w:numId="18">
    <w:abstractNumId w:val="1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BF8"/>
    <w:rsid w:val="00000CCB"/>
    <w:rsid w:val="00001F4E"/>
    <w:rsid w:val="00013D2A"/>
    <w:rsid w:val="00014605"/>
    <w:rsid w:val="00015799"/>
    <w:rsid w:val="0002015E"/>
    <w:rsid w:val="00025B62"/>
    <w:rsid w:val="00030495"/>
    <w:rsid w:val="00031ABF"/>
    <w:rsid w:val="00032937"/>
    <w:rsid w:val="000333D4"/>
    <w:rsid w:val="00034C7C"/>
    <w:rsid w:val="0003564D"/>
    <w:rsid w:val="00035DFA"/>
    <w:rsid w:val="00046515"/>
    <w:rsid w:val="00046A36"/>
    <w:rsid w:val="00046B1F"/>
    <w:rsid w:val="00046CDF"/>
    <w:rsid w:val="00050F6B"/>
    <w:rsid w:val="00052635"/>
    <w:rsid w:val="00054E4D"/>
    <w:rsid w:val="00056C6B"/>
    <w:rsid w:val="00057E97"/>
    <w:rsid w:val="000646F4"/>
    <w:rsid w:val="00065561"/>
    <w:rsid w:val="00066C0D"/>
    <w:rsid w:val="00067F6C"/>
    <w:rsid w:val="00072C8C"/>
    <w:rsid w:val="000733B5"/>
    <w:rsid w:val="00073F5F"/>
    <w:rsid w:val="00074B8A"/>
    <w:rsid w:val="00075E1A"/>
    <w:rsid w:val="0008164E"/>
    <w:rsid w:val="00081815"/>
    <w:rsid w:val="000876DE"/>
    <w:rsid w:val="000931C0"/>
    <w:rsid w:val="00094A1B"/>
    <w:rsid w:val="00094F47"/>
    <w:rsid w:val="000A525F"/>
    <w:rsid w:val="000A5649"/>
    <w:rsid w:val="000B0595"/>
    <w:rsid w:val="000B175B"/>
    <w:rsid w:val="000B1CD2"/>
    <w:rsid w:val="000B2D7B"/>
    <w:rsid w:val="000B2F02"/>
    <w:rsid w:val="000B373D"/>
    <w:rsid w:val="000B3A0F"/>
    <w:rsid w:val="000B4EF7"/>
    <w:rsid w:val="000C16D3"/>
    <w:rsid w:val="000C2C03"/>
    <w:rsid w:val="000C2D2E"/>
    <w:rsid w:val="000D0516"/>
    <w:rsid w:val="000D4EB3"/>
    <w:rsid w:val="000D70AC"/>
    <w:rsid w:val="000E034C"/>
    <w:rsid w:val="000E0415"/>
    <w:rsid w:val="000E5E72"/>
    <w:rsid w:val="000F1AC1"/>
    <w:rsid w:val="00101131"/>
    <w:rsid w:val="001044E5"/>
    <w:rsid w:val="001058B4"/>
    <w:rsid w:val="00105AD8"/>
    <w:rsid w:val="00107CBF"/>
    <w:rsid w:val="001103AA"/>
    <w:rsid w:val="0011666B"/>
    <w:rsid w:val="00122CBC"/>
    <w:rsid w:val="00123206"/>
    <w:rsid w:val="00130A58"/>
    <w:rsid w:val="00130B1B"/>
    <w:rsid w:val="00130E03"/>
    <w:rsid w:val="00131F67"/>
    <w:rsid w:val="00133B18"/>
    <w:rsid w:val="00133E6D"/>
    <w:rsid w:val="001359D2"/>
    <w:rsid w:val="00143418"/>
    <w:rsid w:val="00147241"/>
    <w:rsid w:val="00152B52"/>
    <w:rsid w:val="00155592"/>
    <w:rsid w:val="00156C8F"/>
    <w:rsid w:val="001602AF"/>
    <w:rsid w:val="00160B90"/>
    <w:rsid w:val="00163BF7"/>
    <w:rsid w:val="00164A85"/>
    <w:rsid w:val="00165F3A"/>
    <w:rsid w:val="001662EC"/>
    <w:rsid w:val="00182290"/>
    <w:rsid w:val="001827D1"/>
    <w:rsid w:val="00184490"/>
    <w:rsid w:val="0019102D"/>
    <w:rsid w:val="00192180"/>
    <w:rsid w:val="00193F1C"/>
    <w:rsid w:val="001963AC"/>
    <w:rsid w:val="00197D24"/>
    <w:rsid w:val="001A3955"/>
    <w:rsid w:val="001A5101"/>
    <w:rsid w:val="001A7DC5"/>
    <w:rsid w:val="001B3446"/>
    <w:rsid w:val="001B4B04"/>
    <w:rsid w:val="001C4AFE"/>
    <w:rsid w:val="001C6663"/>
    <w:rsid w:val="001C7895"/>
    <w:rsid w:val="001D0C8C"/>
    <w:rsid w:val="001D1419"/>
    <w:rsid w:val="001D16DB"/>
    <w:rsid w:val="001D26DF"/>
    <w:rsid w:val="001D3882"/>
    <w:rsid w:val="001D3A03"/>
    <w:rsid w:val="001D4261"/>
    <w:rsid w:val="001D6907"/>
    <w:rsid w:val="001D72CF"/>
    <w:rsid w:val="001E0C22"/>
    <w:rsid w:val="001E2593"/>
    <w:rsid w:val="001E47B9"/>
    <w:rsid w:val="001E7B67"/>
    <w:rsid w:val="001F59D7"/>
    <w:rsid w:val="00202BF3"/>
    <w:rsid w:val="00202DA8"/>
    <w:rsid w:val="002057AE"/>
    <w:rsid w:val="002073C2"/>
    <w:rsid w:val="0021164B"/>
    <w:rsid w:val="00211E0B"/>
    <w:rsid w:val="002134E0"/>
    <w:rsid w:val="00213F99"/>
    <w:rsid w:val="00221BD3"/>
    <w:rsid w:val="0023072C"/>
    <w:rsid w:val="002324C6"/>
    <w:rsid w:val="00233BB0"/>
    <w:rsid w:val="00243627"/>
    <w:rsid w:val="00246027"/>
    <w:rsid w:val="0024772E"/>
    <w:rsid w:val="00263A29"/>
    <w:rsid w:val="002676B0"/>
    <w:rsid w:val="00267F5F"/>
    <w:rsid w:val="00270BEB"/>
    <w:rsid w:val="00271CB5"/>
    <w:rsid w:val="002722E2"/>
    <w:rsid w:val="00273751"/>
    <w:rsid w:val="00276AEF"/>
    <w:rsid w:val="00282A1F"/>
    <w:rsid w:val="00283AEA"/>
    <w:rsid w:val="00283C63"/>
    <w:rsid w:val="002847BB"/>
    <w:rsid w:val="00284D1F"/>
    <w:rsid w:val="00286888"/>
    <w:rsid w:val="00286B4D"/>
    <w:rsid w:val="0028776F"/>
    <w:rsid w:val="002934A0"/>
    <w:rsid w:val="002A0D4A"/>
    <w:rsid w:val="002A42DD"/>
    <w:rsid w:val="002A4687"/>
    <w:rsid w:val="002A4D51"/>
    <w:rsid w:val="002B4079"/>
    <w:rsid w:val="002B47CA"/>
    <w:rsid w:val="002C5141"/>
    <w:rsid w:val="002C567B"/>
    <w:rsid w:val="002C64E5"/>
    <w:rsid w:val="002C6BB6"/>
    <w:rsid w:val="002D4643"/>
    <w:rsid w:val="002D4CFC"/>
    <w:rsid w:val="002E093F"/>
    <w:rsid w:val="002E2EB7"/>
    <w:rsid w:val="002E4283"/>
    <w:rsid w:val="002E5684"/>
    <w:rsid w:val="002F04B8"/>
    <w:rsid w:val="002F175C"/>
    <w:rsid w:val="002F1D8E"/>
    <w:rsid w:val="002F45F3"/>
    <w:rsid w:val="002F4FDB"/>
    <w:rsid w:val="002F5AC5"/>
    <w:rsid w:val="002F7DE0"/>
    <w:rsid w:val="0030272D"/>
    <w:rsid w:val="00302E18"/>
    <w:rsid w:val="0031067C"/>
    <w:rsid w:val="00312F59"/>
    <w:rsid w:val="0031733E"/>
    <w:rsid w:val="003229D8"/>
    <w:rsid w:val="003237A4"/>
    <w:rsid w:val="00325908"/>
    <w:rsid w:val="00326932"/>
    <w:rsid w:val="00330F1A"/>
    <w:rsid w:val="00336789"/>
    <w:rsid w:val="003406CC"/>
    <w:rsid w:val="0034168B"/>
    <w:rsid w:val="003450DD"/>
    <w:rsid w:val="003451F4"/>
    <w:rsid w:val="003516C1"/>
    <w:rsid w:val="00352181"/>
    <w:rsid w:val="00352709"/>
    <w:rsid w:val="00356E54"/>
    <w:rsid w:val="003619B5"/>
    <w:rsid w:val="00361AC3"/>
    <w:rsid w:val="00365763"/>
    <w:rsid w:val="00371178"/>
    <w:rsid w:val="00377817"/>
    <w:rsid w:val="003800C8"/>
    <w:rsid w:val="00383155"/>
    <w:rsid w:val="00392E47"/>
    <w:rsid w:val="00394CC7"/>
    <w:rsid w:val="00396E5F"/>
    <w:rsid w:val="003A06B5"/>
    <w:rsid w:val="003A3D17"/>
    <w:rsid w:val="003A5828"/>
    <w:rsid w:val="003A6810"/>
    <w:rsid w:val="003B1EDF"/>
    <w:rsid w:val="003B275B"/>
    <w:rsid w:val="003C17CC"/>
    <w:rsid w:val="003C2CC4"/>
    <w:rsid w:val="003C46E4"/>
    <w:rsid w:val="003C534D"/>
    <w:rsid w:val="003D4B23"/>
    <w:rsid w:val="003E120B"/>
    <w:rsid w:val="003E130E"/>
    <w:rsid w:val="003F00E3"/>
    <w:rsid w:val="003F6FC1"/>
    <w:rsid w:val="004019C4"/>
    <w:rsid w:val="00403D20"/>
    <w:rsid w:val="0040438C"/>
    <w:rsid w:val="00410C89"/>
    <w:rsid w:val="00420557"/>
    <w:rsid w:val="00422E03"/>
    <w:rsid w:val="00425C32"/>
    <w:rsid w:val="00426B9B"/>
    <w:rsid w:val="004325CB"/>
    <w:rsid w:val="004358FC"/>
    <w:rsid w:val="00442A83"/>
    <w:rsid w:val="00443761"/>
    <w:rsid w:val="00443911"/>
    <w:rsid w:val="0045495B"/>
    <w:rsid w:val="004561E5"/>
    <w:rsid w:val="004571DB"/>
    <w:rsid w:val="004572AE"/>
    <w:rsid w:val="00464BD6"/>
    <w:rsid w:val="00467304"/>
    <w:rsid w:val="00467FEF"/>
    <w:rsid w:val="00471BD2"/>
    <w:rsid w:val="00477526"/>
    <w:rsid w:val="00477A0D"/>
    <w:rsid w:val="00481E2E"/>
    <w:rsid w:val="0048237A"/>
    <w:rsid w:val="0048397A"/>
    <w:rsid w:val="0048419F"/>
    <w:rsid w:val="00485CBB"/>
    <w:rsid w:val="004866B7"/>
    <w:rsid w:val="004909C2"/>
    <w:rsid w:val="004935FC"/>
    <w:rsid w:val="00493DB9"/>
    <w:rsid w:val="004A79FD"/>
    <w:rsid w:val="004B05F0"/>
    <w:rsid w:val="004B3889"/>
    <w:rsid w:val="004C2461"/>
    <w:rsid w:val="004C3774"/>
    <w:rsid w:val="004C7462"/>
    <w:rsid w:val="004D02BC"/>
    <w:rsid w:val="004D0424"/>
    <w:rsid w:val="004D09E9"/>
    <w:rsid w:val="004D3FC5"/>
    <w:rsid w:val="004D65FF"/>
    <w:rsid w:val="004E0683"/>
    <w:rsid w:val="004E0FDB"/>
    <w:rsid w:val="004E57FB"/>
    <w:rsid w:val="004E77B2"/>
    <w:rsid w:val="004F1622"/>
    <w:rsid w:val="004F1CBD"/>
    <w:rsid w:val="004F6FE5"/>
    <w:rsid w:val="004F7AE4"/>
    <w:rsid w:val="00501396"/>
    <w:rsid w:val="005017D4"/>
    <w:rsid w:val="0050463D"/>
    <w:rsid w:val="00504B2D"/>
    <w:rsid w:val="00504CD0"/>
    <w:rsid w:val="0052136D"/>
    <w:rsid w:val="00527001"/>
    <w:rsid w:val="0052775E"/>
    <w:rsid w:val="00535965"/>
    <w:rsid w:val="005420F2"/>
    <w:rsid w:val="00542619"/>
    <w:rsid w:val="005462C2"/>
    <w:rsid w:val="005507E3"/>
    <w:rsid w:val="0055161F"/>
    <w:rsid w:val="0055217D"/>
    <w:rsid w:val="0055307C"/>
    <w:rsid w:val="00554D08"/>
    <w:rsid w:val="00556130"/>
    <w:rsid w:val="00556DED"/>
    <w:rsid w:val="0056209A"/>
    <w:rsid w:val="005628B6"/>
    <w:rsid w:val="005642C2"/>
    <w:rsid w:val="00564BCC"/>
    <w:rsid w:val="0057118C"/>
    <w:rsid w:val="0057288A"/>
    <w:rsid w:val="00574006"/>
    <w:rsid w:val="005751FB"/>
    <w:rsid w:val="00581DFE"/>
    <w:rsid w:val="00583457"/>
    <w:rsid w:val="005907C7"/>
    <w:rsid w:val="00593353"/>
    <w:rsid w:val="00593753"/>
    <w:rsid w:val="005941EC"/>
    <w:rsid w:val="00596CF1"/>
    <w:rsid w:val="0059724D"/>
    <w:rsid w:val="0059757F"/>
    <w:rsid w:val="005B04D8"/>
    <w:rsid w:val="005B1513"/>
    <w:rsid w:val="005B320C"/>
    <w:rsid w:val="005B3DB3"/>
    <w:rsid w:val="005B4E13"/>
    <w:rsid w:val="005C1629"/>
    <w:rsid w:val="005C342F"/>
    <w:rsid w:val="005C5509"/>
    <w:rsid w:val="005C7D1E"/>
    <w:rsid w:val="005E0D4D"/>
    <w:rsid w:val="005F4257"/>
    <w:rsid w:val="005F72B3"/>
    <w:rsid w:val="005F7B75"/>
    <w:rsid w:val="006001EE"/>
    <w:rsid w:val="00600492"/>
    <w:rsid w:val="00605042"/>
    <w:rsid w:val="006072D0"/>
    <w:rsid w:val="00611FC4"/>
    <w:rsid w:val="00616169"/>
    <w:rsid w:val="006176FB"/>
    <w:rsid w:val="006266D3"/>
    <w:rsid w:val="00626FBD"/>
    <w:rsid w:val="00630555"/>
    <w:rsid w:val="0063070C"/>
    <w:rsid w:val="00631AF6"/>
    <w:rsid w:val="0063242B"/>
    <w:rsid w:val="00634F9F"/>
    <w:rsid w:val="006372E5"/>
    <w:rsid w:val="0064099B"/>
    <w:rsid w:val="00640B26"/>
    <w:rsid w:val="0064292F"/>
    <w:rsid w:val="00647BAD"/>
    <w:rsid w:val="00652D0A"/>
    <w:rsid w:val="0065391C"/>
    <w:rsid w:val="00662BB6"/>
    <w:rsid w:val="00663B3A"/>
    <w:rsid w:val="00664F9E"/>
    <w:rsid w:val="006660D3"/>
    <w:rsid w:val="00671B51"/>
    <w:rsid w:val="0067362F"/>
    <w:rsid w:val="00675314"/>
    <w:rsid w:val="00676606"/>
    <w:rsid w:val="00680563"/>
    <w:rsid w:val="00682E86"/>
    <w:rsid w:val="0068459E"/>
    <w:rsid w:val="00684C21"/>
    <w:rsid w:val="006908EF"/>
    <w:rsid w:val="006958E8"/>
    <w:rsid w:val="006A0BC2"/>
    <w:rsid w:val="006A2530"/>
    <w:rsid w:val="006A2748"/>
    <w:rsid w:val="006A46E9"/>
    <w:rsid w:val="006A6267"/>
    <w:rsid w:val="006B4D98"/>
    <w:rsid w:val="006B4E9F"/>
    <w:rsid w:val="006B5488"/>
    <w:rsid w:val="006C3589"/>
    <w:rsid w:val="006C4632"/>
    <w:rsid w:val="006D37AF"/>
    <w:rsid w:val="006D4C02"/>
    <w:rsid w:val="006D51D0"/>
    <w:rsid w:val="006D52CA"/>
    <w:rsid w:val="006D5FB9"/>
    <w:rsid w:val="006D658E"/>
    <w:rsid w:val="006E564B"/>
    <w:rsid w:val="006E7191"/>
    <w:rsid w:val="006E7863"/>
    <w:rsid w:val="006F0360"/>
    <w:rsid w:val="006F2D70"/>
    <w:rsid w:val="006F3D7F"/>
    <w:rsid w:val="00702B9C"/>
    <w:rsid w:val="00703577"/>
    <w:rsid w:val="00705894"/>
    <w:rsid w:val="007072C1"/>
    <w:rsid w:val="00716CB7"/>
    <w:rsid w:val="007247D3"/>
    <w:rsid w:val="0072632A"/>
    <w:rsid w:val="00731186"/>
    <w:rsid w:val="007327D5"/>
    <w:rsid w:val="00735128"/>
    <w:rsid w:val="007377C5"/>
    <w:rsid w:val="00741C1C"/>
    <w:rsid w:val="00750A59"/>
    <w:rsid w:val="00750B8D"/>
    <w:rsid w:val="00757F2F"/>
    <w:rsid w:val="007629C8"/>
    <w:rsid w:val="00770168"/>
    <w:rsid w:val="0077047D"/>
    <w:rsid w:val="00775F7C"/>
    <w:rsid w:val="0077691F"/>
    <w:rsid w:val="007836F4"/>
    <w:rsid w:val="00790A9A"/>
    <w:rsid w:val="00793B94"/>
    <w:rsid w:val="00796008"/>
    <w:rsid w:val="007A36CE"/>
    <w:rsid w:val="007A52E6"/>
    <w:rsid w:val="007B6BA5"/>
    <w:rsid w:val="007C0546"/>
    <w:rsid w:val="007C2E71"/>
    <w:rsid w:val="007C3390"/>
    <w:rsid w:val="007C3B1C"/>
    <w:rsid w:val="007C4F4B"/>
    <w:rsid w:val="007D0567"/>
    <w:rsid w:val="007D24C3"/>
    <w:rsid w:val="007D718E"/>
    <w:rsid w:val="007D7BE1"/>
    <w:rsid w:val="007E01E9"/>
    <w:rsid w:val="007E3C7D"/>
    <w:rsid w:val="007E5E15"/>
    <w:rsid w:val="007E63F3"/>
    <w:rsid w:val="007F0E12"/>
    <w:rsid w:val="007F3673"/>
    <w:rsid w:val="007F53E5"/>
    <w:rsid w:val="007F6611"/>
    <w:rsid w:val="007F6FD3"/>
    <w:rsid w:val="00801D6A"/>
    <w:rsid w:val="00803BF8"/>
    <w:rsid w:val="00804C91"/>
    <w:rsid w:val="00811920"/>
    <w:rsid w:val="00815AD0"/>
    <w:rsid w:val="00815EDB"/>
    <w:rsid w:val="00816704"/>
    <w:rsid w:val="00822B44"/>
    <w:rsid w:val="008231D3"/>
    <w:rsid w:val="008242D7"/>
    <w:rsid w:val="008257B1"/>
    <w:rsid w:val="00832334"/>
    <w:rsid w:val="008339DF"/>
    <w:rsid w:val="00835C20"/>
    <w:rsid w:val="008369BC"/>
    <w:rsid w:val="00843767"/>
    <w:rsid w:val="00847CEC"/>
    <w:rsid w:val="00851184"/>
    <w:rsid w:val="008562C9"/>
    <w:rsid w:val="00856494"/>
    <w:rsid w:val="00856FAA"/>
    <w:rsid w:val="00861117"/>
    <w:rsid w:val="0086135A"/>
    <w:rsid w:val="00863DFD"/>
    <w:rsid w:val="00865560"/>
    <w:rsid w:val="008679D9"/>
    <w:rsid w:val="00872EA9"/>
    <w:rsid w:val="00873BB6"/>
    <w:rsid w:val="008809C1"/>
    <w:rsid w:val="00881AE2"/>
    <w:rsid w:val="00883E85"/>
    <w:rsid w:val="00886690"/>
    <w:rsid w:val="008878DE"/>
    <w:rsid w:val="00896B38"/>
    <w:rsid w:val="008979B1"/>
    <w:rsid w:val="008A137D"/>
    <w:rsid w:val="008A1ED5"/>
    <w:rsid w:val="008A4091"/>
    <w:rsid w:val="008A6467"/>
    <w:rsid w:val="008A6B25"/>
    <w:rsid w:val="008A6C4F"/>
    <w:rsid w:val="008B2335"/>
    <w:rsid w:val="008B2859"/>
    <w:rsid w:val="008B2E36"/>
    <w:rsid w:val="008C3161"/>
    <w:rsid w:val="008D37F7"/>
    <w:rsid w:val="008D3ABA"/>
    <w:rsid w:val="008D440D"/>
    <w:rsid w:val="008D7558"/>
    <w:rsid w:val="008E05FB"/>
    <w:rsid w:val="008E0678"/>
    <w:rsid w:val="008E1490"/>
    <w:rsid w:val="008E305A"/>
    <w:rsid w:val="008E6DB5"/>
    <w:rsid w:val="008F31D2"/>
    <w:rsid w:val="008F4D26"/>
    <w:rsid w:val="0090098B"/>
    <w:rsid w:val="009014EE"/>
    <w:rsid w:val="00906A89"/>
    <w:rsid w:val="0091023E"/>
    <w:rsid w:val="00915EF6"/>
    <w:rsid w:val="00920C5D"/>
    <w:rsid w:val="00921397"/>
    <w:rsid w:val="009223CA"/>
    <w:rsid w:val="009235EA"/>
    <w:rsid w:val="00927C2B"/>
    <w:rsid w:val="00934FAC"/>
    <w:rsid w:val="00940F93"/>
    <w:rsid w:val="009448C3"/>
    <w:rsid w:val="00945A10"/>
    <w:rsid w:val="009465E1"/>
    <w:rsid w:val="0095793C"/>
    <w:rsid w:val="009629C4"/>
    <w:rsid w:val="00963752"/>
    <w:rsid w:val="00963BF3"/>
    <w:rsid w:val="00963E1A"/>
    <w:rsid w:val="0096421E"/>
    <w:rsid w:val="009650B1"/>
    <w:rsid w:val="00972EEF"/>
    <w:rsid w:val="00974C2D"/>
    <w:rsid w:val="00975569"/>
    <w:rsid w:val="009760F3"/>
    <w:rsid w:val="009764DA"/>
    <w:rsid w:val="00976CFB"/>
    <w:rsid w:val="00980C28"/>
    <w:rsid w:val="00981AA1"/>
    <w:rsid w:val="00985228"/>
    <w:rsid w:val="00997605"/>
    <w:rsid w:val="009A0830"/>
    <w:rsid w:val="009A08AC"/>
    <w:rsid w:val="009A0E8D"/>
    <w:rsid w:val="009A26E0"/>
    <w:rsid w:val="009A5E59"/>
    <w:rsid w:val="009B250F"/>
    <w:rsid w:val="009B26E7"/>
    <w:rsid w:val="009B385D"/>
    <w:rsid w:val="009B5B90"/>
    <w:rsid w:val="009B64BB"/>
    <w:rsid w:val="009B69E9"/>
    <w:rsid w:val="009C5020"/>
    <w:rsid w:val="009C6945"/>
    <w:rsid w:val="009D272C"/>
    <w:rsid w:val="009D4BEE"/>
    <w:rsid w:val="009E15C8"/>
    <w:rsid w:val="009E28CD"/>
    <w:rsid w:val="009E5620"/>
    <w:rsid w:val="009F0B23"/>
    <w:rsid w:val="009F36A3"/>
    <w:rsid w:val="009F71D1"/>
    <w:rsid w:val="00A00697"/>
    <w:rsid w:val="00A00A3F"/>
    <w:rsid w:val="00A01326"/>
    <w:rsid w:val="00A01489"/>
    <w:rsid w:val="00A053B0"/>
    <w:rsid w:val="00A14A4D"/>
    <w:rsid w:val="00A1546E"/>
    <w:rsid w:val="00A20DE2"/>
    <w:rsid w:val="00A23763"/>
    <w:rsid w:val="00A3026E"/>
    <w:rsid w:val="00A32BBC"/>
    <w:rsid w:val="00A338F1"/>
    <w:rsid w:val="00A3529B"/>
    <w:rsid w:val="00A35BE0"/>
    <w:rsid w:val="00A508DF"/>
    <w:rsid w:val="00A51DCC"/>
    <w:rsid w:val="00A52B68"/>
    <w:rsid w:val="00A54EBE"/>
    <w:rsid w:val="00A6129C"/>
    <w:rsid w:val="00A72F22"/>
    <w:rsid w:val="00A7360F"/>
    <w:rsid w:val="00A748A6"/>
    <w:rsid w:val="00A74E3E"/>
    <w:rsid w:val="00A769F4"/>
    <w:rsid w:val="00A776B4"/>
    <w:rsid w:val="00A81C59"/>
    <w:rsid w:val="00A860E7"/>
    <w:rsid w:val="00A86546"/>
    <w:rsid w:val="00A877CE"/>
    <w:rsid w:val="00A94111"/>
    <w:rsid w:val="00A94361"/>
    <w:rsid w:val="00AA293C"/>
    <w:rsid w:val="00AA43F1"/>
    <w:rsid w:val="00AB01AB"/>
    <w:rsid w:val="00AB10D2"/>
    <w:rsid w:val="00AC1563"/>
    <w:rsid w:val="00AC3244"/>
    <w:rsid w:val="00AC38EE"/>
    <w:rsid w:val="00AC3BEE"/>
    <w:rsid w:val="00AC56C3"/>
    <w:rsid w:val="00AC5792"/>
    <w:rsid w:val="00AC6594"/>
    <w:rsid w:val="00AD0033"/>
    <w:rsid w:val="00AD0670"/>
    <w:rsid w:val="00AD087C"/>
    <w:rsid w:val="00AD6FC0"/>
    <w:rsid w:val="00AE02E1"/>
    <w:rsid w:val="00AE03EE"/>
    <w:rsid w:val="00AF6850"/>
    <w:rsid w:val="00B048EE"/>
    <w:rsid w:val="00B051E6"/>
    <w:rsid w:val="00B238A5"/>
    <w:rsid w:val="00B25FAF"/>
    <w:rsid w:val="00B30179"/>
    <w:rsid w:val="00B33901"/>
    <w:rsid w:val="00B341FF"/>
    <w:rsid w:val="00B371CD"/>
    <w:rsid w:val="00B41B66"/>
    <w:rsid w:val="00B421C1"/>
    <w:rsid w:val="00B43821"/>
    <w:rsid w:val="00B47053"/>
    <w:rsid w:val="00B50BFB"/>
    <w:rsid w:val="00B50D1A"/>
    <w:rsid w:val="00B53C21"/>
    <w:rsid w:val="00B55C71"/>
    <w:rsid w:val="00B56E37"/>
    <w:rsid w:val="00B56E4A"/>
    <w:rsid w:val="00B56E9C"/>
    <w:rsid w:val="00B64B1F"/>
    <w:rsid w:val="00B64F8E"/>
    <w:rsid w:val="00B6553F"/>
    <w:rsid w:val="00B74954"/>
    <w:rsid w:val="00B77D05"/>
    <w:rsid w:val="00B81206"/>
    <w:rsid w:val="00B8192C"/>
    <w:rsid w:val="00B81E12"/>
    <w:rsid w:val="00B8584A"/>
    <w:rsid w:val="00B924F0"/>
    <w:rsid w:val="00BA12BA"/>
    <w:rsid w:val="00BA22E5"/>
    <w:rsid w:val="00BA2B79"/>
    <w:rsid w:val="00BA523F"/>
    <w:rsid w:val="00BA5FB8"/>
    <w:rsid w:val="00BA73AB"/>
    <w:rsid w:val="00BA770E"/>
    <w:rsid w:val="00BB290D"/>
    <w:rsid w:val="00BB3C8F"/>
    <w:rsid w:val="00BB646D"/>
    <w:rsid w:val="00BC14F0"/>
    <w:rsid w:val="00BC3FA0"/>
    <w:rsid w:val="00BC6ABF"/>
    <w:rsid w:val="00BC74E9"/>
    <w:rsid w:val="00BC7E50"/>
    <w:rsid w:val="00BD0112"/>
    <w:rsid w:val="00BD577B"/>
    <w:rsid w:val="00BE1BD5"/>
    <w:rsid w:val="00BE41AC"/>
    <w:rsid w:val="00BE54D3"/>
    <w:rsid w:val="00BE584F"/>
    <w:rsid w:val="00BF68A8"/>
    <w:rsid w:val="00C04469"/>
    <w:rsid w:val="00C06463"/>
    <w:rsid w:val="00C0710B"/>
    <w:rsid w:val="00C074E5"/>
    <w:rsid w:val="00C11A03"/>
    <w:rsid w:val="00C15D44"/>
    <w:rsid w:val="00C2012C"/>
    <w:rsid w:val="00C22C0C"/>
    <w:rsid w:val="00C24EC4"/>
    <w:rsid w:val="00C27BD6"/>
    <w:rsid w:val="00C30E2E"/>
    <w:rsid w:val="00C31046"/>
    <w:rsid w:val="00C31258"/>
    <w:rsid w:val="00C425BC"/>
    <w:rsid w:val="00C4527F"/>
    <w:rsid w:val="00C463DD"/>
    <w:rsid w:val="00C4724C"/>
    <w:rsid w:val="00C51808"/>
    <w:rsid w:val="00C522C3"/>
    <w:rsid w:val="00C57E75"/>
    <w:rsid w:val="00C629A0"/>
    <w:rsid w:val="00C64574"/>
    <w:rsid w:val="00C64629"/>
    <w:rsid w:val="00C65898"/>
    <w:rsid w:val="00C67DB7"/>
    <w:rsid w:val="00C7153B"/>
    <w:rsid w:val="00C73591"/>
    <w:rsid w:val="00C74128"/>
    <w:rsid w:val="00C745C3"/>
    <w:rsid w:val="00C752BA"/>
    <w:rsid w:val="00C7562D"/>
    <w:rsid w:val="00C7656E"/>
    <w:rsid w:val="00C81F83"/>
    <w:rsid w:val="00C82208"/>
    <w:rsid w:val="00C843AA"/>
    <w:rsid w:val="00C85255"/>
    <w:rsid w:val="00C85C77"/>
    <w:rsid w:val="00C86E02"/>
    <w:rsid w:val="00C91017"/>
    <w:rsid w:val="00C92815"/>
    <w:rsid w:val="00C953EC"/>
    <w:rsid w:val="00C96DF2"/>
    <w:rsid w:val="00C9755B"/>
    <w:rsid w:val="00CA6DDD"/>
    <w:rsid w:val="00CB3E03"/>
    <w:rsid w:val="00CC121D"/>
    <w:rsid w:val="00CC138B"/>
    <w:rsid w:val="00CD4AA6"/>
    <w:rsid w:val="00CE4A8F"/>
    <w:rsid w:val="00CE5946"/>
    <w:rsid w:val="00CF1FA5"/>
    <w:rsid w:val="00CF263E"/>
    <w:rsid w:val="00CF2B7C"/>
    <w:rsid w:val="00CF7C95"/>
    <w:rsid w:val="00D0541A"/>
    <w:rsid w:val="00D05E5E"/>
    <w:rsid w:val="00D12117"/>
    <w:rsid w:val="00D153A7"/>
    <w:rsid w:val="00D2031B"/>
    <w:rsid w:val="00D248B6"/>
    <w:rsid w:val="00D25FB2"/>
    <w:rsid w:val="00D25FE2"/>
    <w:rsid w:val="00D26E07"/>
    <w:rsid w:val="00D27713"/>
    <w:rsid w:val="00D3203E"/>
    <w:rsid w:val="00D32431"/>
    <w:rsid w:val="00D342A8"/>
    <w:rsid w:val="00D35FE4"/>
    <w:rsid w:val="00D41A20"/>
    <w:rsid w:val="00D43252"/>
    <w:rsid w:val="00D45E95"/>
    <w:rsid w:val="00D46A88"/>
    <w:rsid w:val="00D46D61"/>
    <w:rsid w:val="00D47EEA"/>
    <w:rsid w:val="00D51801"/>
    <w:rsid w:val="00D54E2A"/>
    <w:rsid w:val="00D5792F"/>
    <w:rsid w:val="00D60A2A"/>
    <w:rsid w:val="00D66211"/>
    <w:rsid w:val="00D70083"/>
    <w:rsid w:val="00D75C92"/>
    <w:rsid w:val="00D773DF"/>
    <w:rsid w:val="00D84D1A"/>
    <w:rsid w:val="00D92E08"/>
    <w:rsid w:val="00D94543"/>
    <w:rsid w:val="00D95303"/>
    <w:rsid w:val="00D95D10"/>
    <w:rsid w:val="00D978C6"/>
    <w:rsid w:val="00DA2C03"/>
    <w:rsid w:val="00DA3C1C"/>
    <w:rsid w:val="00DA3C80"/>
    <w:rsid w:val="00DA6998"/>
    <w:rsid w:val="00DB0466"/>
    <w:rsid w:val="00DB259A"/>
    <w:rsid w:val="00DB3822"/>
    <w:rsid w:val="00DC022E"/>
    <w:rsid w:val="00DC4365"/>
    <w:rsid w:val="00DC6D39"/>
    <w:rsid w:val="00DD13A2"/>
    <w:rsid w:val="00DD19F5"/>
    <w:rsid w:val="00DD455F"/>
    <w:rsid w:val="00DD640F"/>
    <w:rsid w:val="00DE5FF7"/>
    <w:rsid w:val="00DF418A"/>
    <w:rsid w:val="00DF49B0"/>
    <w:rsid w:val="00E00FC9"/>
    <w:rsid w:val="00E03443"/>
    <w:rsid w:val="00E046DF"/>
    <w:rsid w:val="00E04BE9"/>
    <w:rsid w:val="00E1085B"/>
    <w:rsid w:val="00E109DD"/>
    <w:rsid w:val="00E12AA1"/>
    <w:rsid w:val="00E2018A"/>
    <w:rsid w:val="00E201F4"/>
    <w:rsid w:val="00E2176E"/>
    <w:rsid w:val="00E22B0C"/>
    <w:rsid w:val="00E27346"/>
    <w:rsid w:val="00E31333"/>
    <w:rsid w:val="00E320F1"/>
    <w:rsid w:val="00E34CD5"/>
    <w:rsid w:val="00E36EB6"/>
    <w:rsid w:val="00E40A45"/>
    <w:rsid w:val="00E466D9"/>
    <w:rsid w:val="00E525B6"/>
    <w:rsid w:val="00E55173"/>
    <w:rsid w:val="00E560CA"/>
    <w:rsid w:val="00E62AFD"/>
    <w:rsid w:val="00E71BC8"/>
    <w:rsid w:val="00E7260F"/>
    <w:rsid w:val="00E73F5D"/>
    <w:rsid w:val="00E74454"/>
    <w:rsid w:val="00E767AC"/>
    <w:rsid w:val="00E77E4E"/>
    <w:rsid w:val="00E81825"/>
    <w:rsid w:val="00E83966"/>
    <w:rsid w:val="00E87504"/>
    <w:rsid w:val="00E9441D"/>
    <w:rsid w:val="00E96630"/>
    <w:rsid w:val="00E977BC"/>
    <w:rsid w:val="00EA04C1"/>
    <w:rsid w:val="00EA0FCE"/>
    <w:rsid w:val="00EA1A20"/>
    <w:rsid w:val="00EA2A77"/>
    <w:rsid w:val="00EA3786"/>
    <w:rsid w:val="00EA424E"/>
    <w:rsid w:val="00EA4B54"/>
    <w:rsid w:val="00EB3E7C"/>
    <w:rsid w:val="00EB44C5"/>
    <w:rsid w:val="00EC5B5A"/>
    <w:rsid w:val="00EC5F72"/>
    <w:rsid w:val="00ED09AC"/>
    <w:rsid w:val="00ED46C6"/>
    <w:rsid w:val="00ED5D0B"/>
    <w:rsid w:val="00ED5F6E"/>
    <w:rsid w:val="00ED72B5"/>
    <w:rsid w:val="00ED754F"/>
    <w:rsid w:val="00ED7A2A"/>
    <w:rsid w:val="00EE0B1C"/>
    <w:rsid w:val="00EE40EF"/>
    <w:rsid w:val="00EE5FCD"/>
    <w:rsid w:val="00EF088A"/>
    <w:rsid w:val="00EF1D7F"/>
    <w:rsid w:val="00EF54BA"/>
    <w:rsid w:val="00F02C84"/>
    <w:rsid w:val="00F05945"/>
    <w:rsid w:val="00F11455"/>
    <w:rsid w:val="00F1224B"/>
    <w:rsid w:val="00F15DC0"/>
    <w:rsid w:val="00F20293"/>
    <w:rsid w:val="00F211B8"/>
    <w:rsid w:val="00F21370"/>
    <w:rsid w:val="00F2770E"/>
    <w:rsid w:val="00F31279"/>
    <w:rsid w:val="00F31E5F"/>
    <w:rsid w:val="00F3442E"/>
    <w:rsid w:val="00F435BD"/>
    <w:rsid w:val="00F452EF"/>
    <w:rsid w:val="00F51A5B"/>
    <w:rsid w:val="00F5203B"/>
    <w:rsid w:val="00F531FD"/>
    <w:rsid w:val="00F54668"/>
    <w:rsid w:val="00F55ADC"/>
    <w:rsid w:val="00F6100A"/>
    <w:rsid w:val="00F7336D"/>
    <w:rsid w:val="00F73CB2"/>
    <w:rsid w:val="00F80A68"/>
    <w:rsid w:val="00F81727"/>
    <w:rsid w:val="00F836E5"/>
    <w:rsid w:val="00F93781"/>
    <w:rsid w:val="00F947D6"/>
    <w:rsid w:val="00F9569F"/>
    <w:rsid w:val="00F96D3C"/>
    <w:rsid w:val="00FA3DC2"/>
    <w:rsid w:val="00FA7AA7"/>
    <w:rsid w:val="00FB0E26"/>
    <w:rsid w:val="00FB1056"/>
    <w:rsid w:val="00FB4FEB"/>
    <w:rsid w:val="00FB613B"/>
    <w:rsid w:val="00FC598C"/>
    <w:rsid w:val="00FC68B7"/>
    <w:rsid w:val="00FC71C6"/>
    <w:rsid w:val="00FD14FA"/>
    <w:rsid w:val="00FD3F98"/>
    <w:rsid w:val="00FD4DDB"/>
    <w:rsid w:val="00FD7127"/>
    <w:rsid w:val="00FE106A"/>
    <w:rsid w:val="00FE2604"/>
    <w:rsid w:val="00FE7450"/>
    <w:rsid w:val="00FF145D"/>
    <w:rsid w:val="00FF5955"/>
    <w:rsid w:val="00FF6053"/>
    <w:rsid w:val="00FF6A89"/>
    <w:rsid w:val="00FF7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4490"/>
    <w:pPr>
      <w:suppressAutoHyphens/>
      <w:spacing w:line="240" w:lineRule="atLeast"/>
    </w:pPr>
    <w:rPr>
      <w:lang w:val="en-GB"/>
    </w:rPr>
  </w:style>
  <w:style w:type="paragraph" w:styleId="Heading1">
    <w:name w:val="heading 1"/>
    <w:aliases w:val="Table_G"/>
    <w:basedOn w:val="SingleTxtG"/>
    <w:next w:val="SingleTxtG"/>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rsid w:val="005C7D1E"/>
    <w:rPr>
      <w:lang w:val="en-GB" w:eastAsia="en-US" w:bidi="ar-SA"/>
    </w:rPr>
  </w:style>
  <w:style w:type="paragraph" w:customStyle="1" w:styleId="SingleTxtG">
    <w:name w:val="_ Single Txt_G"/>
    <w:basedOn w:val="Normal"/>
    <w:link w:val="SingleTxtGChar"/>
    <w:rsid w:val="000646F4"/>
    <w:pPr>
      <w:spacing w:after="120"/>
      <w:ind w:left="1134" w:right="1134"/>
      <w:jc w:val="both"/>
    </w:pPr>
  </w:style>
  <w:style w:type="character" w:styleId="PageNumber">
    <w:name w:val="page number"/>
    <w:aliases w:val="7_G"/>
    <w:rsid w:val="000646F4"/>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basedOn w:val="FootnoteReference"/>
    <w:rsid w:val="000646F4"/>
    <w:rPr>
      <w:rFonts w:ascii="Times New Roman" w:hAnsi="Times New Roman"/>
      <w:sz w:val="18"/>
      <w:vertAlign w:val="superscript"/>
    </w:rPr>
  </w:style>
  <w:style w:type="character" w:styleId="FootnoteReference">
    <w:name w:val="footnote reference"/>
    <w:aliases w:val="4_G,(Footnote Reference),BVI fnr, BVI fnr,Footnote symbol,Footnote,Footnote Reference Superscript,SUPERS,-E Fußnotenzeichen"/>
    <w:rsid w:val="000646F4"/>
    <w:rPr>
      <w:rFonts w:ascii="Times New Roman" w:hAnsi="Times New Roman"/>
      <w:sz w:val="18"/>
      <w:vertAlign w:val="superscript"/>
    </w:rPr>
  </w:style>
  <w:style w:type="paragraph" w:styleId="FootnoteText">
    <w:name w:val="footnote text"/>
    <w:aliases w:val="5_G,PP"/>
    <w:basedOn w:val="Normal"/>
    <w:link w:val="FootnoteTextChar"/>
    <w:uiPriority w:val="99"/>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semiHidden/>
    <w:rPr>
      <w:sz w:val="6"/>
    </w:rPr>
  </w:style>
  <w:style w:type="paragraph" w:styleId="CommentText">
    <w:name w:val="annotation text"/>
    <w:basedOn w:val="Normal"/>
    <w:semiHidden/>
  </w:style>
  <w:style w:type="character" w:styleId="LineNumber">
    <w:name w:val="line number"/>
    <w:semiHidden/>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0646F4"/>
    <w:pPr>
      <w:spacing w:line="240" w:lineRule="auto"/>
    </w:pPr>
    <w:rPr>
      <w:sz w:val="16"/>
    </w:rPr>
  </w:style>
  <w:style w:type="paragraph" w:styleId="Header">
    <w:name w:val="header"/>
    <w:aliases w:val="6_G"/>
    <w:basedOn w:val="Normal"/>
    <w:rsid w:val="000646F4"/>
    <w:pPr>
      <w:pBdr>
        <w:bottom w:val="single" w:sz="4" w:space="4" w:color="auto"/>
      </w:pBdr>
      <w:spacing w:line="240" w:lineRule="auto"/>
    </w:pPr>
    <w:rPr>
      <w:b/>
      <w:sz w:val="18"/>
    </w:rPr>
  </w:style>
  <w:style w:type="paragraph" w:styleId="CommentSubject">
    <w:name w:val="annotation subject"/>
    <w:basedOn w:val="CommentText"/>
    <w:next w:val="CommentText"/>
    <w:semiHidden/>
    <w:rsid w:val="004C3774"/>
    <w:rPr>
      <w:b/>
      <w:bCs/>
    </w:rPr>
  </w:style>
  <w:style w:type="paragraph" w:styleId="BalloonText">
    <w:name w:val="Balloon Text"/>
    <w:basedOn w:val="Normal"/>
    <w:semiHidden/>
    <w:rsid w:val="004C3774"/>
    <w:rPr>
      <w:rFonts w:ascii="Tahoma" w:hAnsi="Tahoma" w:cs="Tahoma"/>
      <w:sz w:val="16"/>
      <w:szCs w:val="16"/>
    </w:rPr>
  </w:style>
  <w:style w:type="character" w:customStyle="1" w:styleId="FootnoteTextChar">
    <w:name w:val="Footnote Text Char"/>
    <w:aliases w:val="5_G Char,PP Char"/>
    <w:link w:val="FootnoteText"/>
    <w:uiPriority w:val="99"/>
    <w:locked/>
    <w:rsid w:val="002B47CA"/>
    <w:rPr>
      <w:sz w:val="18"/>
      <w:lang w:val="en-GB"/>
    </w:rPr>
  </w:style>
  <w:style w:type="character" w:customStyle="1" w:styleId="HChGChar">
    <w:name w:val="_ H _Ch_G Char"/>
    <w:link w:val="HChG"/>
    <w:rsid w:val="002B47CA"/>
    <w:rPr>
      <w:b/>
      <w:sz w:val="28"/>
      <w:lang w:val="en-GB"/>
    </w:rPr>
  </w:style>
  <w:style w:type="paragraph" w:customStyle="1" w:styleId="a">
    <w:name w:val="a)"/>
    <w:basedOn w:val="Normal"/>
    <w:rsid w:val="008369BC"/>
    <w:pPr>
      <w:suppressAutoHyphens w:val="0"/>
      <w:spacing w:after="120"/>
      <w:ind w:left="2835" w:right="1134" w:hanging="567"/>
      <w:jc w:val="both"/>
    </w:pPr>
    <w:rPr>
      <w:snapToGrid w:val="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4490"/>
    <w:pPr>
      <w:suppressAutoHyphens/>
      <w:spacing w:line="240" w:lineRule="atLeast"/>
    </w:pPr>
    <w:rPr>
      <w:lang w:val="en-GB"/>
    </w:rPr>
  </w:style>
  <w:style w:type="paragraph" w:styleId="Heading1">
    <w:name w:val="heading 1"/>
    <w:aliases w:val="Table_G"/>
    <w:basedOn w:val="SingleTxtG"/>
    <w:next w:val="SingleTxtG"/>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rsid w:val="005C7D1E"/>
    <w:rPr>
      <w:lang w:val="en-GB" w:eastAsia="en-US" w:bidi="ar-SA"/>
    </w:rPr>
  </w:style>
  <w:style w:type="paragraph" w:customStyle="1" w:styleId="SingleTxtG">
    <w:name w:val="_ Single Txt_G"/>
    <w:basedOn w:val="Normal"/>
    <w:link w:val="SingleTxtGChar"/>
    <w:rsid w:val="000646F4"/>
    <w:pPr>
      <w:spacing w:after="120"/>
      <w:ind w:left="1134" w:right="1134"/>
      <w:jc w:val="both"/>
    </w:pPr>
  </w:style>
  <w:style w:type="character" w:styleId="PageNumber">
    <w:name w:val="page number"/>
    <w:aliases w:val="7_G"/>
    <w:rsid w:val="000646F4"/>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basedOn w:val="FootnoteReference"/>
    <w:rsid w:val="000646F4"/>
    <w:rPr>
      <w:rFonts w:ascii="Times New Roman" w:hAnsi="Times New Roman"/>
      <w:sz w:val="18"/>
      <w:vertAlign w:val="superscript"/>
    </w:rPr>
  </w:style>
  <w:style w:type="character" w:styleId="FootnoteReference">
    <w:name w:val="footnote reference"/>
    <w:aliases w:val="4_G,(Footnote Reference),BVI fnr, BVI fnr,Footnote symbol,Footnote,Footnote Reference Superscript,SUPERS,-E Fußnotenzeichen"/>
    <w:rsid w:val="000646F4"/>
    <w:rPr>
      <w:rFonts w:ascii="Times New Roman" w:hAnsi="Times New Roman"/>
      <w:sz w:val="18"/>
      <w:vertAlign w:val="superscript"/>
    </w:rPr>
  </w:style>
  <w:style w:type="paragraph" w:styleId="FootnoteText">
    <w:name w:val="footnote text"/>
    <w:aliases w:val="5_G,PP"/>
    <w:basedOn w:val="Normal"/>
    <w:link w:val="FootnoteTextChar"/>
    <w:uiPriority w:val="99"/>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semiHidden/>
    <w:rPr>
      <w:sz w:val="6"/>
    </w:rPr>
  </w:style>
  <w:style w:type="paragraph" w:styleId="CommentText">
    <w:name w:val="annotation text"/>
    <w:basedOn w:val="Normal"/>
    <w:semiHidden/>
  </w:style>
  <w:style w:type="character" w:styleId="LineNumber">
    <w:name w:val="line number"/>
    <w:semiHidden/>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0646F4"/>
    <w:pPr>
      <w:spacing w:line="240" w:lineRule="auto"/>
    </w:pPr>
    <w:rPr>
      <w:sz w:val="16"/>
    </w:rPr>
  </w:style>
  <w:style w:type="paragraph" w:styleId="Header">
    <w:name w:val="header"/>
    <w:aliases w:val="6_G"/>
    <w:basedOn w:val="Normal"/>
    <w:rsid w:val="000646F4"/>
    <w:pPr>
      <w:pBdr>
        <w:bottom w:val="single" w:sz="4" w:space="4" w:color="auto"/>
      </w:pBdr>
      <w:spacing w:line="240" w:lineRule="auto"/>
    </w:pPr>
    <w:rPr>
      <w:b/>
      <w:sz w:val="18"/>
    </w:rPr>
  </w:style>
  <w:style w:type="paragraph" w:styleId="CommentSubject">
    <w:name w:val="annotation subject"/>
    <w:basedOn w:val="CommentText"/>
    <w:next w:val="CommentText"/>
    <w:semiHidden/>
    <w:rsid w:val="004C3774"/>
    <w:rPr>
      <w:b/>
      <w:bCs/>
    </w:rPr>
  </w:style>
  <w:style w:type="paragraph" w:styleId="BalloonText">
    <w:name w:val="Balloon Text"/>
    <w:basedOn w:val="Normal"/>
    <w:semiHidden/>
    <w:rsid w:val="004C3774"/>
    <w:rPr>
      <w:rFonts w:ascii="Tahoma" w:hAnsi="Tahoma" w:cs="Tahoma"/>
      <w:sz w:val="16"/>
      <w:szCs w:val="16"/>
    </w:rPr>
  </w:style>
  <w:style w:type="character" w:customStyle="1" w:styleId="FootnoteTextChar">
    <w:name w:val="Footnote Text Char"/>
    <w:aliases w:val="5_G Char,PP Char"/>
    <w:link w:val="FootnoteText"/>
    <w:uiPriority w:val="99"/>
    <w:locked/>
    <w:rsid w:val="002B47CA"/>
    <w:rPr>
      <w:sz w:val="18"/>
      <w:lang w:val="en-GB"/>
    </w:rPr>
  </w:style>
  <w:style w:type="character" w:customStyle="1" w:styleId="HChGChar">
    <w:name w:val="_ H _Ch_G Char"/>
    <w:link w:val="HChG"/>
    <w:rsid w:val="002B47CA"/>
    <w:rPr>
      <w:b/>
      <w:sz w:val="28"/>
      <w:lang w:val="en-GB"/>
    </w:rPr>
  </w:style>
  <w:style w:type="paragraph" w:customStyle="1" w:styleId="a">
    <w:name w:val="a)"/>
    <w:basedOn w:val="Normal"/>
    <w:rsid w:val="008369BC"/>
    <w:pPr>
      <w:suppressAutoHyphens w:val="0"/>
      <w:spacing w:after="120"/>
      <w:ind w:left="2835" w:right="1134" w:hanging="567"/>
      <w:jc w:val="both"/>
    </w:pPr>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766">
      <w:bodyDiv w:val="1"/>
      <w:marLeft w:val="0"/>
      <w:marRight w:val="0"/>
      <w:marTop w:val="0"/>
      <w:marBottom w:val="0"/>
      <w:divBdr>
        <w:top w:val="none" w:sz="0" w:space="0" w:color="auto"/>
        <w:left w:val="none" w:sz="0" w:space="0" w:color="auto"/>
        <w:bottom w:val="none" w:sz="0" w:space="0" w:color="auto"/>
        <w:right w:val="none" w:sz="0" w:space="0" w:color="auto"/>
      </w:divBdr>
    </w:div>
    <w:div w:id="69278583">
      <w:bodyDiv w:val="1"/>
      <w:marLeft w:val="0"/>
      <w:marRight w:val="0"/>
      <w:marTop w:val="0"/>
      <w:marBottom w:val="0"/>
      <w:divBdr>
        <w:top w:val="none" w:sz="0" w:space="0" w:color="auto"/>
        <w:left w:val="none" w:sz="0" w:space="0" w:color="auto"/>
        <w:bottom w:val="none" w:sz="0" w:space="0" w:color="auto"/>
        <w:right w:val="none" w:sz="0" w:space="0" w:color="auto"/>
      </w:divBdr>
    </w:div>
    <w:div w:id="400099186">
      <w:bodyDiv w:val="1"/>
      <w:marLeft w:val="0"/>
      <w:marRight w:val="0"/>
      <w:marTop w:val="0"/>
      <w:marBottom w:val="0"/>
      <w:divBdr>
        <w:top w:val="none" w:sz="0" w:space="0" w:color="auto"/>
        <w:left w:val="none" w:sz="0" w:space="0" w:color="auto"/>
        <w:bottom w:val="none" w:sz="0" w:space="0" w:color="auto"/>
        <w:right w:val="none" w:sz="0" w:space="0" w:color="auto"/>
      </w:divBdr>
    </w:div>
    <w:div w:id="717901785">
      <w:bodyDiv w:val="1"/>
      <w:marLeft w:val="0"/>
      <w:marRight w:val="0"/>
      <w:marTop w:val="0"/>
      <w:marBottom w:val="0"/>
      <w:divBdr>
        <w:top w:val="none" w:sz="0" w:space="0" w:color="auto"/>
        <w:left w:val="none" w:sz="0" w:space="0" w:color="auto"/>
        <w:bottom w:val="none" w:sz="0" w:space="0" w:color="auto"/>
        <w:right w:val="none" w:sz="0" w:space="0" w:color="auto"/>
      </w:divBdr>
    </w:div>
    <w:div w:id="1399597450">
      <w:bodyDiv w:val="1"/>
      <w:marLeft w:val="0"/>
      <w:marRight w:val="0"/>
      <w:marTop w:val="0"/>
      <w:marBottom w:val="0"/>
      <w:divBdr>
        <w:top w:val="none" w:sz="0" w:space="0" w:color="auto"/>
        <w:left w:val="none" w:sz="0" w:space="0" w:color="auto"/>
        <w:bottom w:val="none" w:sz="0" w:space="0" w:color="auto"/>
        <w:right w:val="none" w:sz="0" w:space="0" w:color="auto"/>
      </w:divBdr>
    </w:div>
    <w:div w:id="1872302831">
      <w:bodyDiv w:val="1"/>
      <w:marLeft w:val="0"/>
      <w:marRight w:val="0"/>
      <w:marTop w:val="0"/>
      <w:marBottom w:val="0"/>
      <w:divBdr>
        <w:top w:val="none" w:sz="0" w:space="0" w:color="auto"/>
        <w:left w:val="none" w:sz="0" w:space="0" w:color="auto"/>
        <w:bottom w:val="none" w:sz="0" w:space="0" w:color="auto"/>
        <w:right w:val="none" w:sz="0" w:space="0" w:color="auto"/>
      </w:divBdr>
    </w:div>
    <w:div w:id="199544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ubert\Templates\TRANS\TRANS_WP29_2009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34F60-3762-4F7B-A02B-9568BAFE8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TRANS_WP29_2009_E.dot</Template>
  <TotalTime>2</TotalTime>
  <Pages>4</Pages>
  <Words>786</Words>
  <Characters>3890</Characters>
  <Application>Microsoft Office Word</Application>
  <DocSecurity>0</DocSecurity>
  <Lines>124</Lines>
  <Paragraphs>80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United Nations</vt:lpstr>
      <vt:lpstr>United Nations</vt:lpstr>
    </vt:vector>
  </TitlesOfParts>
  <Company>CSD</Company>
  <LinksUpToDate>false</LinksUpToDate>
  <CharactersWithSpaces>4621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creator>Romain HUBERT</dc:creator>
  <cp:lastModifiedBy>Benedicte Boudol</cp:lastModifiedBy>
  <cp:revision>3</cp:revision>
  <cp:lastPrinted>2015-06-17T13:03:00Z</cp:lastPrinted>
  <dcterms:created xsi:type="dcterms:W3CDTF">2015-08-10T08:49:00Z</dcterms:created>
  <dcterms:modified xsi:type="dcterms:W3CDTF">2015-08-10T08:53:00Z</dcterms:modified>
</cp:coreProperties>
</file>